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194945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263525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UNITED STATES</w:t>
      </w:r>
    </w:p>
    <w:p>
      <w:pPr>
        <w:jc w:val="center"/>
        <w:spacing w:after="0" w:line="216" w:lineRule="auto"/>
        <w:rPr>
          <w:sz w:val="20"/>
          <w:szCs w:val="20"/>
          <w:color w:val="auto"/>
        </w:rPr>
      </w:pPr>
      <w:r>
        <w:rPr>
          <w:rFonts w:ascii="Arial" w:cs="Arial" w:eastAsia="Arial" w:hAnsi="Arial"/>
          <w:sz w:val="13"/>
          <w:szCs w:val="13"/>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 10-K</w:t>
      </w:r>
    </w:p>
    <w:p>
      <w:pPr>
        <w:spacing w:after="0" w:line="71"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53"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3"/>
          <w:szCs w:val="13"/>
          <w:color w:val="auto"/>
        </w:rPr>
      </w:pPr>
      <w:r>
        <w:rPr>
          <w:rFonts w:ascii="Arial" w:cs="Arial" w:eastAsia="Arial" w:hAnsi="Arial"/>
          <w:sz w:val="13"/>
          <w:szCs w:val="13"/>
          <w:color w:val="auto"/>
        </w:rPr>
        <w:t>ANNUAL REPORT PURSUANT TO SECTION 13 OR 15(d) OF THE SECURITIES EXCHANGE ACT OF 1934</w:t>
      </w:r>
    </w:p>
    <w:p>
      <w:pPr>
        <w:spacing w:after="0" w:line="285" w:lineRule="exact"/>
        <w:rPr>
          <w:sz w:val="24"/>
          <w:szCs w:val="24"/>
          <w:color w:val="auto"/>
        </w:rPr>
      </w:pPr>
    </w:p>
    <w:p>
      <w:pPr>
        <w:ind w:left="3460" w:right="3180" w:hanging="3452"/>
        <w:spacing w:after="0" w:line="429" w:lineRule="auto"/>
        <w:tabs>
          <w:tab w:leader="none" w:pos="665" w:val="left"/>
        </w:tabs>
        <w:numPr>
          <w:ilvl w:val="0"/>
          <w:numId w:val="2"/>
        </w:numPr>
        <w:rPr>
          <w:rFonts w:ascii="Arial" w:cs="Arial" w:eastAsia="Arial" w:hAnsi="Arial"/>
          <w:sz w:val="10"/>
          <w:szCs w:val="10"/>
          <w:color w:val="auto"/>
        </w:rPr>
      </w:pPr>
      <w:r>
        <w:rPr>
          <w:rFonts w:ascii="Arial" w:cs="Arial" w:eastAsia="Arial" w:hAnsi="Arial"/>
          <w:sz w:val="10"/>
          <w:szCs w:val="10"/>
          <w:color w:val="auto"/>
        </w:rPr>
        <w:t>TRANSITION REPORT PURSUANT TO SECTION 13 OR 15(d) OF THE SECURITIES EXCHANGE ACT OF 1934 For the transaction period from __________ to __________</w:t>
      </w:r>
    </w:p>
    <w:p>
      <w:pPr>
        <w:ind w:left="4040"/>
        <w:spacing w:after="0"/>
        <w:rPr>
          <w:rFonts w:ascii="Arial" w:cs="Arial" w:eastAsia="Arial" w:hAnsi="Arial"/>
          <w:sz w:val="10"/>
          <w:szCs w:val="10"/>
          <w:color w:val="auto"/>
        </w:rPr>
      </w:pPr>
      <w:r>
        <w:rPr>
          <w:rFonts w:ascii="Arial" w:cs="Arial" w:eastAsia="Arial" w:hAnsi="Arial"/>
          <w:sz w:val="13"/>
          <w:szCs w:val="13"/>
          <w:color w:val="auto"/>
        </w:rPr>
        <w:t>Commission file number: 001-36860</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IOVANCE BIOTHERAPEUTICS,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500" w:type="dxa"/>
            <w:vAlign w:val="bottom"/>
            <w:gridSpan w:val="3"/>
          </w:tcPr>
          <w:p>
            <w:pPr>
              <w:jc w:val="center"/>
              <w:ind w:left="1377"/>
              <w:spacing w:after="0"/>
              <w:rPr>
                <w:sz w:val="20"/>
                <w:szCs w:val="20"/>
                <w:color w:val="auto"/>
              </w:rPr>
            </w:pPr>
            <w:r>
              <w:rPr>
                <w:rFonts w:ascii="Arial" w:cs="Arial" w:eastAsia="Arial" w:hAnsi="Arial"/>
                <w:sz w:val="13"/>
                <w:szCs w:val="13"/>
                <w:b w:val="1"/>
                <w:bCs w:val="1"/>
                <w:color w:val="auto"/>
                <w:w w:val="87"/>
              </w:rPr>
              <w:t>Delaware</w:t>
            </w:r>
          </w:p>
        </w:tc>
        <w:tc>
          <w:tcPr>
            <w:tcW w:w="3040" w:type="dxa"/>
            <w:vAlign w:val="bottom"/>
          </w:tcPr>
          <w:p>
            <w:pPr>
              <w:spacing w:after="0"/>
              <w:rPr>
                <w:sz w:val="13"/>
                <w:szCs w:val="13"/>
                <w:color w:val="auto"/>
              </w:rPr>
            </w:pPr>
          </w:p>
        </w:tc>
        <w:tc>
          <w:tcPr>
            <w:tcW w:w="3360" w:type="dxa"/>
            <w:vAlign w:val="bottom"/>
            <w:gridSpan w:val="2"/>
          </w:tcPr>
          <w:p>
            <w:pPr>
              <w:jc w:val="right"/>
              <w:ind w:right="2117"/>
              <w:spacing w:after="0"/>
              <w:rPr>
                <w:sz w:val="20"/>
                <w:szCs w:val="20"/>
                <w:color w:val="auto"/>
              </w:rPr>
            </w:pPr>
            <w:r>
              <w:rPr>
                <w:rFonts w:ascii="Arial" w:cs="Arial" w:eastAsia="Arial" w:hAnsi="Arial"/>
                <w:sz w:val="13"/>
                <w:szCs w:val="13"/>
                <w:b w:val="1"/>
                <w:bCs w:val="1"/>
                <w:color w:val="auto"/>
              </w:rPr>
              <w:t>75-3254381</w:t>
            </w:r>
          </w:p>
        </w:tc>
      </w:tr>
      <w:tr>
        <w:trPr>
          <w:trHeight w:val="135"/>
        </w:trPr>
        <w:tc>
          <w:tcPr>
            <w:tcW w:w="20" w:type="dxa"/>
            <w:vAlign w:val="bottom"/>
          </w:tcPr>
          <w:p>
            <w:pPr>
              <w:spacing w:after="0"/>
              <w:rPr>
                <w:sz w:val="11"/>
                <w:szCs w:val="11"/>
                <w:color w:val="auto"/>
              </w:rPr>
            </w:pPr>
          </w:p>
        </w:tc>
        <w:tc>
          <w:tcPr>
            <w:tcW w:w="3500" w:type="dxa"/>
            <w:vAlign w:val="bottom"/>
            <w:gridSpan w:val="3"/>
          </w:tcPr>
          <w:p>
            <w:pPr>
              <w:jc w:val="center"/>
              <w:ind w:left="1377"/>
              <w:spacing w:after="0" w:line="135" w:lineRule="exact"/>
              <w:rPr>
                <w:sz w:val="20"/>
                <w:szCs w:val="20"/>
                <w:color w:val="auto"/>
              </w:rPr>
            </w:pPr>
            <w:r>
              <w:rPr>
                <w:rFonts w:ascii="Arial" w:cs="Arial" w:eastAsia="Arial" w:hAnsi="Arial"/>
                <w:sz w:val="13"/>
                <w:szCs w:val="13"/>
                <w:color w:val="auto"/>
                <w:w w:val="88"/>
              </w:rPr>
              <w:t>(State or Other Jurisdiction of</w:t>
            </w:r>
          </w:p>
        </w:tc>
        <w:tc>
          <w:tcPr>
            <w:tcW w:w="3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160" w:type="dxa"/>
            <w:vAlign w:val="bottom"/>
          </w:tcPr>
          <w:p>
            <w:pPr>
              <w:jc w:val="center"/>
              <w:ind w:right="1737"/>
              <w:spacing w:after="0" w:line="135" w:lineRule="exact"/>
              <w:rPr>
                <w:sz w:val="20"/>
                <w:szCs w:val="20"/>
                <w:color w:val="auto"/>
              </w:rPr>
            </w:pPr>
            <w:r>
              <w:rPr>
                <w:rFonts w:ascii="Arial" w:cs="Arial" w:eastAsia="Arial" w:hAnsi="Arial"/>
                <w:sz w:val="13"/>
                <w:szCs w:val="13"/>
                <w:color w:val="auto"/>
                <w:w w:val="92"/>
              </w:rPr>
              <w:t>(I.R.S. Employer</w:t>
            </w:r>
          </w:p>
        </w:tc>
      </w:tr>
      <w:tr>
        <w:trPr>
          <w:trHeight w:val="160"/>
        </w:trPr>
        <w:tc>
          <w:tcPr>
            <w:tcW w:w="20" w:type="dxa"/>
            <w:vAlign w:val="bottom"/>
          </w:tcPr>
          <w:p>
            <w:pPr>
              <w:spacing w:after="0"/>
              <w:rPr>
                <w:sz w:val="13"/>
                <w:szCs w:val="13"/>
                <w:color w:val="auto"/>
              </w:rPr>
            </w:pPr>
          </w:p>
        </w:tc>
        <w:tc>
          <w:tcPr>
            <w:tcW w:w="3500" w:type="dxa"/>
            <w:vAlign w:val="bottom"/>
            <w:gridSpan w:val="3"/>
          </w:tcPr>
          <w:p>
            <w:pPr>
              <w:jc w:val="center"/>
              <w:ind w:left="1377"/>
              <w:spacing w:after="0"/>
              <w:rPr>
                <w:sz w:val="20"/>
                <w:szCs w:val="20"/>
                <w:color w:val="auto"/>
              </w:rPr>
            </w:pPr>
            <w:r>
              <w:rPr>
                <w:rFonts w:ascii="Arial" w:cs="Arial" w:eastAsia="Arial" w:hAnsi="Arial"/>
                <w:sz w:val="13"/>
                <w:szCs w:val="13"/>
                <w:color w:val="auto"/>
                <w:w w:val="89"/>
              </w:rPr>
              <w:t>Incorporation or Organization)</w:t>
            </w:r>
          </w:p>
        </w:tc>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60" w:type="dxa"/>
            <w:vAlign w:val="bottom"/>
          </w:tcPr>
          <w:p>
            <w:pPr>
              <w:jc w:val="center"/>
              <w:ind w:right="1737"/>
              <w:spacing w:after="0"/>
              <w:rPr>
                <w:sz w:val="20"/>
                <w:szCs w:val="20"/>
                <w:color w:val="auto"/>
              </w:rPr>
            </w:pPr>
            <w:r>
              <w:rPr>
                <w:rFonts w:ascii="Arial" w:cs="Arial" w:eastAsia="Arial" w:hAnsi="Arial"/>
                <w:sz w:val="13"/>
                <w:szCs w:val="13"/>
                <w:color w:val="auto"/>
                <w:w w:val="90"/>
              </w:rPr>
              <w:t>Identification No.)</w:t>
            </w:r>
          </w:p>
        </w:tc>
      </w:tr>
      <w:tr>
        <w:trPr>
          <w:trHeight w:val="218"/>
        </w:trPr>
        <w:tc>
          <w:tcPr>
            <w:tcW w:w="20" w:type="dxa"/>
            <w:vAlign w:val="bottom"/>
          </w:tcPr>
          <w:p>
            <w:pPr>
              <w:spacing w:after="0"/>
              <w:rPr>
                <w:sz w:val="18"/>
                <w:szCs w:val="18"/>
                <w:color w:val="auto"/>
              </w:rPr>
            </w:pPr>
          </w:p>
        </w:tc>
        <w:tc>
          <w:tcPr>
            <w:tcW w:w="6540" w:type="dxa"/>
            <w:vAlign w:val="bottom"/>
            <w:gridSpan w:val="4"/>
          </w:tcPr>
          <w:p>
            <w:pPr>
              <w:jc w:val="center"/>
              <w:ind w:right="1537"/>
              <w:spacing w:after="0"/>
              <w:rPr>
                <w:sz w:val="20"/>
                <w:szCs w:val="20"/>
                <w:color w:val="auto"/>
              </w:rPr>
            </w:pPr>
            <w:r>
              <w:rPr>
                <w:rFonts w:ascii="Arial" w:cs="Arial" w:eastAsia="Arial" w:hAnsi="Arial"/>
                <w:sz w:val="13"/>
                <w:szCs w:val="13"/>
                <w:b w:val="1"/>
                <w:bCs w:val="1"/>
                <w:color w:val="auto"/>
                <w:w w:val="88"/>
              </w:rPr>
              <w:t>825 Industrial Road, Suite 400, San Carlos, California</w:t>
            </w:r>
          </w:p>
        </w:tc>
        <w:tc>
          <w:tcPr>
            <w:tcW w:w="3360" w:type="dxa"/>
            <w:vAlign w:val="bottom"/>
            <w:gridSpan w:val="2"/>
          </w:tcPr>
          <w:p>
            <w:pPr>
              <w:jc w:val="right"/>
              <w:ind w:right="2257"/>
              <w:spacing w:after="0"/>
              <w:rPr>
                <w:sz w:val="20"/>
                <w:szCs w:val="20"/>
                <w:color w:val="auto"/>
              </w:rPr>
            </w:pPr>
            <w:r>
              <w:rPr>
                <w:rFonts w:ascii="Arial" w:cs="Arial" w:eastAsia="Arial" w:hAnsi="Arial"/>
                <w:sz w:val="13"/>
                <w:szCs w:val="13"/>
                <w:b w:val="1"/>
                <w:bCs w:val="1"/>
                <w:color w:val="auto"/>
              </w:rPr>
              <w:t>94070</w:t>
            </w:r>
          </w:p>
        </w:tc>
      </w:tr>
      <w:tr>
        <w:trPr>
          <w:trHeight w:val="160"/>
        </w:trPr>
        <w:tc>
          <w:tcPr>
            <w:tcW w:w="20" w:type="dxa"/>
            <w:vAlign w:val="bottom"/>
          </w:tcPr>
          <w:p>
            <w:pPr>
              <w:spacing w:after="0"/>
              <w:rPr>
                <w:sz w:val="13"/>
                <w:szCs w:val="13"/>
                <w:color w:val="auto"/>
              </w:rPr>
            </w:pPr>
          </w:p>
        </w:tc>
        <w:tc>
          <w:tcPr>
            <w:tcW w:w="3500" w:type="dxa"/>
            <w:vAlign w:val="bottom"/>
            <w:gridSpan w:val="3"/>
          </w:tcPr>
          <w:p>
            <w:pPr>
              <w:jc w:val="center"/>
              <w:ind w:left="1377"/>
              <w:spacing w:after="0"/>
              <w:rPr>
                <w:sz w:val="20"/>
                <w:szCs w:val="20"/>
                <w:color w:val="auto"/>
              </w:rPr>
            </w:pPr>
            <w:r>
              <w:rPr>
                <w:rFonts w:ascii="Arial" w:cs="Arial" w:eastAsia="Arial" w:hAnsi="Arial"/>
                <w:sz w:val="13"/>
                <w:szCs w:val="13"/>
                <w:color w:val="auto"/>
                <w:w w:val="90"/>
              </w:rPr>
              <w:t>(Address of Principal Executive Offices)</w:t>
            </w:r>
          </w:p>
        </w:tc>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60" w:type="dxa"/>
            <w:vAlign w:val="bottom"/>
          </w:tcPr>
          <w:p>
            <w:pPr>
              <w:jc w:val="center"/>
              <w:ind w:right="1737"/>
              <w:spacing w:after="0"/>
              <w:rPr>
                <w:sz w:val="20"/>
                <w:szCs w:val="20"/>
                <w:color w:val="auto"/>
              </w:rPr>
            </w:pPr>
            <w:r>
              <w:rPr>
                <w:rFonts w:ascii="Arial" w:cs="Arial" w:eastAsia="Arial" w:hAnsi="Arial"/>
                <w:sz w:val="13"/>
                <w:szCs w:val="13"/>
                <w:color w:val="auto"/>
                <w:w w:val="91"/>
              </w:rPr>
              <w:t>(Zip Code)</w:t>
            </w:r>
          </w:p>
        </w:tc>
      </w:tr>
      <w:tr>
        <w:trPr>
          <w:trHeight w:val="191"/>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tcPr>
          <w:p>
            <w:pPr>
              <w:jc w:val="center"/>
              <w:ind w:right="77"/>
              <w:spacing w:after="0"/>
              <w:rPr>
                <w:sz w:val="20"/>
                <w:szCs w:val="20"/>
                <w:color w:val="auto"/>
              </w:rPr>
            </w:pPr>
            <w:r>
              <w:rPr>
                <w:rFonts w:ascii="Arial" w:cs="Arial" w:eastAsia="Arial" w:hAnsi="Arial"/>
                <w:sz w:val="13"/>
                <w:szCs w:val="13"/>
                <w:b w:val="1"/>
                <w:bCs w:val="1"/>
                <w:color w:val="auto"/>
                <w:w w:val="87"/>
              </w:rPr>
              <w:t>(650) 260-7120</w:t>
            </w:r>
          </w:p>
        </w:tc>
        <w:tc>
          <w:tcPr>
            <w:tcW w:w="20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40" w:type="dxa"/>
            <w:vAlign w:val="bottom"/>
          </w:tcPr>
          <w:p>
            <w:pPr>
              <w:jc w:val="center"/>
              <w:ind w:right="97"/>
              <w:spacing w:after="0"/>
              <w:rPr>
                <w:sz w:val="20"/>
                <w:szCs w:val="20"/>
                <w:color w:val="auto"/>
              </w:rPr>
            </w:pPr>
            <w:r>
              <w:rPr>
                <w:rFonts w:ascii="Arial" w:cs="Arial" w:eastAsia="Arial" w:hAnsi="Arial"/>
                <w:sz w:val="13"/>
                <w:szCs w:val="13"/>
                <w:color w:val="auto"/>
                <w:w w:val="88"/>
              </w:rPr>
              <w:t>(Registrant’s Telephone Number, Including Area Code)</w:t>
            </w:r>
          </w:p>
        </w:tc>
        <w:tc>
          <w:tcPr>
            <w:tcW w:w="200" w:type="dxa"/>
            <w:vAlign w:val="bottom"/>
          </w:tcPr>
          <w:p>
            <w:pPr>
              <w:spacing w:after="0"/>
              <w:rPr>
                <w:sz w:val="13"/>
                <w:szCs w:val="13"/>
                <w:color w:val="auto"/>
              </w:rPr>
            </w:pPr>
          </w:p>
        </w:tc>
        <w:tc>
          <w:tcPr>
            <w:tcW w:w="316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tcPr>
          <w:p>
            <w:pPr>
              <w:jc w:val="center"/>
              <w:ind w:right="77"/>
              <w:spacing w:after="0"/>
              <w:rPr>
                <w:sz w:val="20"/>
                <w:szCs w:val="20"/>
                <w:color w:val="auto"/>
              </w:rPr>
            </w:pPr>
            <w:r>
              <w:rPr>
                <w:rFonts w:ascii="Arial" w:cs="Arial" w:eastAsia="Arial" w:hAnsi="Arial"/>
                <w:sz w:val="13"/>
                <w:szCs w:val="13"/>
                <w:color w:val="auto"/>
                <w:w w:val="87"/>
              </w:rPr>
              <w:t>Securities registered pursuant to Section 12(b) of the Act:</w:t>
            </w: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187"/>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Arial" w:cs="Arial" w:eastAsia="Arial" w:hAnsi="Arial"/>
                <w:sz w:val="13"/>
                <w:szCs w:val="13"/>
                <w:b w:val="1"/>
                <w:bCs w:val="1"/>
                <w:color w:val="auto"/>
                <w:w w:val="88"/>
              </w:rPr>
              <w:t>Name Of Each Exchange</w:t>
            </w:r>
          </w:p>
        </w:tc>
      </w:tr>
      <w:tr>
        <w:trPr>
          <w:trHeight w:val="153"/>
        </w:trPr>
        <w:tc>
          <w:tcPr>
            <w:tcW w:w="20" w:type="dxa"/>
            <w:vAlign w:val="bottom"/>
          </w:tcPr>
          <w:p>
            <w:pPr>
              <w:spacing w:after="0"/>
              <w:rPr>
                <w:sz w:val="13"/>
                <w:szCs w:val="13"/>
                <w:color w:val="auto"/>
              </w:rPr>
            </w:pPr>
          </w:p>
        </w:tc>
        <w:tc>
          <w:tcPr>
            <w:tcW w:w="35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6"/>
              </w:rPr>
              <w:t>Title of Each Class</w:t>
            </w:r>
          </w:p>
        </w:tc>
        <w:tc>
          <w:tcPr>
            <w:tcW w:w="304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Trading Symbol(s)</w:t>
            </w:r>
          </w:p>
        </w:tc>
        <w:tc>
          <w:tcPr>
            <w:tcW w:w="200" w:type="dxa"/>
            <w:vAlign w:val="bottom"/>
          </w:tcPr>
          <w:p>
            <w:pPr>
              <w:spacing w:after="0"/>
              <w:rPr>
                <w:sz w:val="13"/>
                <w:szCs w:val="13"/>
                <w:color w:val="auto"/>
              </w:rPr>
            </w:pPr>
          </w:p>
        </w:tc>
        <w:tc>
          <w:tcPr>
            <w:tcW w:w="3160" w:type="dxa"/>
            <w:vAlign w:val="bottom"/>
          </w:tcPr>
          <w:p>
            <w:pPr>
              <w:jc w:val="center"/>
              <w:spacing w:after="0"/>
              <w:rPr>
                <w:sz w:val="20"/>
                <w:szCs w:val="20"/>
                <w:color w:val="auto"/>
              </w:rPr>
            </w:pPr>
            <w:r>
              <w:rPr>
                <w:rFonts w:ascii="Arial" w:cs="Arial" w:eastAsia="Arial" w:hAnsi="Arial"/>
                <w:sz w:val="13"/>
                <w:szCs w:val="13"/>
                <w:b w:val="1"/>
                <w:bCs w:val="1"/>
                <w:color w:val="auto"/>
                <w:w w:val="88"/>
              </w:rPr>
              <w:t>On Which Registered</w:t>
            </w:r>
          </w:p>
        </w:tc>
      </w:tr>
      <w:tr>
        <w:trPr>
          <w:trHeight w:val="154"/>
        </w:trPr>
        <w:tc>
          <w:tcPr>
            <w:tcW w:w="20" w:type="dxa"/>
            <w:vAlign w:val="bottom"/>
          </w:tcPr>
          <w:p>
            <w:pPr>
              <w:spacing w:after="0"/>
              <w:rPr>
                <w:sz w:val="13"/>
                <w:szCs w:val="13"/>
                <w:color w:val="auto"/>
              </w:rPr>
            </w:pPr>
          </w:p>
        </w:tc>
        <w:tc>
          <w:tcPr>
            <w:tcW w:w="31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6"/>
              </w:rPr>
              <w:t>Common Stock, $ 0.000041666 Par Value per Share</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040" w:type="dxa"/>
            <w:vAlign w:val="bottom"/>
            <w:tcBorders>
              <w:top w:val="single" w:sz="8" w:color="auto"/>
            </w:tcBorders>
          </w:tcPr>
          <w:p>
            <w:pPr>
              <w:jc w:val="center"/>
              <w:ind w:right="77"/>
              <w:spacing w:after="0"/>
              <w:rPr>
                <w:sz w:val="20"/>
                <w:szCs w:val="20"/>
                <w:color w:val="auto"/>
              </w:rPr>
            </w:pPr>
            <w:r>
              <w:rPr>
                <w:rFonts w:ascii="Arial" w:cs="Arial" w:eastAsia="Arial" w:hAnsi="Arial"/>
                <w:sz w:val="13"/>
                <w:szCs w:val="13"/>
                <w:color w:val="auto"/>
                <w:w w:val="96"/>
              </w:rPr>
              <w:t>IOVA</w:t>
            </w:r>
          </w:p>
        </w:tc>
        <w:tc>
          <w:tcPr>
            <w:tcW w:w="200" w:type="dxa"/>
            <w:vAlign w:val="bottom"/>
          </w:tcPr>
          <w:p>
            <w:pPr>
              <w:spacing w:after="0"/>
              <w:rPr>
                <w:sz w:val="13"/>
                <w:szCs w:val="13"/>
                <w:color w:val="auto"/>
              </w:rPr>
            </w:pPr>
          </w:p>
        </w:tc>
        <w:tc>
          <w:tcPr>
            <w:tcW w:w="31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7"/>
              </w:rPr>
              <w:t>The Nasdaq Global Market</w:t>
            </w:r>
          </w:p>
        </w:tc>
      </w:t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tcPr>
          <w:p>
            <w:pPr>
              <w:jc w:val="center"/>
              <w:ind w:right="77"/>
              <w:spacing w:after="0"/>
              <w:rPr>
                <w:sz w:val="20"/>
                <w:szCs w:val="20"/>
                <w:color w:val="auto"/>
              </w:rPr>
            </w:pPr>
            <w:r>
              <w:rPr>
                <w:rFonts w:ascii="Arial" w:cs="Arial" w:eastAsia="Arial" w:hAnsi="Arial"/>
                <w:sz w:val="13"/>
                <w:szCs w:val="13"/>
                <w:color w:val="auto"/>
                <w:w w:val="87"/>
              </w:rPr>
              <w:t>Securities registered pursuant to Section 12(g) of the Act:</w:t>
            </w:r>
          </w:p>
        </w:tc>
        <w:tc>
          <w:tcPr>
            <w:tcW w:w="200" w:type="dxa"/>
            <w:vAlign w:val="bottom"/>
          </w:tcPr>
          <w:p>
            <w:pPr>
              <w:spacing w:after="0"/>
              <w:rPr>
                <w:sz w:val="15"/>
                <w:szCs w:val="15"/>
                <w:color w:val="auto"/>
              </w:rPr>
            </w:pPr>
          </w:p>
        </w:tc>
        <w:tc>
          <w:tcPr>
            <w:tcW w:w="316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40" w:type="dxa"/>
            <w:vAlign w:val="bottom"/>
          </w:tcPr>
          <w:p>
            <w:pPr>
              <w:jc w:val="center"/>
              <w:ind w:right="97"/>
              <w:spacing w:after="0"/>
              <w:rPr>
                <w:sz w:val="20"/>
                <w:szCs w:val="20"/>
                <w:color w:val="auto"/>
              </w:rPr>
            </w:pPr>
            <w:r>
              <w:rPr>
                <w:rFonts w:ascii="Arial" w:cs="Arial" w:eastAsia="Arial" w:hAnsi="Arial"/>
                <w:sz w:val="13"/>
                <w:szCs w:val="13"/>
                <w:b w:val="1"/>
                <w:bCs w:val="1"/>
                <w:color w:val="auto"/>
                <w:w w:val="86"/>
              </w:rPr>
              <w:t>None</w:t>
            </w:r>
          </w:p>
        </w:tc>
        <w:tc>
          <w:tcPr>
            <w:tcW w:w="20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243"/>
        </w:trPr>
        <w:tc>
          <w:tcPr>
            <w:tcW w:w="6560" w:type="dxa"/>
            <w:vAlign w:val="bottom"/>
            <w:gridSpan w:val="5"/>
          </w:tcPr>
          <w:p>
            <w:pPr>
              <w:spacing w:after="0" w:line="175" w:lineRule="exact"/>
              <w:rPr>
                <w:sz w:val="20"/>
                <w:szCs w:val="20"/>
                <w:color w:val="auto"/>
              </w:rPr>
            </w:pPr>
            <w:r>
              <w:rPr>
                <w:rFonts w:ascii="Arial" w:cs="Arial" w:eastAsia="Arial" w:hAnsi="Arial"/>
                <w:sz w:val="13"/>
                <w:szCs w:val="13"/>
                <w:color w:val="auto"/>
                <w:w w:val="88"/>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w w:val="88"/>
              </w:rPr>
              <w:t>⌧</w:t>
            </w:r>
            <w:r>
              <w:rPr>
                <w:rFonts w:ascii="Arial" w:cs="Arial" w:eastAsia="Arial" w:hAnsi="Arial"/>
                <w:sz w:val="13"/>
                <w:szCs w:val="13"/>
                <w:color w:val="auto"/>
                <w:w w:val="88"/>
              </w:rPr>
              <w:t xml:space="preserve"> No</w:t>
            </w:r>
          </w:p>
        </w:tc>
        <w:tc>
          <w:tcPr>
            <w:tcW w:w="3360" w:type="dxa"/>
            <w:vAlign w:val="bottom"/>
            <w:gridSpan w:val="2"/>
          </w:tcPr>
          <w:p>
            <w:pPr>
              <w:ind w:left="6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31"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66" w:lineRule="exact"/>
        <w:rPr>
          <w:sz w:val="24"/>
          <w:szCs w:val="24"/>
          <w:color w:val="auto"/>
        </w:rPr>
      </w:pPr>
    </w:p>
    <w:p>
      <w:pPr>
        <w:jc w:val="both"/>
        <w:spacing w:after="0" w:line="162"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No </w:t>
      </w:r>
      <w:r>
        <w:rPr>
          <w:rFonts w:ascii="Arial Unicode MS" w:cs="Arial Unicode MS" w:eastAsia="Arial Unicode MS" w:hAnsi="Arial Unicode MS"/>
          <w:sz w:val="12"/>
          <w:szCs w:val="12"/>
          <w:color w:val="auto"/>
        </w:rPr>
        <w:t>☐</w:t>
      </w:r>
    </w:p>
    <w:p>
      <w:pPr>
        <w:spacing w:after="0" w:line="42" w:lineRule="exact"/>
        <w:rPr>
          <w:sz w:val="24"/>
          <w:szCs w:val="24"/>
          <w:color w:val="auto"/>
        </w:rPr>
      </w:pPr>
    </w:p>
    <w:p>
      <w:pPr>
        <w:ind w:right="38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42" w:lineRule="exact"/>
        <w:rPr>
          <w:sz w:val="24"/>
          <w:szCs w:val="24"/>
          <w:color w:val="auto"/>
        </w:rPr>
      </w:pPr>
    </w:p>
    <w:p>
      <w:pPr>
        <w:ind w:right="460"/>
        <w:spacing w:after="0" w:line="273"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51" w:lineRule="exact"/>
        <w:rPr>
          <w:sz w:val="24"/>
          <w:szCs w:val="24"/>
          <w:color w:val="auto"/>
        </w:rPr>
      </w:pPr>
    </w:p>
    <w:p>
      <w:pPr>
        <w:spacing w:after="0" w:line="404" w:lineRule="auto"/>
        <w:rPr>
          <w:sz w:val="20"/>
          <w:szCs w:val="20"/>
          <w:color w:val="auto"/>
        </w:rPr>
      </w:pPr>
      <w:r>
        <w:rPr>
          <w:rFonts w:ascii="Arial" w:cs="Arial" w:eastAsia="Arial" w:hAnsi="Arial"/>
          <w:sz w:val="10"/>
          <w:szCs w:val="10"/>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9" w:lineRule="exact"/>
        <w:rPr>
          <w:sz w:val="24"/>
          <w:szCs w:val="24"/>
          <w:color w:val="auto"/>
        </w:rPr>
      </w:pPr>
    </w:p>
    <w:p>
      <w:pPr>
        <w:spacing w:after="0" w:line="134" w:lineRule="exact"/>
        <w:rPr>
          <w:sz w:val="20"/>
          <w:szCs w:val="20"/>
          <w:color w:val="auto"/>
        </w:rPr>
      </w:pPr>
      <w:r>
        <w:rPr>
          <w:rFonts w:ascii="Arial" w:cs="Arial" w:eastAsia="Arial" w:hAnsi="Arial"/>
          <w:sz w:val="10"/>
          <w:szCs w:val="10"/>
          <w:color w:val="auto"/>
        </w:rPr>
        <w:t xml:space="preserve">Smaller reporting company </w:t>
      </w:r>
      <w:r>
        <w:rPr>
          <w:rFonts w:ascii="Arial Unicode MS" w:cs="Arial Unicode MS" w:eastAsia="Arial Unicode MS" w:hAnsi="Arial Unicode MS"/>
          <w:sz w:val="10"/>
          <w:szCs w:val="10"/>
          <w:color w:val="auto"/>
        </w:rPr>
        <w:t>☐</w:t>
      </w:r>
    </w:p>
    <w:p>
      <w:pPr>
        <w:spacing w:after="0" w:line="15" w:lineRule="exact"/>
        <w:rPr>
          <w:sz w:val="24"/>
          <w:szCs w:val="24"/>
          <w:color w:val="auto"/>
        </w:rPr>
      </w:pPr>
    </w:p>
    <w:p>
      <w:pPr>
        <w:spacing w:after="0" w:line="134" w:lineRule="exact"/>
        <w:rPr>
          <w:sz w:val="20"/>
          <w:szCs w:val="20"/>
          <w:color w:val="auto"/>
        </w:rPr>
      </w:pPr>
      <w:r>
        <w:rPr>
          <w:rFonts w:ascii="Arial" w:cs="Arial" w:eastAsia="Arial" w:hAnsi="Arial"/>
          <w:sz w:val="10"/>
          <w:szCs w:val="10"/>
          <w:color w:val="auto"/>
        </w:rPr>
        <w:t xml:space="preserve">Emerging growth company </w:t>
      </w:r>
      <w:r>
        <w:rPr>
          <w:rFonts w:ascii="Arial Unicode MS" w:cs="Arial Unicode MS" w:eastAsia="Arial Unicode MS" w:hAnsi="Arial Unicode MS"/>
          <w:sz w:val="10"/>
          <w:szCs w:val="10"/>
          <w:color w:val="auto"/>
        </w:rPr>
        <w:t>☐</w:t>
      </w:r>
    </w:p>
    <w:p>
      <w:pPr>
        <w:spacing w:after="0" w:line="72" w:lineRule="exact"/>
        <w:rPr>
          <w:sz w:val="24"/>
          <w:szCs w:val="24"/>
          <w:color w:val="auto"/>
        </w:rPr>
      </w:pPr>
    </w:p>
    <w:p>
      <w:pPr>
        <w:sectPr>
          <w:pgSz w:w="11900" w:h="16838" w:orient="portrait"/>
          <w:cols w:equalWidth="0" w:num="3">
            <w:col w:w="1140" w:space="100"/>
            <w:col w:w="3000" w:space="720"/>
            <w:col w:w="4960"/>
          </w:cols>
          <w:pgMar w:left="980" w:top="665" w:right="999" w:bottom="1440" w:gutter="0" w:footer="0" w:header="0"/>
          <w:type w:val="continuous"/>
        </w:sectPr>
      </w:pPr>
    </w:p>
    <w:p>
      <w:pPr>
        <w:ind w:right="8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96" w:lineRule="exact"/>
        <w:rPr>
          <w:sz w:val="24"/>
          <w:szCs w:val="24"/>
          <w:color w:val="auto"/>
        </w:rPr>
      </w:pPr>
    </w:p>
    <w:p>
      <w:pPr>
        <w:ind w:right="20"/>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96"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the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96" w:lineRule="exact"/>
        <w:rPr>
          <w:sz w:val="24"/>
          <w:szCs w:val="24"/>
          <w:color w:val="auto"/>
        </w:rPr>
      </w:pPr>
    </w:p>
    <w:p>
      <w:pPr>
        <w:ind w:right="320"/>
        <w:spacing w:after="0" w:line="162"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3"/>
          <w:szCs w:val="13"/>
          <w:color w:val="auto"/>
        </w:rPr>
        <w:t>☐</w:t>
      </w:r>
    </w:p>
    <w:p>
      <w:pPr>
        <w:spacing w:after="0" w:line="166"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62" w:lineRule="exact"/>
        <w:rPr>
          <w:sz w:val="24"/>
          <w:szCs w:val="24"/>
          <w:color w:val="auto"/>
        </w:rPr>
      </w:pPr>
    </w:p>
    <w:p>
      <w:pPr>
        <w:ind w:left="660"/>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3700" w:type="dxa"/>
            <w:vAlign w:val="bottom"/>
            <w:gridSpan w:val="2"/>
          </w:tcPr>
          <w:p>
            <w:pPr>
              <w:spacing w:after="0"/>
              <w:rPr>
                <w:sz w:val="20"/>
                <w:szCs w:val="20"/>
                <w:color w:val="auto"/>
              </w:rPr>
            </w:pPr>
            <w:r>
              <w:rPr>
                <w:rFonts w:ascii="Arial" w:cs="Arial" w:eastAsia="Arial" w:hAnsi="Arial"/>
                <w:sz w:val="13"/>
                <w:szCs w:val="13"/>
                <w:b w:val="1"/>
                <w:bCs w:val="1"/>
                <w:color w:val="auto"/>
              </w:rPr>
              <w:t>Title of each class</w:t>
            </w:r>
          </w:p>
        </w:tc>
        <w:tc>
          <w:tcPr>
            <w:tcW w:w="2800" w:type="dxa"/>
            <w:vAlign w:val="bottom"/>
            <w:gridSpan w:val="3"/>
          </w:tcPr>
          <w:p>
            <w:pPr>
              <w:ind w:left="140"/>
              <w:spacing w:after="0"/>
              <w:rPr>
                <w:sz w:val="20"/>
                <w:szCs w:val="20"/>
                <w:color w:val="auto"/>
              </w:rPr>
            </w:pPr>
            <w:r>
              <w:rPr>
                <w:rFonts w:ascii="Arial" w:cs="Arial" w:eastAsia="Arial" w:hAnsi="Arial"/>
                <w:sz w:val="13"/>
                <w:szCs w:val="13"/>
                <w:b w:val="1"/>
                <w:bCs w:val="1"/>
                <w:color w:val="auto"/>
              </w:rPr>
              <w:t>Trading Symbol(s)</w:t>
            </w:r>
          </w:p>
        </w:tc>
        <w:tc>
          <w:tcPr>
            <w:tcW w:w="3420" w:type="dxa"/>
            <w:vAlign w:val="bottom"/>
          </w:tcPr>
          <w:p>
            <w:pPr>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54"/>
        </w:trPr>
        <w:tc>
          <w:tcPr>
            <w:tcW w:w="20" w:type="dxa"/>
            <w:vAlign w:val="bottom"/>
          </w:tcPr>
          <w:p>
            <w:pPr>
              <w:spacing w:after="0"/>
              <w:rPr>
                <w:sz w:val="13"/>
                <w:szCs w:val="13"/>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Common stock, par value $0.000041666 per value</w:t>
            </w:r>
          </w:p>
        </w:tc>
        <w:tc>
          <w:tcPr>
            <w:tcW w:w="140" w:type="dxa"/>
            <w:vAlign w:val="bottom"/>
          </w:tcPr>
          <w:p>
            <w:pPr>
              <w:spacing w:after="0"/>
              <w:rPr>
                <w:sz w:val="13"/>
                <w:szCs w:val="13"/>
                <w:color w:val="auto"/>
              </w:rPr>
            </w:pPr>
          </w:p>
        </w:tc>
        <w:tc>
          <w:tcPr>
            <w:tcW w:w="25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IOVA</w:t>
            </w:r>
          </w:p>
        </w:tc>
        <w:tc>
          <w:tcPr>
            <w:tcW w:w="140" w:type="dxa"/>
            <w:vAlign w:val="bottom"/>
          </w:tcPr>
          <w:p>
            <w:pPr>
              <w:spacing w:after="0"/>
              <w:rPr>
                <w:sz w:val="13"/>
                <w:szCs w:val="13"/>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The Nasdaq Stock Market, LLC</w:t>
            </w:r>
          </w:p>
        </w:tc>
      </w:tr>
    </w:tbl>
    <w:p>
      <w:pPr>
        <w:spacing w:after="0" w:line="42" w:lineRule="exact"/>
        <w:rPr>
          <w:sz w:val="24"/>
          <w:szCs w:val="24"/>
          <w:color w:val="auto"/>
        </w:rPr>
      </w:pPr>
    </w:p>
    <w:p>
      <w:pPr>
        <w:ind w:right="40"/>
        <w:spacing w:after="0" w:line="226" w:lineRule="auto"/>
        <w:rPr>
          <w:sz w:val="20"/>
          <w:szCs w:val="20"/>
          <w:color w:val="auto"/>
        </w:rPr>
      </w:pPr>
      <w:r>
        <w:rPr>
          <w:rFonts w:ascii="Arial" w:cs="Arial" w:eastAsia="Arial" w:hAnsi="Arial"/>
          <w:sz w:val="13"/>
          <w:szCs w:val="13"/>
          <w:color w:val="auto"/>
        </w:rPr>
        <w:t>The aggregate market value of the registrant’s common stock held by non-affiliates on June 30, 2022, the last business day of the registrant’s most recently completed second fiscal quarter, was approximately $1.6 billion. Shares of common stock held by directors and executive officers and any ten percent or greater stockholders and their respective affiliates have been excluded from this calculation, because such stockholders may be deemed to be "affiliates" of the Registrant. This is not necessarily determinative of affiliate status of other purposes. As of February 21, 2023, there were 224,238,882 shares of the registrant’s common stock outstanding.</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jc w:val="both"/>
        <w:ind w:right="120" w:firstLine="492"/>
        <w:spacing w:after="0" w:line="318" w:lineRule="auto"/>
        <w:rPr>
          <w:sz w:val="20"/>
          <w:szCs w:val="20"/>
          <w:color w:val="auto"/>
        </w:rPr>
      </w:pPr>
      <w:r>
        <w:rPr>
          <w:rFonts w:ascii="Arial" w:cs="Arial" w:eastAsia="Arial" w:hAnsi="Arial"/>
          <w:sz w:val="10"/>
          <w:szCs w:val="10"/>
          <w:color w:val="auto"/>
        </w:rPr>
        <w:t>Portions of registrant’s proxy statement relating to registrant’s 2023 Annual Meeting of Stockholders (the “Proxy Statement”) to be filed with the Securities and Exchange Commission pursuant to Regulation 14A, not later than 120 days after the close of the registrant’s fiscal year,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389890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-29845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12700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40" w:type="dxa"/>
            <w:vAlign w:val="bottom"/>
            <w:gridSpan w:val="31"/>
          </w:tcPr>
          <w:p>
            <w:pPr>
              <w:spacing w:after="0"/>
              <w:rPr>
                <w:sz w:val="20"/>
                <w:szCs w:val="20"/>
                <w:color w:val="auto"/>
              </w:rPr>
            </w:pPr>
            <w:r>
              <w:rPr>
                <w:rFonts w:ascii="Arial" w:cs="Arial" w:eastAsia="Arial" w:hAnsi="Arial"/>
                <w:sz w:val="18"/>
                <w:szCs w:val="18"/>
                <w:color w:val="0000EE"/>
              </w:rPr>
              <w:t>Table of Contents</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gridSpan w:val="9"/>
          </w:tcPr>
          <w:p>
            <w:pPr>
              <w:ind w:left="2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PART I</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76" w:lineRule="exact"/>
              <w:rPr>
                <w:sz w:val="20"/>
                <w:szCs w:val="20"/>
                <w:color w:val="auto"/>
              </w:rPr>
            </w:pPr>
            <w:r>
              <w:rPr>
                <w:rFonts w:ascii="Arial" w:cs="Arial" w:eastAsia="Arial" w:hAnsi="Arial"/>
                <w:sz w:val="18"/>
                <w:szCs w:val="18"/>
                <w:color w:val="0000EE"/>
                <w:w w:val="90"/>
              </w:rPr>
              <w:t>Item 1.</w:t>
            </w:r>
          </w:p>
        </w:tc>
        <w:tc>
          <w:tcPr>
            <w:tcW w:w="160" w:type="dxa"/>
            <w:vAlign w:val="bottom"/>
            <w:tcBorders>
              <w:top w:val="single" w:sz="8" w:color="CCEEFF"/>
            </w:tcBorders>
            <w:gridSpan w:val="3"/>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220" w:type="dxa"/>
            <w:vAlign w:val="bottom"/>
            <w:tcBorders>
              <w:top w:val="single" w:sz="8" w:color="CCEEFF"/>
            </w:tcBorders>
            <w:gridSpan w:val="24"/>
          </w:tcPr>
          <w:p>
            <w:pPr>
              <w:ind w:left="280"/>
              <w:spacing w:after="0" w:line="176" w:lineRule="exact"/>
              <w:rPr>
                <w:sz w:val="20"/>
                <w:szCs w:val="20"/>
                <w:color w:val="auto"/>
              </w:rPr>
            </w:pPr>
            <w:r>
              <w:rPr>
                <w:rFonts w:ascii="Arial" w:cs="Arial" w:eastAsia="Arial" w:hAnsi="Arial"/>
                <w:sz w:val="18"/>
                <w:szCs w:val="18"/>
                <w:color w:val="0000EE"/>
              </w:rPr>
              <w:t>Business</w:t>
            </w:r>
          </w:p>
        </w:tc>
        <w:tc>
          <w:tcPr>
            <w:tcW w:w="9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w w:val="98"/>
              </w:rPr>
              <w:t>Item 1A.</w:t>
            </w:r>
          </w:p>
        </w:tc>
        <w:tc>
          <w:tcPr>
            <w:tcW w:w="20" w:type="dxa"/>
            <w:vAlign w:val="bottom"/>
            <w:shd w:val="clear" w:color="auto" w:fill="CCEEFF"/>
          </w:tcPr>
          <w:p>
            <w:pPr>
              <w:spacing w:after="0"/>
              <w:rPr>
                <w:sz w:val="15"/>
                <w:szCs w:val="15"/>
                <w:color w:val="auto"/>
              </w:rPr>
            </w:pPr>
          </w:p>
        </w:tc>
        <w:tc>
          <w:tcPr>
            <w:tcW w:w="8220" w:type="dxa"/>
            <w:vAlign w:val="bottom"/>
            <w:gridSpan w:val="24"/>
            <w:shd w:val="clear" w:color="auto" w:fill="CCEEFF"/>
          </w:tcPr>
          <w:p>
            <w:pPr>
              <w:ind w:left="280"/>
              <w:spacing w:after="0" w:line="176" w:lineRule="exact"/>
              <w:rPr>
                <w:sz w:val="20"/>
                <w:szCs w:val="20"/>
                <w:color w:val="auto"/>
              </w:rPr>
            </w:pPr>
            <w:r>
              <w:rPr>
                <w:rFonts w:ascii="Arial" w:cs="Arial" w:eastAsia="Arial" w:hAnsi="Arial"/>
                <w:sz w:val="18"/>
                <w:szCs w:val="18"/>
                <w:color w:val="0000EE"/>
              </w:rPr>
              <w:t>Risk Factors</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4"/>
          </w:tcPr>
          <w:p>
            <w:pPr>
              <w:spacing w:after="0" w:line="176" w:lineRule="exact"/>
              <w:rPr>
                <w:sz w:val="20"/>
                <w:szCs w:val="20"/>
                <w:color w:val="auto"/>
              </w:rPr>
            </w:pPr>
            <w:r>
              <w:rPr>
                <w:rFonts w:ascii="Arial" w:cs="Arial" w:eastAsia="Arial" w:hAnsi="Arial"/>
                <w:sz w:val="18"/>
                <w:szCs w:val="18"/>
                <w:color w:val="0000EE"/>
                <w:w w:val="89"/>
              </w:rPr>
              <w:t>Item 1B.</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940" w:type="dxa"/>
            <w:vAlign w:val="bottom"/>
            <w:gridSpan w:val="23"/>
          </w:tcPr>
          <w:p>
            <w:pPr>
              <w:spacing w:after="0" w:line="176" w:lineRule="exact"/>
              <w:rPr>
                <w:sz w:val="20"/>
                <w:szCs w:val="20"/>
                <w:color w:val="auto"/>
              </w:rPr>
            </w:pPr>
            <w:r>
              <w:rPr>
                <w:rFonts w:ascii="Arial" w:cs="Arial" w:eastAsia="Arial" w:hAnsi="Arial"/>
                <w:sz w:val="18"/>
                <w:szCs w:val="18"/>
                <w:color w:val="0000EE"/>
              </w:rPr>
              <w:t>Unresolved Staff Comments</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82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7"/>
              </w:rPr>
              <w:t>Item 2.</w:t>
            </w:r>
          </w:p>
        </w:tc>
        <w:tc>
          <w:tcPr>
            <w:tcW w:w="180" w:type="dxa"/>
            <w:vAlign w:val="bottom"/>
            <w:tcBorders>
              <w:bottom w:val="single" w:sz="8" w:color="CCEEFF"/>
            </w:tcBorders>
            <w:gridSpan w:val="4"/>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87"/>
              </w:rPr>
              <w:t>Properties</w:t>
            </w:r>
          </w:p>
        </w:tc>
        <w:tc>
          <w:tcPr>
            <w:tcW w:w="7200" w:type="dxa"/>
            <w:vAlign w:val="bottom"/>
            <w:tcBorders>
              <w:bottom w:val="single" w:sz="8" w:color="CCEEFF"/>
            </w:tcBorders>
            <w:gridSpan w:val="20"/>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5"/>
          </w:tcPr>
          <w:p>
            <w:pPr>
              <w:spacing w:after="0" w:line="176" w:lineRule="exact"/>
              <w:rPr>
                <w:sz w:val="20"/>
                <w:szCs w:val="20"/>
                <w:color w:val="auto"/>
              </w:rPr>
            </w:pPr>
            <w:r>
              <w:rPr>
                <w:rFonts w:ascii="Arial" w:cs="Arial" w:eastAsia="Arial" w:hAnsi="Arial"/>
                <w:sz w:val="18"/>
                <w:szCs w:val="18"/>
                <w:color w:val="0000EE"/>
              </w:rPr>
              <w:t>Item 3.</w:t>
            </w:r>
          </w:p>
        </w:tc>
        <w:tc>
          <w:tcPr>
            <w:tcW w:w="20" w:type="dxa"/>
            <w:vAlign w:val="bottom"/>
          </w:tcPr>
          <w:p>
            <w:pPr>
              <w:spacing w:after="0"/>
              <w:rPr>
                <w:sz w:val="15"/>
                <w:szCs w:val="15"/>
                <w:color w:val="auto"/>
              </w:rPr>
            </w:pPr>
          </w:p>
        </w:tc>
        <w:tc>
          <w:tcPr>
            <w:tcW w:w="8220" w:type="dxa"/>
            <w:vAlign w:val="bottom"/>
            <w:gridSpan w:val="24"/>
          </w:tcPr>
          <w:p>
            <w:pPr>
              <w:ind w:left="280"/>
              <w:spacing w:after="0" w:line="176" w:lineRule="exact"/>
              <w:rPr>
                <w:sz w:val="20"/>
                <w:szCs w:val="20"/>
                <w:color w:val="auto"/>
              </w:rPr>
            </w:pPr>
            <w:r>
              <w:rPr>
                <w:rFonts w:ascii="Arial" w:cs="Arial" w:eastAsia="Arial" w:hAnsi="Arial"/>
                <w:sz w:val="18"/>
                <w:szCs w:val="18"/>
                <w:color w:val="0000EE"/>
              </w:rPr>
              <w:t>Legal Proceedings</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20" w:type="dxa"/>
            <w:vAlign w:val="bottom"/>
            <w:shd w:val="clear" w:color="auto" w:fill="CCEEFF"/>
          </w:tcPr>
          <w:p>
            <w:pPr>
              <w:spacing w:after="0"/>
              <w:rPr>
                <w:sz w:val="17"/>
                <w:szCs w:val="17"/>
                <w:color w:val="auto"/>
              </w:rPr>
            </w:pPr>
          </w:p>
        </w:tc>
        <w:tc>
          <w:tcPr>
            <w:tcW w:w="8220" w:type="dxa"/>
            <w:vAlign w:val="bottom"/>
            <w:gridSpan w:val="24"/>
            <w:shd w:val="clear" w:color="auto" w:fill="CCEEFF"/>
          </w:tcPr>
          <w:p>
            <w:pPr>
              <w:ind w:left="280"/>
              <w:spacing w:after="0" w:line="176" w:lineRule="exact"/>
              <w:rPr>
                <w:sz w:val="20"/>
                <w:szCs w:val="20"/>
                <w:color w:val="auto"/>
              </w:rPr>
            </w:pPr>
            <w:r>
              <w:rPr>
                <w:rFonts w:ascii="Arial" w:cs="Arial" w:eastAsia="Arial" w:hAnsi="Arial"/>
                <w:sz w:val="18"/>
                <w:szCs w:val="18"/>
                <w:color w:val="0000EE"/>
              </w:rPr>
              <w:t>Mine Safety Disclosures</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95"/>
              </w:rPr>
              <w:t>PART II</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5"/>
          </w:tcPr>
          <w:p>
            <w:pPr>
              <w:spacing w:after="0" w:line="176" w:lineRule="exact"/>
              <w:rPr>
                <w:sz w:val="20"/>
                <w:szCs w:val="20"/>
                <w:color w:val="auto"/>
              </w:rPr>
            </w:pPr>
            <w:r>
              <w:rPr>
                <w:rFonts w:ascii="Arial" w:cs="Arial" w:eastAsia="Arial" w:hAnsi="Arial"/>
                <w:sz w:val="18"/>
                <w:szCs w:val="18"/>
                <w:color w:val="0000EE"/>
              </w:rPr>
              <w:t>Item 5.</w:t>
            </w:r>
          </w:p>
        </w:tc>
        <w:tc>
          <w:tcPr>
            <w:tcW w:w="20" w:type="dxa"/>
            <w:vAlign w:val="bottom"/>
          </w:tcPr>
          <w:p>
            <w:pPr>
              <w:spacing w:after="0"/>
              <w:rPr>
                <w:sz w:val="15"/>
                <w:szCs w:val="15"/>
                <w:color w:val="auto"/>
              </w:rPr>
            </w:pPr>
          </w:p>
        </w:tc>
        <w:tc>
          <w:tcPr>
            <w:tcW w:w="8220" w:type="dxa"/>
            <w:vAlign w:val="bottom"/>
            <w:gridSpan w:val="24"/>
          </w:tcPr>
          <w:p>
            <w:pPr>
              <w:ind w:left="280"/>
              <w:spacing w:after="0" w:line="176" w:lineRule="exact"/>
              <w:rPr>
                <w:sz w:val="20"/>
                <w:szCs w:val="20"/>
                <w:color w:val="auto"/>
              </w:rPr>
            </w:pPr>
            <w:r>
              <w:rPr>
                <w:rFonts w:ascii="Arial" w:cs="Arial" w:eastAsia="Arial" w:hAnsi="Arial"/>
                <w:sz w:val="18"/>
                <w:szCs w:val="18"/>
                <w:color w:val="0000EE"/>
              </w:rPr>
              <w:t>Market for Common Equity, Related Stockholder Matters and Issuer Purchases of Equity Securities</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7"/>
              </w:rPr>
              <w:t>Item 6.</w:t>
            </w:r>
          </w:p>
        </w:tc>
        <w:tc>
          <w:tcPr>
            <w:tcW w:w="180" w:type="dxa"/>
            <w:vAlign w:val="bottom"/>
            <w:tcBorders>
              <w:bottom w:val="single" w:sz="8" w:color="CCEEFF"/>
            </w:tcBorders>
            <w:gridSpan w:val="4"/>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89"/>
              </w:rPr>
              <w:t>[Reserved]</w:t>
            </w:r>
          </w:p>
        </w:tc>
        <w:tc>
          <w:tcPr>
            <w:tcW w:w="7140" w:type="dxa"/>
            <w:vAlign w:val="bottom"/>
            <w:tcBorders>
              <w:bottom w:val="single" w:sz="8" w:color="CCEEFF"/>
            </w:tcBorders>
            <w:gridSpan w:val="18"/>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5"/>
          </w:tcPr>
          <w:p>
            <w:pPr>
              <w:spacing w:after="0" w:line="176" w:lineRule="exact"/>
              <w:rPr>
                <w:sz w:val="20"/>
                <w:szCs w:val="20"/>
                <w:color w:val="auto"/>
              </w:rPr>
            </w:pPr>
            <w:r>
              <w:rPr>
                <w:rFonts w:ascii="Arial" w:cs="Arial" w:eastAsia="Arial" w:hAnsi="Arial"/>
                <w:sz w:val="18"/>
                <w:szCs w:val="18"/>
                <w:color w:val="0000EE"/>
              </w:rPr>
              <w:t>Item 7.</w:t>
            </w:r>
          </w:p>
        </w:tc>
        <w:tc>
          <w:tcPr>
            <w:tcW w:w="20" w:type="dxa"/>
            <w:vAlign w:val="bottom"/>
          </w:tcPr>
          <w:p>
            <w:pPr>
              <w:spacing w:after="0"/>
              <w:rPr>
                <w:sz w:val="15"/>
                <w:szCs w:val="15"/>
                <w:color w:val="auto"/>
              </w:rPr>
            </w:pPr>
          </w:p>
        </w:tc>
        <w:tc>
          <w:tcPr>
            <w:tcW w:w="8220" w:type="dxa"/>
            <w:vAlign w:val="bottom"/>
            <w:gridSpan w:val="24"/>
          </w:tcPr>
          <w:p>
            <w:pPr>
              <w:ind w:left="280"/>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w w:val="98"/>
              </w:rPr>
              <w:t>Item 7A.</w:t>
            </w:r>
          </w:p>
        </w:tc>
        <w:tc>
          <w:tcPr>
            <w:tcW w:w="20" w:type="dxa"/>
            <w:vAlign w:val="bottom"/>
            <w:shd w:val="clear" w:color="auto" w:fill="CCEEFF"/>
          </w:tcPr>
          <w:p>
            <w:pPr>
              <w:spacing w:after="0"/>
              <w:rPr>
                <w:sz w:val="17"/>
                <w:szCs w:val="17"/>
                <w:color w:val="auto"/>
              </w:rPr>
            </w:pPr>
          </w:p>
        </w:tc>
        <w:tc>
          <w:tcPr>
            <w:tcW w:w="8220" w:type="dxa"/>
            <w:vAlign w:val="bottom"/>
            <w:gridSpan w:val="24"/>
            <w:shd w:val="clear" w:color="auto" w:fill="CCEEFF"/>
          </w:tcPr>
          <w:p>
            <w:pPr>
              <w:ind w:left="28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0" w:type="dxa"/>
            <w:vAlign w:val="bottom"/>
            <w:tcBorders>
              <w:top w:val="single" w:sz="8" w:color="0000EE"/>
            </w:tcBorders>
            <w:gridSpan w:val="4"/>
          </w:tcPr>
          <w:p>
            <w:pPr>
              <w:spacing w:after="0" w:line="176" w:lineRule="exact"/>
              <w:rPr>
                <w:sz w:val="20"/>
                <w:szCs w:val="20"/>
                <w:color w:val="auto"/>
              </w:rPr>
            </w:pPr>
            <w:r>
              <w:rPr>
                <w:rFonts w:ascii="Arial" w:cs="Arial" w:eastAsia="Arial" w:hAnsi="Arial"/>
                <w:sz w:val="18"/>
                <w:szCs w:val="18"/>
                <w:color w:val="0000EE"/>
              </w:rPr>
              <w:t>Item 8.</w:t>
            </w: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360" w:type="dxa"/>
            <w:vAlign w:val="bottom"/>
            <w:tcBorders>
              <w:top w:val="single" w:sz="8" w:color="0000EE"/>
            </w:tcBorders>
            <w:gridSpan w:val="17"/>
          </w:tcPr>
          <w:p>
            <w:pPr>
              <w:spacing w:after="0" w:line="176" w:lineRule="exact"/>
              <w:rPr>
                <w:sz w:val="20"/>
                <w:szCs w:val="20"/>
                <w:color w:val="auto"/>
              </w:rPr>
            </w:pPr>
            <w:r>
              <w:rPr>
                <w:rFonts w:ascii="Arial" w:cs="Arial" w:eastAsia="Arial" w:hAnsi="Arial"/>
                <w:sz w:val="18"/>
                <w:szCs w:val="18"/>
                <w:color w:val="0000EE"/>
              </w:rPr>
              <w:t>Financial Statements and Supplementary Data</w:t>
            </w:r>
          </w:p>
        </w:tc>
        <w:tc>
          <w:tcPr>
            <w:tcW w:w="3580" w:type="dxa"/>
            <w:vAlign w:val="bottom"/>
            <w:tcBorders>
              <w:top w:val="single" w:sz="8" w:color="CCEEFF"/>
            </w:tcBorders>
            <w:gridSpan w:val="6"/>
          </w:tcPr>
          <w:p>
            <w:pPr>
              <w:spacing w:after="0"/>
              <w:rPr>
                <w:sz w:val="15"/>
                <w:szCs w:val="15"/>
                <w:color w:val="auto"/>
              </w:rPr>
            </w:pPr>
          </w:p>
        </w:tc>
        <w:tc>
          <w:tcPr>
            <w:tcW w:w="9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sz w:val="20"/>
                <w:szCs w:val="20"/>
                <w:color w:val="auto"/>
              </w:rPr>
            </w:pPr>
            <w:r>
              <w:rPr>
                <w:rFonts w:ascii="Arial" w:cs="Arial" w:eastAsia="Arial" w:hAnsi="Arial"/>
                <w:sz w:val="18"/>
                <w:szCs w:val="18"/>
                <w:color w:val="0000EE"/>
                <w:w w:val="87"/>
              </w:rPr>
              <w:t>Item 9.</w:t>
            </w:r>
          </w:p>
        </w:tc>
        <w:tc>
          <w:tcPr>
            <w:tcW w:w="180" w:type="dxa"/>
            <w:vAlign w:val="bottom"/>
            <w:gridSpan w:val="4"/>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94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5"/>
          </w:tcPr>
          <w:p>
            <w:pPr>
              <w:spacing w:after="0" w:line="176" w:lineRule="exact"/>
              <w:rPr>
                <w:sz w:val="20"/>
                <w:szCs w:val="20"/>
                <w:color w:val="auto"/>
              </w:rPr>
            </w:pPr>
            <w:r>
              <w:rPr>
                <w:rFonts w:ascii="Arial" w:cs="Arial" w:eastAsia="Arial" w:hAnsi="Arial"/>
                <w:sz w:val="18"/>
                <w:szCs w:val="18"/>
                <w:color w:val="0000EE"/>
                <w:w w:val="98"/>
              </w:rPr>
              <w:t>Item 9A.</w:t>
            </w:r>
          </w:p>
        </w:tc>
        <w:tc>
          <w:tcPr>
            <w:tcW w:w="20" w:type="dxa"/>
            <w:vAlign w:val="bottom"/>
          </w:tcPr>
          <w:p>
            <w:pPr>
              <w:spacing w:after="0"/>
              <w:rPr>
                <w:sz w:val="15"/>
                <w:szCs w:val="15"/>
                <w:color w:val="auto"/>
              </w:rPr>
            </w:pPr>
          </w:p>
        </w:tc>
        <w:tc>
          <w:tcPr>
            <w:tcW w:w="8220" w:type="dxa"/>
            <w:vAlign w:val="bottom"/>
            <w:gridSpan w:val="24"/>
          </w:tcPr>
          <w:p>
            <w:pPr>
              <w:ind w:left="280"/>
              <w:spacing w:after="0" w:line="176" w:lineRule="exact"/>
              <w:rPr>
                <w:sz w:val="20"/>
                <w:szCs w:val="20"/>
                <w:color w:val="auto"/>
              </w:rPr>
            </w:pPr>
            <w:r>
              <w:rPr>
                <w:rFonts w:ascii="Arial" w:cs="Arial" w:eastAsia="Arial" w:hAnsi="Arial"/>
                <w:sz w:val="18"/>
                <w:szCs w:val="18"/>
                <w:color w:val="0000EE"/>
              </w:rPr>
              <w:t>Controls and Procedures</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99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w w:val="98"/>
              </w:rPr>
              <w:t>Item 9B.</w:t>
            </w:r>
          </w:p>
        </w:tc>
        <w:tc>
          <w:tcPr>
            <w:tcW w:w="20" w:type="dxa"/>
            <w:vAlign w:val="bottom"/>
            <w:shd w:val="clear" w:color="auto" w:fill="CCEEFF"/>
          </w:tcPr>
          <w:p>
            <w:pPr>
              <w:spacing w:after="0"/>
              <w:rPr>
                <w:sz w:val="17"/>
                <w:szCs w:val="17"/>
                <w:color w:val="auto"/>
              </w:rPr>
            </w:pPr>
          </w:p>
        </w:tc>
        <w:tc>
          <w:tcPr>
            <w:tcW w:w="8220" w:type="dxa"/>
            <w:vAlign w:val="bottom"/>
            <w:gridSpan w:val="24"/>
            <w:shd w:val="clear" w:color="auto" w:fill="CCEEFF"/>
          </w:tcPr>
          <w:p>
            <w:pPr>
              <w:ind w:left="280"/>
              <w:spacing w:after="0" w:line="176" w:lineRule="exact"/>
              <w:rPr>
                <w:sz w:val="20"/>
                <w:szCs w:val="20"/>
                <w:color w:val="auto"/>
              </w:rPr>
            </w:pPr>
            <w:r>
              <w:rPr>
                <w:rFonts w:ascii="Arial" w:cs="Arial" w:eastAsia="Arial" w:hAnsi="Arial"/>
                <w:sz w:val="18"/>
                <w:szCs w:val="18"/>
                <w:color w:val="0000EE"/>
              </w:rPr>
              <w:t>Other Information</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8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96"/>
              </w:rPr>
              <w:t>PART III</w:t>
            </w: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 w:type="dxa"/>
            <w:vAlign w:val="bottom"/>
            <w:tcBorders>
              <w:top w:val="single" w:sz="8" w:color="CCEEFF"/>
            </w:tcBorders>
            <w:gridSpan w:val="5"/>
          </w:tcPr>
          <w:p>
            <w:pPr>
              <w:spacing w:after="0" w:line="176" w:lineRule="exact"/>
              <w:rPr>
                <w:sz w:val="20"/>
                <w:szCs w:val="20"/>
                <w:color w:val="auto"/>
              </w:rPr>
            </w:pPr>
            <w:r>
              <w:rPr>
                <w:rFonts w:ascii="Arial" w:cs="Arial" w:eastAsia="Arial" w:hAnsi="Arial"/>
                <w:sz w:val="18"/>
                <w:szCs w:val="18"/>
                <w:color w:val="0000EE"/>
              </w:rPr>
              <w:t>Item 10.</w:t>
            </w:r>
          </w:p>
        </w:tc>
        <w:tc>
          <w:tcPr>
            <w:tcW w:w="20" w:type="dxa"/>
            <w:vAlign w:val="bottom"/>
            <w:tcBorders>
              <w:top w:val="single" w:sz="8" w:color="CCEEFF"/>
            </w:tcBorders>
          </w:tcPr>
          <w:p>
            <w:pPr>
              <w:spacing w:after="0"/>
              <w:rPr>
                <w:sz w:val="15"/>
                <w:szCs w:val="15"/>
                <w:color w:val="auto"/>
              </w:rPr>
            </w:pPr>
          </w:p>
        </w:tc>
        <w:tc>
          <w:tcPr>
            <w:tcW w:w="8220" w:type="dxa"/>
            <w:vAlign w:val="bottom"/>
            <w:tcBorders>
              <w:top w:val="single" w:sz="8" w:color="CCEEFF"/>
            </w:tcBorders>
            <w:gridSpan w:val="24"/>
          </w:tcPr>
          <w:p>
            <w:pPr>
              <w:ind w:left="280"/>
              <w:spacing w:after="0" w:line="176" w:lineRule="exact"/>
              <w:rPr>
                <w:sz w:val="20"/>
                <w:szCs w:val="20"/>
                <w:color w:val="auto"/>
              </w:rPr>
            </w:pPr>
            <w:r>
              <w:rPr>
                <w:rFonts w:ascii="Arial" w:cs="Arial" w:eastAsia="Arial" w:hAnsi="Arial"/>
                <w:sz w:val="18"/>
                <w:szCs w:val="18"/>
                <w:color w:val="0000EE"/>
              </w:rPr>
              <w:t>Directors, Executive Officers and Corporate Governance</w:t>
            </w:r>
          </w:p>
        </w:tc>
        <w:tc>
          <w:tcPr>
            <w:tcW w:w="9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Item 11.</w:t>
            </w:r>
          </w:p>
        </w:tc>
        <w:tc>
          <w:tcPr>
            <w:tcW w:w="20" w:type="dxa"/>
            <w:vAlign w:val="bottom"/>
            <w:shd w:val="clear" w:color="auto" w:fill="CCEEFF"/>
          </w:tcPr>
          <w:p>
            <w:pPr>
              <w:spacing w:after="0"/>
              <w:rPr>
                <w:sz w:val="15"/>
                <w:szCs w:val="15"/>
                <w:color w:val="auto"/>
              </w:rPr>
            </w:pPr>
          </w:p>
        </w:tc>
        <w:tc>
          <w:tcPr>
            <w:tcW w:w="8220" w:type="dxa"/>
            <w:vAlign w:val="bottom"/>
            <w:gridSpan w:val="24"/>
            <w:shd w:val="clear" w:color="auto" w:fill="CCEEFF"/>
          </w:tcPr>
          <w:p>
            <w:pPr>
              <w:ind w:left="280"/>
              <w:spacing w:after="0" w:line="176" w:lineRule="exact"/>
              <w:rPr>
                <w:sz w:val="20"/>
                <w:szCs w:val="20"/>
                <w:color w:val="auto"/>
              </w:rPr>
            </w:pPr>
            <w:r>
              <w:rPr>
                <w:rFonts w:ascii="Arial" w:cs="Arial" w:eastAsia="Arial" w:hAnsi="Arial"/>
                <w:sz w:val="18"/>
                <w:szCs w:val="18"/>
                <w:color w:val="0000EE"/>
              </w:rPr>
              <w:t>Executive Compensation</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5"/>
          </w:tcPr>
          <w:p>
            <w:pPr>
              <w:spacing w:after="0" w:line="176" w:lineRule="exact"/>
              <w:rPr>
                <w:sz w:val="20"/>
                <w:szCs w:val="20"/>
                <w:color w:val="auto"/>
              </w:rPr>
            </w:pPr>
            <w:r>
              <w:rPr>
                <w:rFonts w:ascii="Arial" w:cs="Arial" w:eastAsia="Arial" w:hAnsi="Arial"/>
                <w:sz w:val="18"/>
                <w:szCs w:val="18"/>
                <w:color w:val="0000EE"/>
              </w:rPr>
              <w:t>Item 12.</w:t>
            </w:r>
          </w:p>
        </w:tc>
        <w:tc>
          <w:tcPr>
            <w:tcW w:w="20" w:type="dxa"/>
            <w:vAlign w:val="bottom"/>
          </w:tcPr>
          <w:p>
            <w:pPr>
              <w:spacing w:after="0"/>
              <w:rPr>
                <w:sz w:val="15"/>
                <w:szCs w:val="15"/>
                <w:color w:val="auto"/>
              </w:rPr>
            </w:pPr>
          </w:p>
        </w:tc>
        <w:tc>
          <w:tcPr>
            <w:tcW w:w="8220" w:type="dxa"/>
            <w:vAlign w:val="bottom"/>
            <w:gridSpan w:val="24"/>
          </w:tcPr>
          <w:p>
            <w:pPr>
              <w:ind w:left="280"/>
              <w:spacing w:after="0" w:line="176" w:lineRule="exact"/>
              <w:rPr>
                <w:sz w:val="20"/>
                <w:szCs w:val="20"/>
                <w:color w:val="auto"/>
              </w:rPr>
            </w:pPr>
            <w:r>
              <w:rPr>
                <w:rFonts w:ascii="Arial" w:cs="Arial" w:eastAsia="Arial" w:hAnsi="Arial"/>
                <w:sz w:val="18"/>
                <w:szCs w:val="18"/>
                <w:color w:val="0000EE"/>
                <w:w w:val="98"/>
              </w:rPr>
              <w:t>Security Ownership of Certain Beneficial Owners and Management and Related Stockholder Matters</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Item 13.</w:t>
            </w:r>
          </w:p>
        </w:tc>
        <w:tc>
          <w:tcPr>
            <w:tcW w:w="20" w:type="dxa"/>
            <w:vAlign w:val="bottom"/>
            <w:shd w:val="clear" w:color="auto" w:fill="CCEEFF"/>
          </w:tcPr>
          <w:p>
            <w:pPr>
              <w:spacing w:after="0"/>
              <w:rPr>
                <w:sz w:val="15"/>
                <w:szCs w:val="15"/>
                <w:color w:val="auto"/>
              </w:rPr>
            </w:pPr>
          </w:p>
        </w:tc>
        <w:tc>
          <w:tcPr>
            <w:tcW w:w="8220" w:type="dxa"/>
            <w:vAlign w:val="bottom"/>
            <w:gridSpan w:val="24"/>
            <w:shd w:val="clear" w:color="auto" w:fill="CCEEFF"/>
          </w:tcPr>
          <w:p>
            <w:pPr>
              <w:ind w:left="280"/>
              <w:spacing w:after="0" w:line="17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80" w:type="dxa"/>
            <w:vAlign w:val="bottom"/>
            <w:gridSpan w:val="5"/>
          </w:tcPr>
          <w:p>
            <w:pPr>
              <w:spacing w:after="0" w:line="176" w:lineRule="exact"/>
              <w:rPr>
                <w:sz w:val="20"/>
                <w:szCs w:val="20"/>
                <w:color w:val="auto"/>
              </w:rPr>
            </w:pPr>
            <w:r>
              <w:rPr>
                <w:rFonts w:ascii="Arial" w:cs="Arial" w:eastAsia="Arial" w:hAnsi="Arial"/>
                <w:sz w:val="18"/>
                <w:szCs w:val="18"/>
                <w:color w:val="0000EE"/>
              </w:rPr>
              <w:t>Item 14.</w:t>
            </w:r>
          </w:p>
        </w:tc>
        <w:tc>
          <w:tcPr>
            <w:tcW w:w="20" w:type="dxa"/>
            <w:vAlign w:val="bottom"/>
          </w:tcPr>
          <w:p>
            <w:pPr>
              <w:spacing w:after="0"/>
              <w:rPr>
                <w:sz w:val="15"/>
                <w:szCs w:val="15"/>
                <w:color w:val="auto"/>
              </w:rPr>
            </w:pPr>
          </w:p>
        </w:tc>
        <w:tc>
          <w:tcPr>
            <w:tcW w:w="8220" w:type="dxa"/>
            <w:vAlign w:val="bottom"/>
            <w:gridSpan w:val="24"/>
          </w:tcPr>
          <w:p>
            <w:pPr>
              <w:ind w:left="280"/>
              <w:spacing w:after="0" w:line="176" w:lineRule="exact"/>
              <w:rPr>
                <w:sz w:val="20"/>
                <w:szCs w:val="20"/>
                <w:color w:val="auto"/>
              </w:rPr>
            </w:pPr>
            <w:r>
              <w:rPr>
                <w:rFonts w:ascii="Arial" w:cs="Arial" w:eastAsia="Arial" w:hAnsi="Arial"/>
                <w:sz w:val="18"/>
                <w:szCs w:val="18"/>
                <w:color w:val="0000EE"/>
              </w:rPr>
              <w:t>Principal Accounting Fees and Services</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101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80" w:type="dxa"/>
            <w:vAlign w:val="bottom"/>
            <w:tcBorders>
              <w:bottom w:val="single" w:sz="8" w:color="0000EE"/>
            </w:tcBorders>
            <w:gridSpan w:val="5"/>
          </w:tcPr>
          <w:p>
            <w:pPr>
              <w:spacing w:after="0" w:line="176" w:lineRule="exact"/>
              <w:rPr>
                <w:sz w:val="20"/>
                <w:szCs w:val="20"/>
                <w:color w:val="auto"/>
              </w:rPr>
            </w:pPr>
            <w:r>
              <w:rPr>
                <w:rFonts w:ascii="Arial" w:cs="Arial" w:eastAsia="Arial" w:hAnsi="Arial"/>
                <w:sz w:val="18"/>
                <w:szCs w:val="18"/>
                <w:color w:val="0000EE"/>
                <w:w w:val="94"/>
              </w:rPr>
              <w:t>PART IV</w:t>
            </w:r>
          </w:p>
        </w:tc>
        <w:tc>
          <w:tcPr>
            <w:tcW w:w="20" w:type="dxa"/>
            <w:vAlign w:val="bottom"/>
            <w:tcBorders>
              <w:bottom w:val="single" w:sz="8" w:color="0000EE"/>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101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Item 15.</w:t>
            </w:r>
          </w:p>
        </w:tc>
        <w:tc>
          <w:tcPr>
            <w:tcW w:w="20" w:type="dxa"/>
            <w:vAlign w:val="bottom"/>
            <w:shd w:val="clear" w:color="auto" w:fill="CCEEFF"/>
          </w:tcPr>
          <w:p>
            <w:pPr>
              <w:spacing w:after="0"/>
              <w:rPr>
                <w:sz w:val="15"/>
                <w:szCs w:val="15"/>
                <w:color w:val="auto"/>
              </w:rPr>
            </w:pPr>
          </w:p>
        </w:tc>
        <w:tc>
          <w:tcPr>
            <w:tcW w:w="8220" w:type="dxa"/>
            <w:vAlign w:val="bottom"/>
            <w:gridSpan w:val="24"/>
            <w:shd w:val="clear" w:color="auto" w:fill="CCEEFF"/>
          </w:tcPr>
          <w:p>
            <w:pPr>
              <w:ind w:left="280"/>
              <w:spacing w:after="0" w:line="176" w:lineRule="exact"/>
              <w:rPr>
                <w:sz w:val="20"/>
                <w:szCs w:val="20"/>
                <w:color w:val="auto"/>
              </w:rPr>
            </w:pPr>
            <w:r>
              <w:rPr>
                <w:rFonts w:ascii="Arial" w:cs="Arial" w:eastAsia="Arial" w:hAnsi="Arial"/>
                <w:sz w:val="18"/>
                <w:szCs w:val="18"/>
                <w:color w:val="0000EE"/>
              </w:rPr>
              <w:t>Exhibits, Financial Statements Schedules</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5"/>
          </w:tcPr>
          <w:p>
            <w:pPr>
              <w:spacing w:after="0" w:line="176" w:lineRule="exact"/>
              <w:rPr>
                <w:sz w:val="20"/>
                <w:szCs w:val="20"/>
                <w:color w:val="auto"/>
              </w:rPr>
            </w:pPr>
            <w:r>
              <w:rPr>
                <w:rFonts w:ascii="Arial" w:cs="Arial" w:eastAsia="Arial" w:hAnsi="Arial"/>
                <w:sz w:val="18"/>
                <w:szCs w:val="18"/>
                <w:color w:val="0000EE"/>
              </w:rPr>
              <w:t>Item 16.</w:t>
            </w:r>
          </w:p>
        </w:tc>
        <w:tc>
          <w:tcPr>
            <w:tcW w:w="20" w:type="dxa"/>
            <w:vAlign w:val="bottom"/>
          </w:tcPr>
          <w:p>
            <w:pPr>
              <w:spacing w:after="0"/>
              <w:rPr>
                <w:sz w:val="15"/>
                <w:szCs w:val="15"/>
                <w:color w:val="auto"/>
              </w:rPr>
            </w:pPr>
          </w:p>
        </w:tc>
        <w:tc>
          <w:tcPr>
            <w:tcW w:w="8220" w:type="dxa"/>
            <w:vAlign w:val="bottom"/>
            <w:gridSpan w:val="24"/>
          </w:tcPr>
          <w:p>
            <w:pPr>
              <w:ind w:left="280"/>
              <w:spacing w:after="0" w:line="176" w:lineRule="exact"/>
              <w:rPr>
                <w:sz w:val="20"/>
                <w:szCs w:val="20"/>
                <w:color w:val="auto"/>
              </w:rPr>
            </w:pPr>
            <w:r>
              <w:rPr>
                <w:rFonts w:ascii="Arial" w:cs="Arial" w:eastAsia="Arial" w:hAnsi="Arial"/>
                <w:sz w:val="18"/>
                <w:szCs w:val="18"/>
                <w:color w:val="0000EE"/>
              </w:rPr>
              <w:t>10-K Summary</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104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20" w:type="dxa"/>
            <w:vAlign w:val="bottom"/>
            <w:gridSpan w:val="24"/>
            <w:shd w:val="clear" w:color="auto" w:fill="CCEEFF"/>
          </w:tcPr>
          <w:p>
            <w:pPr>
              <w:ind w:left="280"/>
              <w:spacing w:after="0" w:line="176" w:lineRule="exact"/>
              <w:rPr>
                <w:sz w:val="20"/>
                <w:szCs w:val="20"/>
                <w:color w:val="auto"/>
              </w:rPr>
            </w:pPr>
            <w:r>
              <w:rPr>
                <w:rFonts w:ascii="Arial" w:cs="Arial" w:eastAsia="Arial" w:hAnsi="Arial"/>
                <w:sz w:val="18"/>
                <w:szCs w:val="18"/>
                <w:color w:val="0000EE"/>
              </w:rPr>
              <w:t>Signatures</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 and Market Data</w:t>
      </w:r>
    </w:p>
    <w:p>
      <w:pPr>
        <w:spacing w:after="0" w:line="229"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This Annual Report on Form 10-K contains forward-looking statements that are based on management’s beliefs and assumptions and on information currently available to management. All statements other than statements of historical facts contained in this report are forward-looking statements. In some cases, you can identify forward-looking statements by the following words: “may,” “will,” “might,” “could,” “would,” “should,” “expect,” “intend,” “plan,” “anticipate,” “believe,” “estimate,” “predict,” “project,” “aim,” “potential,” “continue,” “ongoing,” “goal,” “forecast,” “guidance,” “outlook,” or the negative of these terms or other similar expressions, although not all forward-looking statements contain these words.</w:t>
      </w:r>
    </w:p>
    <w:p>
      <w:pPr>
        <w:spacing w:after="0" w:line="192"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report, we caution you that these statements are based on a combination of facts and factors currently known by us and our projections of the future, about which we cannot be certain. Forward-looking statements in this Annual Report on Form 10-K include, but are not limited to, statements about:</w:t>
      </w:r>
    </w:p>
    <w:p>
      <w:pPr>
        <w:spacing w:after="0" w:line="161" w:lineRule="exact"/>
        <w:rPr>
          <w:sz w:val="20"/>
          <w:szCs w:val="20"/>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enrollment, and timing of our clinical trials;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w:t>
      </w:r>
    </w:p>
    <w:p>
      <w:pPr>
        <w:spacing w:after="0" w:line="9" w:lineRule="exact"/>
        <w:rPr>
          <w:rFonts w:ascii="Arial" w:cs="Arial" w:eastAsia="Arial" w:hAnsi="Arial"/>
          <w:sz w:val="18"/>
          <w:szCs w:val="18"/>
          <w:color w:val="auto"/>
        </w:rPr>
      </w:pPr>
    </w:p>
    <w:p>
      <w:pPr>
        <w:ind w:left="680" w:right="10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us or our third-party contract manufacturers to continue to manufacture tumor infiltrating lymphocytes, or TIL, in accordance with our selected process;</w:t>
      </w:r>
    </w:p>
    <w:p>
      <w:pPr>
        <w:ind w:left="680" w:hanging="321"/>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design, construct and staff our own manufacturing facility on a timely basis and within the estimated expenses;</w:t>
      </w:r>
    </w:p>
    <w:p>
      <w:pPr>
        <w:spacing w:after="0" w:line="32" w:lineRule="exact"/>
        <w:rPr>
          <w:rFonts w:ascii="Arial" w:cs="Arial" w:eastAsia="Arial" w:hAnsi="Arial"/>
          <w:sz w:val="16"/>
          <w:szCs w:val="16"/>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of America, or U.S., and foreign countries;</w:t>
      </w:r>
    </w:p>
    <w:p>
      <w:pPr>
        <w:spacing w:after="0" w:line="9" w:lineRule="exact"/>
        <w:rPr>
          <w:rFonts w:ascii="Arial" w:cs="Arial" w:eastAsia="Arial" w:hAnsi="Arial"/>
          <w:sz w:val="18"/>
          <w:szCs w:val="18"/>
          <w:color w:val="auto"/>
        </w:rPr>
      </w:pPr>
    </w:p>
    <w:p>
      <w:pPr>
        <w:ind w:left="680" w:right="5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U.S. Food and Drug Administration, or the FDA, or other regulatory authority approval of, or other action with respect to, our product candidates;</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20" w:lineRule="exact"/>
        <w:rPr>
          <w:rFonts w:ascii="Arial" w:cs="Arial" w:eastAsia="Arial" w:hAnsi="Arial"/>
          <w:sz w:val="17"/>
          <w:szCs w:val="17"/>
          <w:color w:val="auto"/>
        </w:rPr>
      </w:pPr>
    </w:p>
    <w:p>
      <w:pPr>
        <w:ind w:left="680" w:right="106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ind w:left="680" w:right="1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research institution collaborators to continue research and development activities relating to our product candidates;</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our other research and development and strategic collaborations;</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manufacturing methods and product candidates;</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trading price of our common stock;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cash and other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Actual results may differ from those set forth in this Annual Report on Form 10-K due to the risks and uncertainties inherent in our business, including, without limitation: the FDA may not agree with our interpretation of the results of its clinical trials; later developments with the FDA that may be inconsistent with already completed FDA meetings; the preliminary clinical results, including efficacy and safety results, from ongoing Phase 2 and Phase 3 clinical trials may not be reflected in the final analyses of these clinical trials including new cohorts within these clinical trials; the results obtained in our ongoing clinical trials, such as the studies and clinical trials referred to in this Annual Report on Form 10-K, may not be indicative of results obtained in future clinical trials or supportive of product approval; regulatory authorities may potentially delay the timing of FDA or other regulatory authority approval of, or other action with respect to, our product candidates, specifically, our description of FDA interactions are subject to FDA’s interpretation, as well as FDA’s authority to request new or additional information; we may not be able to obtain or maintain FDA or other regulatory authority approval of its product candidates; our ability to address FDA or other regulatory authority requirements relating to our clinical programs and registrational plans, such requirements including, but not limited to, clinical and safety requirements as well as manufacturing and control requirements; risks related to our accelerated FDA review designations; our ability to obtain and maintain intellectual property rights relating to our product pipeline; and the acceptance by the market of our product candidates and their potential reimbursement by payors, if approved.</w:t>
      </w:r>
    </w:p>
    <w:p>
      <w:pPr>
        <w:spacing w:after="0" w:line="184"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We caution you that the risks, uncertainties, and other factors referenced above may not contain all the risks, uncertainties and other factors that are important to you. In addition, we cannot guarantee future results, level of activity, performance, or achievements. Any forward-looking statement made by us in this Annual Report on Form 10-K speaks only as of the date of this Annual Report on Form 10-K or as of the date on which it is made. Except as required by law, we undertake no obligation to publicly update any forward-looking statements, whether because of new information, future events or otherwise, after the date of this Annual Report on Form 10-K.</w:t>
      </w:r>
    </w:p>
    <w:p>
      <w:pPr>
        <w:spacing w:after="0" w:line="161"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Unless the context requires otherwise, in this report the terms “Iovance,” the “Company,” “we,” “us” and “our” refer to Iovance Biotherapeutics, Inc.</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We are a clinical-stage biopharmaceutical company pioneering a transformational approach to treating cancer by harnessing the human immune system’s ability to recognize and destroy diverse cancer cells using therapies personalized for each patient. We are preparing for potential U.S. regulatory approval and commercialization of the first autologous T-cell therapy to address a solid tumor cancer. Our mission is to be the global leader in innovating, developing and delivering tumor infiltrating lymphocyte, or TIL, therapies for patients with solid tumor cancers. Our autologous TIL therapy platform uses a centralized, scalable and proprietary 22-day manufacturing process to grow polyclonal T-cells unique to each patient and yields a cryopreserved, individualized therapy. We have applied multiple TIL therapy modalities in clinical trials in solid tumors, including TIL monotherapies for patients with later stage disease who have progressed on or after standard of care, as well as TIL combinations with standard of care therapies in patients who are earlier in their disease, to potentially improve outcomes compared to current standard(s) of care.</w:t>
      </w:r>
    </w:p>
    <w:p>
      <w:pPr>
        <w:spacing w:after="0" w:line="181" w:lineRule="exact"/>
        <w:rPr>
          <w:sz w:val="20"/>
          <w:szCs w:val="20"/>
          <w:color w:val="auto"/>
        </w:rPr>
      </w:pPr>
    </w:p>
    <w:p>
      <w:pPr>
        <w:ind w:right="40" w:firstLine="492"/>
        <w:spacing w:after="0" w:line="290" w:lineRule="auto"/>
        <w:rPr>
          <w:sz w:val="20"/>
          <w:szCs w:val="20"/>
          <w:color w:val="auto"/>
        </w:rPr>
      </w:pPr>
      <w:r>
        <w:rPr>
          <w:rFonts w:ascii="Arial" w:cs="Arial" w:eastAsia="Arial" w:hAnsi="Arial"/>
          <w:sz w:val="16"/>
          <w:szCs w:val="16"/>
          <w:color w:val="auto"/>
        </w:rPr>
        <w:t>Our lead product candidate, lifileucel, is being developed in advanced, or metastatic or unresectable, melanoma as well as in other indications. Lifileucel was investigated in two consecutive cohorts in a clinical trial of advanced melanoma patients post-anti-PD-1 therapy, including in a prospectively defined pivotal cohort. These patients had progressed on or after standard of care therapy, which is immune checkpoint inhibitors, or ICIs, and, targeted BRAF/MEK inhibitor therapy where appropriate. Based on the positive results of these cohorts, we initiated a rolling Biologics License Application, or BLA, submission to the U.S. Food and Drug Administration, or FDA, for lifileucel in August 2022. We expect to complete this rolling BLA submission in the first quarter of 2023. Our Phase 3 clinical trial of lifileucel in combination with pembrolizumab, TILVANCE-301, is intended to be registrational in frontline advanced melanoma and serve as a confirmatory clinical trial to support full approval of lifileucel monotherapy in post-anti-PD-1 melanoma.</w:t>
      </w:r>
    </w:p>
    <w:p>
      <w:pPr>
        <w:spacing w:after="0" w:line="165" w:lineRule="exact"/>
        <w:rPr>
          <w:sz w:val="20"/>
          <w:szCs w:val="20"/>
          <w:color w:val="auto"/>
        </w:rPr>
      </w:pPr>
    </w:p>
    <w:p>
      <w:pPr>
        <w:ind w:firstLine="492"/>
        <w:spacing w:after="0" w:line="279" w:lineRule="auto"/>
        <w:rPr>
          <w:sz w:val="20"/>
          <w:szCs w:val="20"/>
          <w:color w:val="auto"/>
        </w:rPr>
      </w:pPr>
      <w:r>
        <w:rPr>
          <w:rFonts w:ascii="Arial" w:cs="Arial" w:eastAsia="Arial" w:hAnsi="Arial"/>
          <w:sz w:val="17"/>
          <w:szCs w:val="17"/>
          <w:color w:val="auto"/>
        </w:rPr>
        <w:t>We are also pursuing registrational strategies for lifileucel in advanced cervical cancer and for our TIL therapy, LN-145, in metastatic non-small cell lung cancer, or NSCLC. To continuously innovate and maintain our global leadership within the field, we are investigating next generation approaches to optimize TIL products, manufacturing processes and treatment regimens, including a first-in-human clinical trial of our lead genetically modified TIL therapy, IOV-4001. We are also exploring a 16-day manufacturing</w:t>
      </w:r>
    </w:p>
    <w:p>
      <w:pPr>
        <w:sectPr>
          <w:pgSz w:w="11900" w:h="16838" w:orient="portrait"/>
          <w:cols w:equalWidth="0" w:num="1">
            <w:col w:w="9900"/>
          </w:cols>
          <w:pgMar w:left="980" w:top="665" w:right="101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process, tumor tissue procurement via core biopsy, additional genetically modified TIL therapies including multiple immune checkpoint gene edits and cytokine-tethered TIL therapies, and a novel interleukin-2, or IL-2, analog, designated IOV-3001, as potential avenues to improve manufacturing timelines, sample collection and supportive treatments involved in the overall TIL therapy process and treatment regimen.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Highlights of our current development pipeline are presented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151765</wp:posOffset>
            </wp:positionV>
            <wp:extent cx="6035040" cy="3068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504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Technologies and Manufacturing</w:t>
      </w:r>
    </w:p>
    <w:p>
      <w:pPr>
        <w:spacing w:after="0" w:line="225" w:lineRule="exact"/>
        <w:rPr>
          <w:sz w:val="20"/>
          <w:szCs w:val="20"/>
          <w:color w:val="auto"/>
        </w:rPr>
      </w:pPr>
    </w:p>
    <w:p>
      <w:pPr>
        <w:ind w:right="120" w:firstLine="492"/>
        <w:spacing w:after="0" w:line="291" w:lineRule="auto"/>
        <w:rPr>
          <w:sz w:val="20"/>
          <w:szCs w:val="20"/>
          <w:color w:val="auto"/>
        </w:rPr>
      </w:pPr>
      <w:r>
        <w:rPr>
          <w:rFonts w:ascii="Arial" w:cs="Arial" w:eastAsia="Arial" w:hAnsi="Arial"/>
          <w:sz w:val="16"/>
          <w:szCs w:val="16"/>
          <w:color w:val="auto"/>
        </w:rPr>
        <w:t>Our T-cell-based immunotherapy technology platforms are potentially applicable to many solid tumor types and blood cancers. Each platform is focused on leveraging patient-specific cells to recognize and attack diverse cancer cells that are unique to each patient. Unlike cell therapies that act on a single or small number of shared antigen targets common to certain tumors, our polyclonal T-cells are personalized therapies designed to target a variety of neoantigens that are unique to the patient or tumor. The majority of solid tumor immune targets are patient-specific, with fewer than 1% shared among patients. TIL therapy is our lead T-cell-based immunotherapy platform in multiple advanced solid tumor cancers. For blood cancers, our peripheral blood lymphocyte, or PBL, therapy platform is based on polyclonal T-cells that are collected from a patient’s blood sample, and then amplified and reinvigorated.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TIL Clinical Development in Advanced, Metastatic or Unresectable Solid Tumor Cancers</w:t>
      </w:r>
    </w:p>
    <w:p>
      <w:pPr>
        <w:spacing w:after="0" w:line="225" w:lineRule="exact"/>
        <w:rPr>
          <w:sz w:val="20"/>
          <w:szCs w:val="20"/>
          <w:color w:val="auto"/>
        </w:rPr>
      </w:pPr>
    </w:p>
    <w:p>
      <w:pPr>
        <w:ind w:right="160" w:firstLine="492"/>
        <w:spacing w:after="0" w:line="311" w:lineRule="auto"/>
        <w:rPr>
          <w:sz w:val="20"/>
          <w:szCs w:val="20"/>
          <w:color w:val="auto"/>
        </w:rPr>
      </w:pPr>
      <w:r>
        <w:rPr>
          <w:rFonts w:ascii="Arial" w:cs="Arial" w:eastAsia="Arial" w:hAnsi="Arial"/>
          <w:sz w:val="16"/>
          <w:szCs w:val="16"/>
          <w:color w:val="auto"/>
        </w:rPr>
        <w:t>Building on the prior TIL therapy clinical trials conducted at single academic centers, including the National Cancer Institute, or NCI, we have investigated TIL therapy in global, multi-center Phase 2 clinical trials in advanced melanoma, cervical cancer, NSCLC, and head and neck squamous cell carcinoma, or HNSCC. Additional information about our clinical trials is summarized below.</w:t>
      </w:r>
    </w:p>
    <w:p>
      <w:pPr>
        <w:spacing w:after="0" w:line="149" w:lineRule="exact"/>
        <w:rPr>
          <w:sz w:val="20"/>
          <w:szCs w:val="20"/>
          <w:color w:val="auto"/>
        </w:rPr>
      </w:pPr>
    </w:p>
    <w:p>
      <w:pPr>
        <w:ind w:right="620" w:firstLine="492"/>
        <w:spacing w:after="0" w:line="277" w:lineRule="auto"/>
        <w:rPr>
          <w:sz w:val="20"/>
          <w:szCs w:val="20"/>
          <w:color w:val="auto"/>
        </w:rPr>
      </w:pPr>
      <w:r>
        <w:rPr>
          <w:rFonts w:ascii="Arial" w:cs="Arial" w:eastAsia="Arial" w:hAnsi="Arial"/>
          <w:sz w:val="18"/>
          <w:szCs w:val="18"/>
          <w:color w:val="auto"/>
        </w:rPr>
        <w:t>In post-anti-PD-1 advanced melanoma, we are investigating lifileucel in our C-144-01 clinical trial that supports our BLA submission and potential approval of lifileucel in advanced post-anti-PD-1 melanoma.</w:t>
      </w:r>
    </w:p>
    <w:p>
      <w:pPr>
        <w:spacing w:after="0" w:line="170"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In frontline advanced melanoma patients who are naïve to anti-PD-1 therapy, we are investigating lifileucel in combination with pembrolizumab in the IOV-COM-202 clinical trial and the Phase 3 TILVANCE-301 clinical trial. TILVANCE-301 is a randomized Phase 3 clinical trial intended to support registration in advanced frontline melanoma as well as to serve as a confirmatory trial for full approval in advanced post-anti-PD-1 melanoma.</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492"/>
        <w:spacing w:after="0" w:line="263" w:lineRule="auto"/>
        <w:rPr>
          <w:sz w:val="20"/>
          <w:szCs w:val="20"/>
          <w:color w:val="auto"/>
        </w:rPr>
      </w:pPr>
      <w:r>
        <w:rPr>
          <w:rFonts w:ascii="Arial" w:cs="Arial" w:eastAsia="Arial" w:hAnsi="Arial"/>
          <w:sz w:val="18"/>
          <w:szCs w:val="18"/>
          <w:color w:val="auto"/>
        </w:rPr>
        <w:t>We are also executing a registrational strategy for lifileucel in advanced cervical cancer. C-145-04 is a multicenter Phase 2 clinical trial that is currently enrolling a pivotal cohort to support a BLA in cervical cancer following progression on or after chemotherapy and pembrolizumab.</w:t>
      </w:r>
    </w:p>
    <w:p>
      <w:pPr>
        <w:spacing w:after="0" w:line="184" w:lineRule="exact"/>
        <w:rPr>
          <w:sz w:val="20"/>
          <w:szCs w:val="20"/>
          <w:color w:val="auto"/>
        </w:rPr>
      </w:pPr>
    </w:p>
    <w:p>
      <w:pPr>
        <w:ind w:right="280" w:firstLine="492"/>
        <w:spacing w:after="0" w:line="259" w:lineRule="auto"/>
        <w:rPr>
          <w:sz w:val="20"/>
          <w:szCs w:val="20"/>
          <w:color w:val="auto"/>
        </w:rPr>
      </w:pPr>
      <w:r>
        <w:rPr>
          <w:rFonts w:ascii="Arial" w:cs="Arial" w:eastAsia="Arial" w:hAnsi="Arial"/>
          <w:sz w:val="18"/>
          <w:szCs w:val="18"/>
          <w:color w:val="auto"/>
        </w:rPr>
        <w:t>In NSCLC, we are investigating our TIL therapy, LN-145, in two clinical trials in several NSCLC patient populations with significant unmet need. IOV-LUN-202 is a clinical trial of LN-145 in advanced NSCLC patients who have progressed following chemotherapy and anti-PD-1 therapy. IOV-COM-202 also includes cohorts of NSCLC patients treated with LN-145 monotherapy and combination therapy.</w:t>
      </w:r>
    </w:p>
    <w:p>
      <w:pPr>
        <w:spacing w:after="0" w:line="187" w:lineRule="exact"/>
        <w:rPr>
          <w:sz w:val="20"/>
          <w:szCs w:val="20"/>
          <w:color w:val="auto"/>
        </w:rPr>
      </w:pPr>
    </w:p>
    <w:p>
      <w:pPr>
        <w:jc w:val="both"/>
        <w:ind w:right="280" w:firstLine="492"/>
        <w:spacing w:after="0" w:line="311" w:lineRule="auto"/>
        <w:rPr>
          <w:sz w:val="20"/>
          <w:szCs w:val="20"/>
          <w:color w:val="auto"/>
        </w:rPr>
      </w:pPr>
      <w:r>
        <w:rPr>
          <w:rFonts w:ascii="Arial" w:cs="Arial" w:eastAsia="Arial" w:hAnsi="Arial"/>
          <w:sz w:val="16"/>
          <w:szCs w:val="16"/>
          <w:color w:val="auto"/>
        </w:rPr>
        <w:t>Our first genetically modified, PD-1 inactivated TIL therapy, IOV-4001, entered a first-in-human Phase 1/2 clinical trial, IOV-GM1-201, in 2022 in patients with previously treated advanced melanoma and NSCLC. IOV-4001 utilizes the gene-editing TALEN® technology, licensed from Cellectis S.A., or Cellectis, to inactivate the gene coding for the programmed cell death protein-1, or PD-1.</w:t>
      </w:r>
    </w:p>
    <w:p>
      <w:pPr>
        <w:spacing w:after="0" w:line="149" w:lineRule="exact"/>
        <w:rPr>
          <w:sz w:val="20"/>
          <w:szCs w:val="20"/>
          <w:color w:val="auto"/>
        </w:rPr>
      </w:pPr>
    </w:p>
    <w:p>
      <w:pPr>
        <w:ind w:right="60" w:firstLine="492"/>
        <w:spacing w:after="0" w:line="277" w:lineRule="auto"/>
        <w:rPr>
          <w:sz w:val="20"/>
          <w:szCs w:val="20"/>
          <w:color w:val="auto"/>
        </w:rPr>
      </w:pPr>
      <w:r>
        <w:rPr>
          <w:rFonts w:ascii="Arial" w:cs="Arial" w:eastAsia="Arial" w:hAnsi="Arial"/>
          <w:sz w:val="18"/>
          <w:szCs w:val="18"/>
          <w:color w:val="auto"/>
        </w:rPr>
        <w:t>Beyond our Iovance-sponsored clinical trials, we have academic collaborations with leading cancer research centers to investigate TIL therapy, including next-generation processes and technologies, in other cancers and treatment settings.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Next-Generation Therapeutic and Manufacturing Approaches</w:t>
      </w:r>
    </w:p>
    <w:p>
      <w:pPr>
        <w:spacing w:after="0" w:line="225" w:lineRule="exact"/>
        <w:rPr>
          <w:sz w:val="20"/>
          <w:szCs w:val="20"/>
          <w:color w:val="auto"/>
        </w:rPr>
      </w:pPr>
    </w:p>
    <w:p>
      <w:pPr>
        <w:ind w:right="140" w:firstLine="492"/>
        <w:spacing w:after="0" w:line="263" w:lineRule="auto"/>
        <w:rPr>
          <w:sz w:val="20"/>
          <w:szCs w:val="20"/>
          <w:color w:val="auto"/>
        </w:rPr>
      </w:pPr>
      <w:r>
        <w:rPr>
          <w:rFonts w:ascii="Arial" w:cs="Arial" w:eastAsia="Arial" w:hAnsi="Arial"/>
          <w:sz w:val="18"/>
          <w:szCs w:val="18"/>
          <w:color w:val="auto"/>
        </w:rPr>
        <w:t>Our current next-generation technology platforms are designed to optimize TIL therapy across four key initiatives: genetic modification, potency, manufacturing process and treatment regimens. More information on our next-generation approaches is included in the Next-Generation Product Candidates section of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ind w:right="300" w:firstLine="492"/>
        <w:spacing w:after="0" w:line="296" w:lineRule="auto"/>
        <w:rPr>
          <w:sz w:val="20"/>
          <w:szCs w:val="20"/>
          <w:color w:val="auto"/>
        </w:rPr>
      </w:pPr>
      <w:r>
        <w:rPr>
          <w:rFonts w:ascii="Arial" w:cs="Arial" w:eastAsia="Arial" w:hAnsi="Arial"/>
          <w:sz w:val="16"/>
          <w:szCs w:val="16"/>
          <w:color w:val="auto"/>
        </w:rPr>
        <w:t>We have established a leading intellectual property portfolio developed internally and licensed from third parties. We currently own more than 60 U.S. patents related to TIL therapy, including patents directed to compositions and methods of treatment and manufacturing in a broad range of cancers. Pending patent applications and granted patents cover the fields of TIL therapy, marrow infiltrating lymphocytes, or MIL therapy, and PBL therapy. We also license rights to a broad range of technologies related to our platforms. More details on our intellectual property portfolio are included within this Annual Report on Form 10-K.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Strategy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Be the global leader in innovating, developing and delivering TIL therapy</w:t>
      </w:r>
    </w:p>
    <w:p>
      <w:pPr>
        <w:spacing w:after="0" w:line="225" w:lineRule="exact"/>
        <w:rPr>
          <w:sz w:val="20"/>
          <w:szCs w:val="20"/>
          <w:color w:val="auto"/>
        </w:rPr>
      </w:pPr>
    </w:p>
    <w:p>
      <w:pPr>
        <w:ind w:right="200" w:firstLine="492"/>
        <w:spacing w:after="0" w:line="259" w:lineRule="auto"/>
        <w:rPr>
          <w:sz w:val="20"/>
          <w:szCs w:val="20"/>
          <w:color w:val="auto"/>
        </w:rPr>
      </w:pPr>
      <w:r>
        <w:rPr>
          <w:rFonts w:ascii="Arial" w:cs="Arial" w:eastAsia="Arial" w:hAnsi="Arial"/>
          <w:sz w:val="18"/>
          <w:szCs w:val="18"/>
          <w:color w:val="auto"/>
        </w:rPr>
        <w:t>Our mission is to be the global leader in innovating, developing and delivering TIL therapy for patients with cancer. We are pioneering this transformational approach to cure cancer by harnessing the human immune system’s ability to recognize and destroy diverse cancer cells in each patient. We are committed to continuous innovation in developing TIL cell therapy and optimizing the TIL treatment regimen that may extend and improve life for patients with cancer.</w:t>
      </w:r>
    </w:p>
    <w:p>
      <w:pPr>
        <w:spacing w:after="0" w:line="18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Obtain regulatory approval and successfully commercialize our lead product candidate lifileucel for the treatment of post-anti-PD-1 advanced melanoma</w:t>
      </w:r>
    </w:p>
    <w:p>
      <w:pPr>
        <w:spacing w:after="0" w:line="197" w:lineRule="exact"/>
        <w:rPr>
          <w:sz w:val="20"/>
          <w:szCs w:val="20"/>
          <w:color w:val="auto"/>
        </w:rPr>
      </w:pPr>
    </w:p>
    <w:p>
      <w:pPr>
        <w:jc w:val="both"/>
        <w:ind w:right="420" w:firstLine="486"/>
        <w:spacing w:after="0" w:line="286" w:lineRule="auto"/>
        <w:rPr>
          <w:sz w:val="20"/>
          <w:szCs w:val="20"/>
          <w:color w:val="auto"/>
        </w:rPr>
      </w:pPr>
      <w:r>
        <w:rPr>
          <w:rFonts w:ascii="Arial" w:cs="Arial" w:eastAsia="Arial" w:hAnsi="Arial"/>
          <w:sz w:val="17"/>
          <w:szCs w:val="17"/>
          <w:color w:val="auto"/>
        </w:rPr>
        <w:t>Our top priority is to expedite the regulatory approval and commercialization of our lead product candidate, lifileucel, for the treatment of patients with post-anti-PD-1 advanced melanoma. We initiated a rolling BLA for lifileucel in post-anti-PD-1 advanced melanoma in August 2022 and plan to complete the BLA submission in the first quarter of 2023.</w:t>
      </w:r>
    </w:p>
    <w:p>
      <w:pPr>
        <w:spacing w:after="0" w:line="165"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Our medical affairs team is in the field educating key opinion leaders, or KOLs, and presenting and publishing our clinical results. Our U.S. commercial leadership team is preparing to launch lifileucel in 2023, if approved. We have experienced marketing, payer access and distribution teams, and we are building a specialty oncology sales force for launch. More than half the team has prior cell therapy experience.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five primary areas of our pre-launch efforts include:</w:t>
      </w:r>
    </w:p>
    <w:p>
      <w:pPr>
        <w:spacing w:after="0" w:line="225" w:lineRule="exact"/>
        <w:rPr>
          <w:sz w:val="20"/>
          <w:szCs w:val="20"/>
          <w:color w:val="auto"/>
        </w:rPr>
      </w:pPr>
    </w:p>
    <w:p>
      <w:pPr>
        <w:ind w:left="840" w:hanging="319"/>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onboarding of authorized treatment centers, or ATCs, with the goal of 40 ATCs for commercial launch;</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40" w:hanging="319"/>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collaboration with healthcare professionals, or HCPs, who will be handling or administering our product;</w:t>
      </w:r>
    </w:p>
    <w:p>
      <w:pPr>
        <w:spacing w:after="0" w:line="23" w:lineRule="exact"/>
        <w:rPr>
          <w:rFonts w:ascii="Arial" w:cs="Arial" w:eastAsia="Arial" w:hAnsi="Arial"/>
          <w:sz w:val="18"/>
          <w:szCs w:val="18"/>
          <w:color w:val="auto"/>
        </w:rPr>
      </w:pPr>
    </w:p>
    <w:p>
      <w:pPr>
        <w:ind w:left="840" w:hanging="319"/>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operational excellence in launch execution, commercial manufacturing and delivery of therapy;</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communication with payors about the value of lifileucel; and</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establishment of a cross-functional, patient-centric organization.</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Prepare for commercial manufacturing to meet forecasted demand</w:t>
      </w:r>
    </w:p>
    <w:p>
      <w:pPr>
        <w:spacing w:after="0" w:line="225" w:lineRule="exact"/>
        <w:rPr>
          <w:sz w:val="20"/>
          <w:szCs w:val="20"/>
          <w:color w:val="auto"/>
        </w:rPr>
      </w:pPr>
    </w:p>
    <w:p>
      <w:pPr>
        <w:ind w:right="160" w:firstLine="492"/>
        <w:spacing w:after="0" w:line="259" w:lineRule="auto"/>
        <w:rPr>
          <w:sz w:val="20"/>
          <w:szCs w:val="20"/>
          <w:color w:val="auto"/>
        </w:rPr>
      </w:pPr>
      <w:r>
        <w:rPr>
          <w:rFonts w:ascii="Arial" w:cs="Arial" w:eastAsia="Arial" w:hAnsi="Arial"/>
          <w:sz w:val="18"/>
          <w:szCs w:val="18"/>
          <w:color w:val="auto"/>
        </w:rPr>
        <w:t xml:space="preserve">We believe that we are the only company in the U.S. to have a centralized, demonstrated, and commercially viable TIL manufacturing process. To date more than 600 patients have been treated with Iovance TIL therapy manufactured using our proprietary processes, by contract manufacturing organizations, or CMOs, and by us at our own manufacturing facility, the Iovance Cell Therapy Center, or </w:t>
      </w:r>
      <w:r>
        <w:rPr>
          <w:rFonts w:ascii="Arial" w:cs="Arial" w:eastAsia="Arial" w:hAnsi="Arial"/>
          <w:sz w:val="18"/>
          <w:szCs w:val="18"/>
          <w:i w:val="1"/>
          <w:iCs w:val="1"/>
          <w:color w:val="auto"/>
        </w:rPr>
        <w:t>i</w:t>
      </w:r>
      <w:r>
        <w:rPr>
          <w:rFonts w:ascii="Arial" w:cs="Arial" w:eastAsia="Arial" w:hAnsi="Arial"/>
          <w:sz w:val="18"/>
          <w:szCs w:val="18"/>
          <w:color w:val="auto"/>
        </w:rPr>
        <w:t>CTC.</w:t>
      </w:r>
    </w:p>
    <w:p>
      <w:pPr>
        <w:spacing w:after="0" w:line="187"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i</w:t>
      </w:r>
      <w:r>
        <w:rPr>
          <w:rFonts w:ascii="Arial" w:cs="Arial" w:eastAsia="Arial" w:hAnsi="Arial"/>
          <w:sz w:val="17"/>
          <w:szCs w:val="17"/>
          <w:color w:val="auto"/>
        </w:rPr>
        <w:t xml:space="preserve">CTC is currently manufacturing TIL for our ongoing clinical trials and preparing to provide commercial supply upon potential BLA approval. We began construction of the </w:t>
      </w:r>
      <w:r>
        <w:rPr>
          <w:rFonts w:ascii="Arial" w:cs="Arial" w:eastAsia="Arial" w:hAnsi="Arial"/>
          <w:sz w:val="17"/>
          <w:szCs w:val="17"/>
          <w:i w:val="1"/>
          <w:iCs w:val="1"/>
          <w:color w:val="auto"/>
        </w:rPr>
        <w:t>i</w:t>
      </w:r>
      <w:r>
        <w:rPr>
          <w:rFonts w:ascii="Arial" w:cs="Arial" w:eastAsia="Arial" w:hAnsi="Arial"/>
          <w:sz w:val="17"/>
          <w:szCs w:val="17"/>
          <w:color w:val="auto"/>
        </w:rPr>
        <w:t xml:space="preserve">CTC in 2019, in Philadelphia, Pennsylvania, in order to control manufacturing capacity, product quality, manage logistics around supply and delivery, implement process improvement and realize potential cost efficiencies for TIL therapies that we may develop or commercialize. We intend to carefully manage our cost structure, and reduce the long-term cost of manufacturing our products, although there can be no assurance that we will be able to reduce our manufacturing costs to commercially attractive levels. We are building capacity to treat thousands of cancer patients annually, with flexibility to expand within existing shell space and an option to build on an adjacent lot to support future growth. We expect </w:t>
      </w:r>
      <w:r>
        <w:rPr>
          <w:rFonts w:ascii="Arial" w:cs="Arial" w:eastAsia="Arial" w:hAnsi="Arial"/>
          <w:sz w:val="17"/>
          <w:szCs w:val="17"/>
          <w:i w:val="1"/>
          <w:iCs w:val="1"/>
          <w:color w:val="auto"/>
        </w:rPr>
        <w:t>i</w:t>
      </w:r>
      <w:r>
        <w:rPr>
          <w:rFonts w:ascii="Arial" w:cs="Arial" w:eastAsia="Arial" w:hAnsi="Arial"/>
          <w:sz w:val="17"/>
          <w:szCs w:val="17"/>
          <w:color w:val="auto"/>
        </w:rPr>
        <w:t>CTC to supply most of our commercial TIL therapies at launch, with CMOs to supplement our internal manufacturing capacity under various manufacturing services agreements, or MSAs. Details of related agreements are provided in the Research, Development, Manufacturing and License agreements section of this Annual Report on Form 10-K.</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Continue to improve our TIL manufacturing processes and technology</w:t>
      </w:r>
    </w:p>
    <w:p>
      <w:pPr>
        <w:spacing w:after="0" w:line="225"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In 2018, we first utilized our TIL manufacturing process known as Gen 2, which reduced TIL manufacturing time from 5-6 weeks to 22 days while producing a cryopreserved TIL product for ease of administration and handling. We intend to establish Gen 2 as a viable commercial manufacturing process for our initial TIL therapies. Gen 2 was utilized in all patients in both Cohorts 2 and 4 of our C-144-01 clinical trial and is the manufacturing process for registration and the BLA submission for lifileucel. Gen 2 is also being utilized in most of our ongoing TIL clinical development programs. We also continue to develop and evaluate potential future TIL manufacturing processes, including our 16-day Gen 3 process, as well as processes for genetically modified and other next generation TIL products.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Advance and expand our pipeline of polyclonal T-cell therapies</w:t>
      </w:r>
    </w:p>
    <w:p>
      <w:pPr>
        <w:spacing w:after="0" w:line="22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seek to collaborate with government, academic research institutions, and corporate partners to improve TIL manufacturing, and to develop and explore next generation approaches as well as TIL therapies for new indications. We have a Cooperative Research and Development Agreement, or CRADA, with the National Institutes of Health, or NIH, and the National Cancer Institute, or NCI. We also have ongoing licensing agreements and collaborations with H. Lee Moffitt Cancer Center, or Moffitt, The University of Texas M.D. Anderson Cancer Center, or MDACC, Yale University, The Ohio State University, Cellectis, Novartis Pharma AG, or Novartis, Melanoma Institute Australia, or MIA, and Beth-Israel Deaconess Medical Center, or BIDMC. A description of some of these collaborations and related agreements is provided in the Collaborations for New Tumor Types and Treatment Settings section of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Iovance-Sponsored Clinical Trials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TIL Therapy in Advanced Solid Tumor Cancers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Lifileucel for Advanced Melanoma</w:t>
      </w:r>
    </w:p>
    <w:p>
      <w:pPr>
        <w:spacing w:after="0" w:line="225"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Melanoma is a common type of skin cancer, accounting for an estimated 99,780 patients diagnosed and 7,650 deaths in 2022 in the U.S. according to the Surveillance, Epidemiology and End Results program, or SEER, program. We are developing lifileucel to treat advanced melanoma. Our Phase 2 clinical trial, C-144-01, is a prospective, clinical trial evaluating lifileucel in advanced melanoma patients who have progressed on or after prior anti-PD-1 therapy and if BRAF mutant, after BRAF or BRAF/MEK inhibitor therapy. There are no FDA approved therapies in this treatment setting for advanced melanoma after anti-PD-1 therapy.</w:t>
      </w:r>
    </w:p>
    <w:p>
      <w:pPr>
        <w:sectPr>
          <w:pgSz w:w="11900" w:h="16838" w:orient="portrait"/>
          <w:cols w:equalWidth="0" w:num="1">
            <w:col w:w="9900"/>
          </w:cols>
          <w:pgMar w:left="980" w:top="665" w:right="101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Based on the unmet need in post-anti-PD-1 advanced melanoma, as well as initial clinical data, lifileucel received a Regenerative Medicine Advanced Therapy, or RMAT, designation from the FDA in 2018.</w:t>
      </w:r>
    </w:p>
    <w:p>
      <w:pPr>
        <w:spacing w:after="0" w:line="170"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In the C-144-01 trial, our Generation 1, or Gen 1, manufacturing process with non-cryopreserved product was used in Cohort 1, which was closed to enrollment in 2017. Our Gen 2 process with cryopreserved product was used in subsequent patients enrolled in both Cohorts 2 and 4. Cohort 2 was closed to enrollment in late 2018. Cohort 3 is an optional retreatment cohort.</w:t>
      </w:r>
    </w:p>
    <w:p>
      <w:pPr>
        <w:spacing w:after="0" w:line="165"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Cohort 4, a pivotal cohort, was added in 2019, following an end of Phase 2, or EOP2, meeting held with the FDA in the third quarter of 2018 and completed dosing in January 2020. Cohort 4 built on the Cohort 2 results in the same patient population and used the same eligibility criteria, treatment and manufacturing process. Cohort 4 was designed to evaluate objective response rate, or ORR, read by an independent review committee, or IRC, using RECIST v1.1 as the prospectively defined primary endpoint.</w:t>
      </w:r>
    </w:p>
    <w:p>
      <w:pPr>
        <w:spacing w:after="0" w:line="171"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results from Cohort 2, including ORR as assessed by investigator, were presented at several medical meetings since 2018 and published in the Journal of Clinical Oncology in May 2021. We reported durable responses across a wide age range of metastatic melanoma patients, among those who have received prior anti-CTLA-4 and BRAF targeted treatments, regardless of BRAF mutation status, and in patients with PD-L1 high and low status. In May 2022, we announced topline IRC read data from the C-144-01 clinical trial from Cohort 4, which met the primary endpoint, ORR, of the clinical trial. In addition, we reported updated data from Cohort 2 and pooled Cohorts 2 and 4.</w:t>
      </w:r>
    </w:p>
    <w:p>
      <w:pPr>
        <w:spacing w:after="0" w:line="192"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We presented additional data from C-144-01 Cohorts 2 and 4 at the Society for Immunotherapy of Cancer, or SITC, Annual Meeting in November 2022. The SITC 2022 presentation included pooled efficacy data read by IRC and safety data from 153 patients with advanced melanoma, including 66 patients enrolled in Cohort 2 and 87 patients enrolled in Cohort 4, with a median study follow up of 36.5 months and a data cutoff date of July 15, 2022. Across both cohorts, patients had received a median of 3 lines of prior therapy, including anti-PD-1 therapy in 100% of patients and anti-CTLA-4 therapy in 81.7% of patients, with prior combination anti-PD-1 and anti-CTLA-4 therapy received in 53.6% of patients. Baseline disease characteristics were generally similar between Cohorts 2 and 4. However, Cohort 4 patients showed both a higher disease burden and a higher proportion of patients with elevated lactate dehydrogenase, or LDH, a well-known negative prognostic factor in melanoma. The ORR assessed by an IRC using RECIST v1.1 was 31.4%, with 9 complete responses and 39 partial responses. The median time from lifileucel infusion to best response was 1.5 months, and responses deepened over time. Median duration of response, or mDOR, was not reached as estimated by Kaplan-Meier, or KM, method. Responses lasted for 24 months or greater in 41.7% of responders, including 47.8% of responders in Cohort 2 and 36.0% of responders in Cohort 4. Median overall survival, or mOS, had not been reached in patients who achieved a response at first assessment at 6 weeks, and mOS in all patients was 13.9 months. The treatment-related adverse event, or TEAE, profile was generally consistent with the underlying advanced disease and the safety profile of the lymphodepletion and IL-2 regimens. In December 2022, we published additional detail from C-144-01 in the Journal for Immuno Therapy of Cancer, or JITC.</w:t>
      </w:r>
    </w:p>
    <w:p>
      <w:pPr>
        <w:spacing w:after="0" w:line="167" w:lineRule="exact"/>
        <w:rPr>
          <w:sz w:val="20"/>
          <w:szCs w:val="20"/>
          <w:color w:val="auto"/>
        </w:rPr>
      </w:pPr>
    </w:p>
    <w:p>
      <w:pPr>
        <w:ind w:right="280" w:firstLine="486"/>
        <w:spacing w:after="0" w:line="286" w:lineRule="auto"/>
        <w:rPr>
          <w:sz w:val="20"/>
          <w:szCs w:val="20"/>
          <w:color w:val="auto"/>
        </w:rPr>
      </w:pPr>
      <w:r>
        <w:rPr>
          <w:rFonts w:ascii="Arial" w:cs="Arial" w:eastAsia="Arial" w:hAnsi="Arial"/>
          <w:sz w:val="17"/>
          <w:szCs w:val="17"/>
          <w:color w:val="auto"/>
        </w:rPr>
        <w:t>Based on results from the C-144-01 clinical trial, we held a pre-BLA meeting with the FDA in July 2022 and initiated a rolling BLA for lifileucel in metastatic melanoma in August 2022. The BLA submission includes C-144-01 data from pivotal Cohort 4 and supportive Cohort 2. We plan to complete the rolling BLA submission in the first quarter of 2023.</w:t>
      </w:r>
    </w:p>
    <w:p>
      <w:pPr>
        <w:spacing w:after="0" w:line="165"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We are also pursuing a registrational path for lifileucel in combination with pembrolizumab in frontline advanced melanoma. Our strategy is based on clinical results from Cohort 1A of the IOV-COM-202 clinical trial that support the combination, as well as prior published NCI data for TIL monotherapy in anti-PD-1 naïve melanoma patients. We reported initial results and updates from ongoing Cohort 1A of the IOV-COM-202 clinical trial at the American Society of Clinical Oncology, or ASCO, annual meeting in June 2021, SITC in November 2021. The Cohort 1A results to date have demonstrated that lifileucel can be safely combined with pembrolizumab. At our most recent medical meeting oral presentation at SITC, in November 2021, updated results from 10 patients demonstrated ORR of 60%. Six out of the 10 patients had a confirmed objective response, including three complete responses and three partial responses. The TEAE profile was consistent with the underlying advanced disease and the known adverse event profiles of pembrolizumab, lymphodepletion, and IL-2 regimens.</w:t>
      </w:r>
    </w:p>
    <w:p>
      <w:pPr>
        <w:spacing w:after="0" w:line="181"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In an April 2022 corporate announcement, we provided updated data that demonstrated a 67% ORR in 12 patients in Cohort 1A. Eight patients had a confirmed objective response per RECIST v1.1, including three complete responses and five partial responses. Six of the eight responders had ongoing response at the time of the last data cut, and five responders had a duration of response of more than one year. In a January 2023 corporate press release, we disclosed that updated efficacy and safety results from nearly 20 patients treated in Cohort 1A remain consistent with previously reported Cohort 1A data and continue to support our strategy in frontline advanced melanoma.</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During the fourth quarter of 2022, we reached agreement with the FDA and began start up activities for a Phase 3 multicenter, open-label, randomized, parallel group, treatment clinical trial, TILVANCE-301, in frontline advanced melanoma. The TILVANCE-301 trial, or NCT05727904, will randomize 670 patients to investigate lifileucel in combination with pembrolizumab in the experimental arm compared with pembrolizumab monotherapy in the control arm. The clinical trial will enroll participants with unresectable or metastatic melanoma who have had no prior therapy for metastatic disease. Previous adjuvant/neoadjuvant therapy with a single line of BRAF-targeted therapy, PD-1 inhibitor, or CTLA-4 inhibitor is allowed, if completed at least 6 months before progression to metastatic disease. In the experimental arm, a tumor sample is resected from each patient for lifileucel manufacturing. Patients receive pembrolizumab prior to and after the lifileucel regimen, every 6 weeks until disease progression. In the control arm, pembrolizumab monotherapy is given every 6 weeks until disease progression, with an optional crossover period to lifileucel monotherapy upon confirmed progressive disease verified by a blinded independent review committee, or BIRC, and if patients meet eligibility criteria. The FDA agreed to dual primary endpoints of ORR to support accelerated approval and progression free survival, or PFS, to support full approval of lifileucel in frontline advanced melanoma. TILVANCE-301 is also designed to serve as a confirmatory clinical trial to support full approval of lifileucel in post-anti-PD-1 advanced melanoma. The dual primary endpoints will be verified by BIRC using RECIST v1.1.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Lifileucel for Cervical Cancer</w:t>
      </w:r>
    </w:p>
    <w:p>
      <w:pPr>
        <w:spacing w:after="0" w:line="225"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color w:val="auto"/>
        </w:rPr>
        <w:t>According to estimates from the SEER program, in 2022 approximately 14,100 women would be diagnosed with cervical cancer and approximately 4,280 cervical cancer-related deaths would occur in the U.S.</w:t>
      </w:r>
    </w:p>
    <w:p>
      <w:pPr>
        <w:spacing w:after="0" w:line="170" w:lineRule="exact"/>
        <w:rPr>
          <w:sz w:val="20"/>
          <w:szCs w:val="20"/>
          <w:color w:val="auto"/>
        </w:rPr>
      </w:pPr>
    </w:p>
    <w:p>
      <w:pPr>
        <w:ind w:right="100" w:firstLine="492"/>
        <w:spacing w:after="0" w:line="257" w:lineRule="auto"/>
        <w:rPr>
          <w:sz w:val="20"/>
          <w:szCs w:val="20"/>
          <w:color w:val="auto"/>
        </w:rPr>
      </w:pPr>
      <w:r>
        <w:rPr>
          <w:rFonts w:ascii="Arial" w:cs="Arial" w:eastAsia="Arial" w:hAnsi="Arial"/>
          <w:sz w:val="18"/>
          <w:szCs w:val="18"/>
          <w:color w:val="auto"/>
        </w:rPr>
        <w:t>We are developing lifileucel alone and in combination with pembrolizumab for the treatment of advanced, unresectable or metastatic, cervical cancer. Lifileucel for advanced cervical cancer was formerly known as LN-145. C-145-04 is an ongoing Phase 2, multicenter pivotal clinical trial. In March 2019, the protocol for this clinical trial was amended to modify the primary endpoint of from ORR by investigator to ORR based on IRC assessment. Initial results from the C-145-04 clinical trial were reported at ASCO in June 2019.</w:t>
      </w:r>
    </w:p>
    <w:p>
      <w:pPr>
        <w:spacing w:after="0" w:line="188"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In anticipation of a changing landscape, we amended the protocol for the C-145-04 clinical trial in November 2019 from a single cohort design into a multicohort study. Cohort 1 was defined to include patients who had progressed during or after systemic chemotherapy excluding ICI. Cohort 2 was newly added to include patients who have progressed during or after treatment with anti-PD-1/-L1 checkpoint inhibitor in addition to systemic chemotherapy. Cohort 3 was added to enroll patients who had not received prior systemic therapy to investigate lifileucel in combination with pembrolizumab. Cohort 3 results from 14 initial patients were included as part of an oral presentation at SITC in November 2021. The ORR was 57.1 % with eight out of 14 patients achieving an objective response, including one complete response, six partial responses and one unconfirmed partial response. The TEAE profile was consistent with the underlying advanced disease and the known adverse event profiles of pembrolizumab, lymphodepletion, and IL-2 regimens.</w:t>
      </w:r>
    </w:p>
    <w:p>
      <w:pPr>
        <w:spacing w:after="0" w:line="165"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In the C-145-04 trial, we completed enrollment of Cohort 1 in 2020, Cohort 2 in 2021 and Cohort 3 in 2022. During 2022, following the FDA discussions and feedback on a registration strategy to address the shift in standard of care following the FDA approval of pembrolizumab in the frontline cervical cancer setting, we reopened Cohort 2 to enroll additional patients and to be a pivotal cohort to support a BLA for cervical cancer following progression on chemotherapy and pembrolizumab. We expect to continue enrollment in Cohort 2 in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LN-145 for Advanced, or Metastatic or Unresectable NSCLC</w:t>
      </w:r>
    </w:p>
    <w:p>
      <w:pPr>
        <w:spacing w:after="0" w:line="225" w:lineRule="exact"/>
        <w:rPr>
          <w:sz w:val="20"/>
          <w:szCs w:val="20"/>
          <w:color w:val="auto"/>
        </w:rPr>
      </w:pPr>
    </w:p>
    <w:p>
      <w:pPr>
        <w:ind w:right="140" w:firstLine="492"/>
        <w:spacing w:after="0" w:line="277" w:lineRule="auto"/>
        <w:rPr>
          <w:sz w:val="20"/>
          <w:szCs w:val="20"/>
          <w:color w:val="auto"/>
        </w:rPr>
      </w:pPr>
      <w:r>
        <w:rPr>
          <w:rFonts w:ascii="Arial" w:cs="Arial" w:eastAsia="Arial" w:hAnsi="Arial"/>
          <w:sz w:val="18"/>
          <w:szCs w:val="18"/>
          <w:color w:val="auto"/>
        </w:rPr>
        <w:t>According to SEER program estimates, approximately 236,740 people would be diagnosed with lung and bronchus cancers, and approximately 130,180 deaths would occur related to these cancers in the U.S. in 2022.</w:t>
      </w:r>
    </w:p>
    <w:p>
      <w:pPr>
        <w:spacing w:after="0" w:line="170" w:lineRule="exact"/>
        <w:rPr>
          <w:sz w:val="20"/>
          <w:szCs w:val="20"/>
          <w:color w:val="auto"/>
        </w:rPr>
      </w:pPr>
    </w:p>
    <w:p>
      <w:pPr>
        <w:ind w:firstLine="492"/>
        <w:spacing w:after="0" w:line="273" w:lineRule="auto"/>
        <w:rPr>
          <w:sz w:val="20"/>
          <w:szCs w:val="20"/>
          <w:color w:val="auto"/>
        </w:rPr>
      </w:pPr>
      <w:r>
        <w:rPr>
          <w:rFonts w:ascii="Arial" w:cs="Arial" w:eastAsia="Arial" w:hAnsi="Arial"/>
          <w:sz w:val="17"/>
          <w:szCs w:val="17"/>
          <w:color w:val="auto"/>
        </w:rPr>
        <w:t>We are developing our TIL therapy LN-145 alone and in combination with approved therapies to treat advanced NSCLC in the IOV-LUN-202 and IOV-COM-202 clinical trials. IOV-LUN-202 is investigating LN-145 monotherapy in patients with metastatic NSCLC who previously received approved systemic therapy of combined or sequential ICI and chemotherapy in three cohorts. The programmed death-ligand 1, or PD-L1, tumor proportion score, or TPS, in patients at the time they started frontline therapy was less than one percent or unknown in patients in Cohort 1 and greater than or equal to one percent in patients in Cohort 2. In Cohort 3, we are exploring treatment with TIL that is extracted from core biopsy and manufactured using our Gen 3 process.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June 2021, the first patient was treated in the IOV-LUN-202 clinical trial. In a poster on IOV-LUN-202 at the American Association for Cancer Research, or AACR, Annual Meeting in April 2022, we featured protocol updates including changes to eligibility criteria, and the option for pre-progression tumor harvest, to broaden enrollment in reflection of the unmet need in NSCLC. We enrolled patients during 2022 and intend to continue enrollment in 2023.</w:t>
      </w:r>
    </w:p>
    <w:p>
      <w:pPr>
        <w:spacing w:after="0" w:line="18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IOV-COM-202 is a clinical trial that includes 2 active cohorts and one previously completed cohort in patients with recurrent or metastatic NSCLC as follows:</w:t>
      </w:r>
    </w:p>
    <w:p>
      <w:pPr>
        <w:spacing w:after="0" w:line="170" w:lineRule="exact"/>
        <w:rPr>
          <w:sz w:val="20"/>
          <w:szCs w:val="20"/>
          <w:color w:val="auto"/>
        </w:rPr>
      </w:pPr>
    </w:p>
    <w:p>
      <w:pPr>
        <w:ind w:left="1160" w:right="100" w:hanging="315"/>
        <w:spacing w:after="0" w:line="259"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Cohort 3A is evaluating LN-145 in combination with pembrolizumab in patients who have not received prior immunotherapy, including ICIs. Cohort 3B was previously completed and investigated LN-145 monotherapy in patients who had progressed on or after prior ICI therapy, including patients with oncogene-driven tumors who received prior tyrosine kinase inhibitor, or TKI, therapy.</w:t>
      </w:r>
    </w:p>
    <w:p>
      <w:pPr>
        <w:spacing w:after="0" w:line="186" w:lineRule="exact"/>
        <w:rPr>
          <w:rFonts w:ascii="Arial" w:cs="Arial" w:eastAsia="Arial" w:hAnsi="Arial"/>
          <w:sz w:val="18"/>
          <w:szCs w:val="18"/>
          <w:color w:val="auto"/>
        </w:rPr>
      </w:pPr>
    </w:p>
    <w:p>
      <w:pPr>
        <w:ind w:left="1160" w:right="240" w:hanging="315"/>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Cohort 3C is investigating LN-145 in combination with ipilimumab or nivolumab in patients who previously received only a prior line of approved systemic ICI monotherapy.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reported full results from Cohort 3B and initial results from Cohort 3A in the IOV-COM-202 study.</w:t>
      </w:r>
    </w:p>
    <w:p>
      <w:pPr>
        <w:spacing w:after="0" w:line="225"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Cohort 3B results were reported in June 2021 and presented at SITC in November 2021. For the completed Cohort of 28 patients in the analysis population, the ORR was 21.4%, including one complete response and five partial responses. All patients had received prior anti-PD-1/-L1 therapy, and all six responding patients had also received prior chemotherapy. The TEAE profile was consistent with the underlying disease and known adverse event profiles of non-myeloablative lymphodepletion and IL-2. As of a data extract in November 2022 provided in a corporate slide deck, one complete response remained ongoing at 37 months following treatment with LN-145.</w:t>
      </w:r>
    </w:p>
    <w:p>
      <w:pPr>
        <w:spacing w:after="0" w:line="192" w:lineRule="exact"/>
        <w:rPr>
          <w:sz w:val="20"/>
          <w:szCs w:val="20"/>
          <w:color w:val="auto"/>
        </w:rPr>
      </w:pPr>
    </w:p>
    <w:p>
      <w:pPr>
        <w:ind w:right="220" w:firstLine="492"/>
        <w:spacing w:after="0" w:line="290" w:lineRule="auto"/>
        <w:rPr>
          <w:sz w:val="20"/>
          <w:szCs w:val="20"/>
          <w:color w:val="auto"/>
        </w:rPr>
      </w:pPr>
      <w:r>
        <w:rPr>
          <w:rFonts w:ascii="Arial" w:cs="Arial" w:eastAsia="Arial" w:hAnsi="Arial"/>
          <w:sz w:val="16"/>
          <w:szCs w:val="16"/>
          <w:color w:val="auto"/>
        </w:rPr>
        <w:t>In a January 2023 press release, we shared initial topline results in 17 patients from Cohort 3A which comprises three distinct clinical subsets of anti-PD-1 naïve patients: 1) treatment-naïve, 2) post-chemotherapy, and 3) estimated glomerular filtration rate, or EGFR, -mutant after prior treatment with TKIs. Confirmed ORR by RECIST v1.1 was 47%, with an objective response observed in 8 patients treated with LN-145 in combination with pembrolizumab. Responses were observed regardless of PD-L1 status. Two patients achieved complete responses and remain on study, including one patient who was post-chemotherapy and anti-PD-1 naive, and one patient who was EGFR-mutant after prior treatment with TKI. Safety was consistent with other studies of Iovance TIL therapies in combination with pembrolizumab. Study enrollment remains ongoing. Observed differences between the patient subsets are informing the design of a subsequent potential registration study. Detailed clinical results will be shared at a future medical meeting.</w:t>
      </w:r>
    </w:p>
    <w:p>
      <w:pPr>
        <w:spacing w:after="0" w:line="16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We plan to continue to discuss registrational strategies for LN-145 with the FDA in 2023. Based on initial results from Cohort 3A, we plan to meet with the FDA in 2023 to discuss Cohort 3A results and a potential registration clinical trial of lifileucel in frontline advanced NSCLC.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IOV-4001 for Advanced Melanoma and NSCLC</w:t>
      </w:r>
    </w:p>
    <w:p>
      <w:pPr>
        <w:spacing w:after="0" w:line="225"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Our lead genetically modified TIL therapy, IOV-4001, utilizes the gene-editing TALEN® technology licensed from Cellectis, to inactivate the gene coding for PD-1. The worldwide exclusive license enables us to use certain TALEN® technology addressing multiple gene targets in several cancer indications, to develop genetically edited and potentially more potent TIL therapies. We are investigating the safety and efficacy of IOV-4001 in the IOV-GM1-201 multicenter, first-in-human Phase 1/2 clinical trial in previously treated patients with advanced melanoma, who have progressed following anti-PD-1/PD-L1 blocking antibody therapy and, in those patients with BRAF mutations, after BRAF/MEK inhibitor therapy in Cohort 1, or metastatic NSCLC who have received no more than three prior lines of therapy, with or without oncogene driver mutations in Cohort 2. We treated the first patient with IOV-4001 in the third quarter of 2022. We published posters that highlight the “trial in progress” for IOV-GM1-201 at SITC in November 2022 and preclinical results for antitumor activity of IOV-4001 at the AACR Annual Meeting in April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TIL Therapy for HNSCC</w:t>
      </w:r>
    </w:p>
    <w:p>
      <w:pPr>
        <w:spacing w:after="0" w:line="239" w:lineRule="exact"/>
        <w:rPr>
          <w:sz w:val="20"/>
          <w:szCs w:val="20"/>
          <w:color w:val="auto"/>
        </w:rPr>
      </w:pPr>
    </w:p>
    <w:p>
      <w:pPr>
        <w:ind w:right="360" w:firstLine="492"/>
        <w:spacing w:after="0" w:line="311" w:lineRule="auto"/>
        <w:rPr>
          <w:sz w:val="20"/>
          <w:szCs w:val="20"/>
          <w:color w:val="auto"/>
        </w:rPr>
      </w:pPr>
      <w:r>
        <w:rPr>
          <w:rFonts w:ascii="Arial" w:cs="Arial" w:eastAsia="Arial" w:hAnsi="Arial"/>
          <w:sz w:val="16"/>
          <w:szCs w:val="16"/>
          <w:color w:val="auto"/>
        </w:rPr>
        <w:t>In metastatic head and neck cancer squamous cell carcinoma, or HNSCC, we are evaluating LN-145 as monotherapy and in combination with pembrolizumab. The Phase 2 C-145-03 trial began in June 2017 and closed in January 2021 after reaching its pre-specified enrollment target to investigate LN-145 using various manufacturing processes. Cohort 2A in IOV-COM-202 is evaluating</w:t>
      </w:r>
    </w:p>
    <w:p>
      <w:pPr>
        <w:sectPr>
          <w:pgSz w:w="11900" w:h="16838" w:orient="portrait"/>
          <w:cols w:equalWidth="0" w:num="1">
            <w:col w:w="9900"/>
          </w:cols>
          <w:pgMar w:left="980" w:top="665"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LN-145 in combination with pembrolizumab in patients with HNSCC who are naïve to anti-PD-1 therapy. Initial and updated Cohort 2A results were presented at the SITC Annual Meetings in November 2020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PBL Therapy in Blood Cancers</w:t>
      </w:r>
    </w:p>
    <w:p>
      <w:pPr>
        <w:spacing w:after="0" w:line="225" w:lineRule="exact"/>
        <w:rPr>
          <w:sz w:val="20"/>
          <w:szCs w:val="20"/>
          <w:color w:val="auto"/>
        </w:rPr>
      </w:pPr>
    </w:p>
    <w:p>
      <w:pPr>
        <w:ind w:right="300" w:firstLine="492"/>
        <w:spacing w:after="0" w:line="263" w:lineRule="auto"/>
        <w:rPr>
          <w:sz w:val="20"/>
          <w:szCs w:val="20"/>
          <w:color w:val="auto"/>
        </w:rPr>
      </w:pPr>
      <w:r>
        <w:rPr>
          <w:rFonts w:ascii="Arial" w:cs="Arial" w:eastAsia="Arial" w:hAnsi="Arial"/>
          <w:sz w:val="18"/>
          <w:szCs w:val="18"/>
          <w:color w:val="auto"/>
        </w:rPr>
        <w:t>In blood cancers, our clinical trial IOV-CLL-01 is a Phase 1/2 clinical trial evaluating the safety and efficacy of IOV-2001, our polyclonal PBL therapy, in patients with relapsed or refractory chronic lymphocytic leukemia, or CLL, and small lymphocytic lymphoma, or SLL, to receive IOV-2001.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Next-Generation Product Candidates</w:t>
      </w:r>
    </w:p>
    <w:p>
      <w:pPr>
        <w:spacing w:after="0" w:line="225"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We are committed to innovating individualized T-cell therapies that may recognize a multitude of diverse patient-specific cancer cells. Our current next-generation technology platforms are designed to optimize TIL therapy across four key initiatives: genetic modifications, potency, process optimization and new treatment regimens.</w:t>
      </w:r>
    </w:p>
    <w:p>
      <w:pPr>
        <w:spacing w:after="0" w:line="184" w:lineRule="exact"/>
        <w:rPr>
          <w:sz w:val="20"/>
          <w:szCs w:val="20"/>
          <w:color w:val="auto"/>
        </w:rPr>
      </w:pPr>
    </w:p>
    <w:p>
      <w:pPr>
        <w:ind w:left="680" w:hanging="321"/>
        <w:spacing w:after="0" w:line="255"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Genetic modifications: </w:t>
      </w:r>
      <w:r>
        <w:rPr>
          <w:rFonts w:ascii="Arial" w:cs="Arial" w:eastAsia="Arial" w:hAnsi="Arial"/>
          <w:sz w:val="18"/>
          <w:szCs w:val="18"/>
          <w:color w:val="auto"/>
        </w:rPr>
        <w:t>We are pursuing several targets for genetic modification that utilize the gene-editing TALEN®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from the clinical-stage biotechnology company, Cellectis. Single- and multiple- knockouts may further harness the immune system response to cancer and potentially increase the efficiency, potency and application of TIL therapy. Preclinical development is also ongoing with cytokine-tethered TIL products and additional TIL products and TIL-cell lines using transient and stable gene insertion and inactivation, which may expand and activate TIL to achieve better efficacy while avoiding systemic side effects of cytokines.</w:t>
      </w:r>
    </w:p>
    <w:p>
      <w:pPr>
        <w:spacing w:after="0" w:line="192" w:lineRule="exact"/>
        <w:rPr>
          <w:rFonts w:ascii="Arial" w:cs="Arial" w:eastAsia="Arial" w:hAnsi="Arial"/>
          <w:sz w:val="18"/>
          <w:szCs w:val="18"/>
          <w:color w:val="auto"/>
        </w:rPr>
      </w:pPr>
    </w:p>
    <w:p>
      <w:pPr>
        <w:ind w:left="680" w:right="60" w:hanging="321"/>
        <w:spacing w:after="0" w:line="259"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Potency: </w:t>
      </w:r>
      <w:r>
        <w:rPr>
          <w:rFonts w:ascii="Arial" w:cs="Arial" w:eastAsia="Arial" w:hAnsi="Arial"/>
          <w:sz w:val="18"/>
          <w:szCs w:val="18"/>
          <w:color w:val="auto"/>
        </w:rPr>
        <w:t>We are exploring potential approaches to increase potency of the final TIL product through sorting and selection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TIL, such as PD-1+ selected TIL and CD39/69 double-negative TIL, and the use of certain inhibitors or other reagents in TIL expansion cultures. Our TIL candidate LN-145-S1 is manufactured from TIL selected for PD-1 expression and has been investigated in patient cohorts in our clinical trials.</w:t>
      </w:r>
    </w:p>
    <w:p>
      <w:pPr>
        <w:spacing w:after="0" w:line="186" w:lineRule="exact"/>
        <w:rPr>
          <w:rFonts w:ascii="Arial" w:cs="Arial" w:eastAsia="Arial" w:hAnsi="Arial"/>
          <w:sz w:val="18"/>
          <w:szCs w:val="18"/>
          <w:color w:val="auto"/>
        </w:rPr>
      </w:pPr>
    </w:p>
    <w:p>
      <w:pPr>
        <w:ind w:left="680" w:right="140" w:hanging="321"/>
        <w:spacing w:after="0" w:line="25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Process optimization: </w:t>
      </w:r>
      <w:r>
        <w:rPr>
          <w:rFonts w:ascii="Arial" w:cs="Arial" w:eastAsia="Arial" w:hAnsi="Arial"/>
          <w:sz w:val="18"/>
          <w:szCs w:val="18"/>
          <w:color w:val="auto"/>
        </w:rPr>
        <w:t>We are committed to further improving and streamlining the processes for TIL therapy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and tumor sample collection. We are investigating a 16-day Gen 3 manufacturing process in patient cohorts included in the C-145-03 clinical trial in HNSCC and the IOV-COM-202 clinical trial. We are also exploring our Gen 3 process to manufacture TIL from core biopsy as a less-invasive collection of tumor samples in a cohort of patients with NSCLC in our IOV-LUN-202 clinical trial.</w:t>
      </w:r>
    </w:p>
    <w:p>
      <w:pPr>
        <w:spacing w:after="0" w:line="187" w:lineRule="exact"/>
        <w:rPr>
          <w:rFonts w:ascii="Arial" w:cs="Arial" w:eastAsia="Arial" w:hAnsi="Arial"/>
          <w:sz w:val="18"/>
          <w:szCs w:val="18"/>
          <w:color w:val="auto"/>
        </w:rPr>
      </w:pPr>
    </w:p>
    <w:p>
      <w:pPr>
        <w:ind w:left="680" w:right="60" w:hanging="321"/>
        <w:spacing w:after="0" w:line="286"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New treatment regimens: </w:t>
      </w:r>
      <w:r>
        <w:rPr>
          <w:rFonts w:ascii="Arial" w:cs="Arial" w:eastAsia="Arial" w:hAnsi="Arial"/>
          <w:sz w:val="17"/>
          <w:szCs w:val="17"/>
          <w:color w:val="auto"/>
        </w:rPr>
        <w:t>We are exploring potential avenues to improve aspects of the TIL treatment regimen. In 2020, we</w:t>
      </w:r>
      <w:r>
        <w:rPr>
          <w:rFonts w:ascii="Arial" w:cs="Arial" w:eastAsia="Arial" w:hAnsi="Arial"/>
          <w:sz w:val="17"/>
          <w:szCs w:val="17"/>
          <w:i w:val="1"/>
          <w:iCs w:val="1"/>
          <w:color w:val="auto"/>
        </w:rPr>
        <w:t xml:space="preserve"> </w:t>
      </w:r>
      <w:r>
        <w:rPr>
          <w:rFonts w:ascii="Arial" w:cs="Arial" w:eastAsia="Arial" w:hAnsi="Arial"/>
          <w:sz w:val="17"/>
          <w:szCs w:val="17"/>
          <w:color w:val="auto"/>
        </w:rPr>
        <w:t>licensed an antibody cytokine-engrafted protein, or IL-2 analog, which we refer to as IOV-3001, from Novartis. IOV-3001 is in IND-enabling studies supporting its use as part of the TIL treatment regimen following TIL infusion.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 for New Tumor Types and Treatment Settings</w:t>
      </w:r>
    </w:p>
    <w:p>
      <w:pPr>
        <w:spacing w:after="0" w:line="225" w:lineRule="exact"/>
        <w:rPr>
          <w:sz w:val="20"/>
          <w:szCs w:val="20"/>
          <w:color w:val="auto"/>
        </w:rPr>
      </w:pPr>
    </w:p>
    <w:p>
      <w:pPr>
        <w:ind w:right="480" w:firstLine="492"/>
        <w:spacing w:after="0" w:line="342" w:lineRule="auto"/>
        <w:rPr>
          <w:sz w:val="20"/>
          <w:szCs w:val="20"/>
          <w:color w:val="auto"/>
        </w:rPr>
      </w:pPr>
      <w:r>
        <w:rPr>
          <w:rFonts w:ascii="Arial" w:cs="Arial" w:eastAsia="Arial" w:hAnsi="Arial"/>
          <w:sz w:val="16"/>
          <w:szCs w:val="16"/>
          <w:color w:val="auto"/>
        </w:rPr>
        <w:t>Our ongoing academic collaborations with leading cancer research centers as well as government and corporate partners are exploring the potential for TIL therapy in other tumor types and treatment settings, such as in the following example studies:</w:t>
      </w:r>
    </w:p>
    <w:p>
      <w:pPr>
        <w:spacing w:after="0" w:line="124" w:lineRule="exact"/>
        <w:rPr>
          <w:sz w:val="20"/>
          <w:szCs w:val="20"/>
          <w:color w:val="auto"/>
        </w:rPr>
      </w:pPr>
    </w:p>
    <w:p>
      <w:pPr>
        <w:ind w:left="680" w:right="200" w:hanging="321"/>
        <w:spacing w:after="0" w:line="255"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MDACC has sponsored two Phase 2 clinical trials that were initiated in 2018. The first clinical trial, NCT03449108, is underway to investigate LN-145 or LN-145-S1 manufactured using our proprietary processes to treat patients with soft tissue sarcoma, osteosarcoma, platinum resistant ovarian cancer, anaplastic thyroid cancer, and triple negative breast cancer. The second clinical trial, NCT03610490, was previously active to investigate TIL manufactured by MDACC in patients with platinum resistant ovarian cancer, pancreatic and colorectal cancer, which may not be representative of our data using our Iovance manufacturing process.</w:t>
      </w:r>
    </w:p>
    <w:p>
      <w:pPr>
        <w:spacing w:after="0" w:line="192"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Yale Comprehensive Cancer Clinical is sponsoring a trial, NCT04111510, exploring LN-145 in triple-negative breast cancer.</w:t>
      </w:r>
    </w:p>
    <w:p>
      <w:pPr>
        <w:spacing w:after="0" w:line="248" w:lineRule="exact"/>
        <w:rPr>
          <w:rFonts w:ascii="Arial" w:cs="Arial" w:eastAsia="Arial" w:hAnsi="Arial"/>
          <w:sz w:val="16"/>
          <w:szCs w:val="16"/>
          <w:color w:val="auto"/>
        </w:rPr>
      </w:pPr>
    </w:p>
    <w:p>
      <w:pPr>
        <w:ind w:left="680" w:right="580" w:hanging="321"/>
        <w:spacing w:after="0" w:line="263"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Memorial Sloan Kettering Cancer Center, or MSKCC, is investigating TIL therapy LN-144 manufactured by Iovance in patients with uveal melanoma in the NCT05607095 clinical trial, and asymptomatic melanoma brain metastases in the NCT05640193 clinical trial.</w:t>
      </w:r>
    </w:p>
    <w:p>
      <w:pPr>
        <w:sectPr>
          <w:pgSz w:w="11900" w:h="16838" w:orient="portrait"/>
          <w:cols w:equalWidth="0" w:num="1">
            <w:col w:w="9900"/>
          </w:cols>
          <w:pgMar w:left="980" w:top="665" w:right="101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80" w:hanging="321"/>
        <w:spacing w:after="0" w:line="255"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Moffitt is conducting several clinical trials with funding from Iovance. Two clinical trials, which have closed to enrollment, are evaluating TIL therapy in combination with the checkpoint inhibitor nivolumab in NSCLC in the NCT03215810 clinical trial and metastatic melanoma in the NCT02652455 clinical trial. We previously collaborated on the NCT01701674 clinical trial to evaluate TIL therapy in combination with the CTLA-4 checkpoint inhibitor ipilimumab. A Phase 1 clinical trial, NCT04052334, completed enrollment in 2022 and is investigating TIL therapy manufactured by Moffitt in adolescent and young adult patients with soft tissue sarcoma.</w:t>
      </w:r>
    </w:p>
    <w:p>
      <w:pPr>
        <w:spacing w:after="0" w:line="192" w:lineRule="exact"/>
        <w:rPr>
          <w:rFonts w:ascii="Arial" w:cs="Arial" w:eastAsia="Arial" w:hAnsi="Arial"/>
          <w:sz w:val="18"/>
          <w:szCs w:val="18"/>
          <w:color w:val="auto"/>
        </w:rPr>
      </w:pPr>
    </w:p>
    <w:p>
      <w:pPr>
        <w:ind w:left="680" w:right="40" w:hanging="321"/>
        <w:spacing w:after="0" w:line="259"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Ohio State University is investigating lifileucel manufactured by Iovance in high-risk melanoma patients in the neoadjuvant setting in the NCT05176470 clinical trial. The trial began recruiting in 2022 to assess the feasibility of TIL expansion from tumor-involved lymph nodes patients who are diagnosed with stage IIIB-D melanoma that has spread to nearby tissue or locally advanced lymph nodes.</w:t>
      </w:r>
    </w:p>
    <w:p>
      <w:pPr>
        <w:spacing w:after="0" w:line="186" w:lineRule="exact"/>
        <w:rPr>
          <w:rFonts w:ascii="Arial" w:cs="Arial" w:eastAsia="Arial" w:hAnsi="Arial"/>
          <w:sz w:val="18"/>
          <w:szCs w:val="18"/>
          <w:color w:val="auto"/>
        </w:rPr>
      </w:pPr>
    </w:p>
    <w:p>
      <w:pPr>
        <w:ind w:left="680" w:right="620" w:hanging="321"/>
        <w:spacing w:after="0" w:line="308"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NCI, under our CRADA, is conducting the NCT02621021 clinical trial to evaluate TIL therapy in combination with the checkpoint inhibitor pembrolizumab in a 170-patient clinical trial in patients with advanced melanoma.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Immune System and Cancer Surveillance</w:t>
      </w:r>
    </w:p>
    <w:p>
      <w:pPr>
        <w:spacing w:after="0" w:line="225"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The immune system recognizes danger signals and responds to threats at a cellular level. The most significant components of the cellular aspect of the adaptive immune response are T-cells, or T lymphocytes, so called because they mature in the thymus and are distinguished from B-cells which mature in the bone marrow. T-cells can be distinguished from other white blood cells by T-cell receptors present on their cell surface. These receptors contribute to tumor surveillance by helping T-cells recognize infected as well as cancerous cells. T-cells are involved in both sensing and killing infected or cancerous cells, as well as coordinating the activation of other cells in an immune response.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for Cancer Immunotherapy</w:t>
      </w:r>
    </w:p>
    <w:p>
      <w:pPr>
        <w:spacing w:after="0" w:line="225" w:lineRule="exact"/>
        <w:rPr>
          <w:sz w:val="20"/>
          <w:szCs w:val="20"/>
          <w:color w:val="auto"/>
        </w:rPr>
      </w:pPr>
    </w:p>
    <w:p>
      <w:pPr>
        <w:ind w:right="40" w:firstLine="492"/>
        <w:spacing w:after="0" w:line="254" w:lineRule="auto"/>
        <w:rPr>
          <w:sz w:val="20"/>
          <w:szCs w:val="20"/>
          <w:color w:val="auto"/>
        </w:rPr>
      </w:pPr>
      <w:r>
        <w:rPr>
          <w:rFonts w:ascii="Arial" w:cs="Arial" w:eastAsia="Arial" w:hAnsi="Arial"/>
          <w:sz w:val="18"/>
          <w:szCs w:val="18"/>
          <w:color w:val="auto"/>
        </w:rPr>
        <w:t>Despite progress over the past several decades, effective treatment of solid tumors continues to be challenging for several reasons, including: (i) intratumoral heterogeneity, (ii) numerous mutations and tumor neoantigens, with &lt;1% shared across patients and lack of clarity on which mutations or neoantigens are critical, and (iii) ability to adapt and evade treatments that target a single mutation. In addition, the tumor itself and the tumor microenvironment can suppress the patient’s natural immune response. When T-cells with cancer-specific receptors are absent, present in low numbers, of poor quality, or rendered inactive by suppressive mechanisms employed by tumor tissue, the cancer can grow and spread to various organs. In addition, standard of care treatments for cancer can be deleterious to T-cells’ ability to kill cancer.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Advancing Immuno-Oncology with Our Tumor-Infiltrating Lymphocyte Technology Platforms</w:t>
      </w:r>
    </w:p>
    <w:p>
      <w:pPr>
        <w:spacing w:after="0" w:line="225"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Our T-cell-based immunotherapy technology platforms are potentially applicable to many solid tumor types and blood cancers. Each platform is focused on leveraging patient-specific cells to recognize and attack diverse cancer cells that are unique to each patient. Unlike cell therapies that act on a single or small number of shared antigen targets common to certain tumors, our polyclonal T-cells are personalized therapies designed to target a variety of neoantigens that are unique to the patient or tumor. We believe that adoptive cell therapy, specifically with the use of human polyclonal TIL cells to reengage the immune system, may be a significant advancement in the treatment of cancer.</w:t>
      </w:r>
    </w:p>
    <w:p>
      <w:pPr>
        <w:spacing w:after="0" w:line="192"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Using our lead TIL immunotherapy platform, our initial strategy is to deliver polyclonal T-cell-based therapies for patients with late-stage solid tumor cancers. After infusion, TIL can potentially infiltrate the tumor to eliminate cancer cells, further proliferate in the body and potentially overcome several mechanisms of tumor escape to which endogenous T-cells may be susceptible due to the immune-suppressive tumor microenvironment.</w:t>
      </w:r>
    </w:p>
    <w:p>
      <w:pPr>
        <w:spacing w:after="0" w:line="187" w:lineRule="exact"/>
        <w:rPr>
          <w:sz w:val="20"/>
          <w:szCs w:val="20"/>
          <w:color w:val="auto"/>
        </w:rPr>
      </w:pPr>
    </w:p>
    <w:p>
      <w:pPr>
        <w:jc w:val="both"/>
        <w:ind w:right="40" w:firstLine="492"/>
        <w:spacing w:after="0" w:line="311" w:lineRule="auto"/>
        <w:rPr>
          <w:sz w:val="20"/>
          <w:szCs w:val="20"/>
          <w:color w:val="auto"/>
        </w:rPr>
      </w:pPr>
      <w:r>
        <w:rPr>
          <w:rFonts w:ascii="Arial" w:cs="Arial" w:eastAsia="Arial" w:hAnsi="Arial"/>
          <w:sz w:val="16"/>
          <w:szCs w:val="16"/>
          <w:color w:val="auto"/>
        </w:rPr>
        <w:t>For earlier intervention, we are investigating the potential of our TIL therapy in combination with a class of immunotherapy drugs called ICIs that seek to overcome one of the main escape mechanisms of cancer against an immune system attack. TIL therapy and ICIs may work synergistically to target and attack cancer cells while breaking down barriers for the immune system to mount a response.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are three key steps in the TIL therapy process.</w:t>
      </w:r>
    </w:p>
    <w:p>
      <w:pPr>
        <w:spacing w:after="0" w:line="221" w:lineRule="exact"/>
        <w:rPr>
          <w:sz w:val="20"/>
          <w:szCs w:val="20"/>
          <w:color w:val="auto"/>
        </w:rPr>
      </w:pPr>
    </w:p>
    <w:p>
      <w:pPr>
        <w:ind w:left="820" w:right="120" w:hanging="320"/>
        <w:spacing w:after="0" w:line="282"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Step 1: Sample Collection. </w:t>
      </w:r>
      <w:r>
        <w:rPr>
          <w:rFonts w:ascii="Arial" w:cs="Arial" w:eastAsia="Arial" w:hAnsi="Arial"/>
          <w:sz w:val="18"/>
          <w:szCs w:val="18"/>
          <w:color w:val="auto"/>
        </w:rPr>
        <w:t>A tumor sample of about 1.5 cm in diameter is removed during a surgical biopsy and shipped to</w:t>
      </w:r>
      <w:r>
        <w:rPr>
          <w:rFonts w:ascii="Arial" w:cs="Arial" w:eastAsia="Arial" w:hAnsi="Arial"/>
          <w:sz w:val="18"/>
          <w:szCs w:val="18"/>
          <w:b w:val="1"/>
          <w:bCs w:val="1"/>
          <w:color w:val="auto"/>
        </w:rPr>
        <w:t xml:space="preserve"> </w:t>
      </w:r>
      <w:r>
        <w:rPr>
          <w:rFonts w:ascii="Arial" w:cs="Arial" w:eastAsia="Arial" w:hAnsi="Arial"/>
          <w:sz w:val="18"/>
          <w:szCs w:val="18"/>
          <w:color w:val="auto"/>
        </w:rPr>
        <w:t>our centralized manufacturing facility, where the TIL are isolated.</w:t>
      </w:r>
    </w:p>
    <w:p>
      <w:pPr>
        <w:spacing w:after="0" w:line="161" w:lineRule="exact"/>
        <w:rPr>
          <w:rFonts w:ascii="Arial" w:cs="Arial" w:eastAsia="Arial" w:hAnsi="Arial"/>
          <w:sz w:val="18"/>
          <w:szCs w:val="18"/>
          <w:color w:val="auto"/>
        </w:rPr>
      </w:pPr>
    </w:p>
    <w:p>
      <w:pPr>
        <w:ind w:left="820" w:right="360" w:hanging="320"/>
        <w:spacing w:after="0" w:line="314" w:lineRule="auto"/>
        <w:tabs>
          <w:tab w:leader="none" w:pos="814"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Step 2: Manufacturing. </w:t>
      </w:r>
      <w:r>
        <w:rPr>
          <w:rFonts w:ascii="Arial" w:cs="Arial" w:eastAsia="Arial" w:hAnsi="Arial"/>
          <w:sz w:val="16"/>
          <w:szCs w:val="16"/>
          <w:color w:val="auto"/>
        </w:rPr>
        <w:t>Patient-specific TIL are amplified and reinvigorated using our proprietary Gen 2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reflecting our successful efforts to centralize and streamline TIL manufacturing from several weeks to 22 days. Additional detail on Gen 2 is provided below in the Manufacturing Process section of our Annual Report on Form 10-K.</w:t>
      </w:r>
    </w:p>
    <w:p>
      <w:pPr>
        <w:spacing w:after="0" w:line="141" w:lineRule="exact"/>
        <w:rPr>
          <w:rFonts w:ascii="Arial" w:cs="Arial" w:eastAsia="Arial" w:hAnsi="Arial"/>
          <w:sz w:val="16"/>
          <w:szCs w:val="16"/>
          <w:color w:val="auto"/>
        </w:rPr>
      </w:pPr>
    </w:p>
    <w:p>
      <w:pPr>
        <w:ind w:left="820" w:right="40" w:hanging="320"/>
        <w:spacing w:after="0" w:line="274" w:lineRule="auto"/>
        <w:tabs>
          <w:tab w:leader="none" w:pos="814"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Step 3: Treatment</w:t>
      </w:r>
      <w:r>
        <w:rPr>
          <w:rFonts w:ascii="Arial" w:cs="Arial" w:eastAsia="Arial" w:hAnsi="Arial"/>
          <w:sz w:val="17"/>
          <w:szCs w:val="17"/>
          <w:color w:val="auto"/>
        </w:rPr>
        <w:t>. The patient begins with a preparative regimen of non-myeloablative lymphodepletion, or NMA-LD, to</w:t>
      </w:r>
      <w:r>
        <w:rPr>
          <w:rFonts w:ascii="Arial" w:cs="Arial" w:eastAsia="Arial" w:hAnsi="Arial"/>
          <w:sz w:val="17"/>
          <w:szCs w:val="17"/>
          <w:b w:val="1"/>
          <w:bCs w:val="1"/>
          <w:color w:val="auto"/>
        </w:rPr>
        <w:t xml:space="preserve"> </w:t>
      </w:r>
      <w:r>
        <w:rPr>
          <w:rFonts w:ascii="Arial" w:cs="Arial" w:eastAsia="Arial" w:hAnsi="Arial"/>
          <w:sz w:val="17"/>
          <w:szCs w:val="17"/>
          <w:color w:val="auto"/>
        </w:rPr>
        <w:t>suppress the immunosuppressive tumor microenvironment, which we believe will enhance the efficacy of TIL therapy. After NMA-LD, the expanded and rejuvenated, patient-specific TIL cells are delivered back into the body by infusion. The treatment regimen is completed with a short course of IL-2 of up to 6 doses to promote T-cell activity in the body after TIL infusion. If a patient is receiving TIL as a monotherapy, their treatment may be complete. If a patient is receiving TIL therapy as part of the combination approach, they will continue treatment with ICIs following TIL infusion.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Clinical Results with Other TIL Therapies in Metastatic Melanoma</w:t>
      </w:r>
    </w:p>
    <w:p>
      <w:pPr>
        <w:spacing w:after="0" w:line="225" w:lineRule="exact"/>
        <w:rPr>
          <w:sz w:val="20"/>
          <w:szCs w:val="20"/>
          <w:color w:val="auto"/>
        </w:rPr>
      </w:pPr>
    </w:p>
    <w:p>
      <w:pPr>
        <w:jc w:val="both"/>
        <w:ind w:right="200" w:firstLine="492"/>
        <w:spacing w:after="0" w:line="286" w:lineRule="auto"/>
        <w:rPr>
          <w:sz w:val="20"/>
          <w:szCs w:val="20"/>
          <w:color w:val="auto"/>
        </w:rPr>
      </w:pPr>
      <w:r>
        <w:rPr>
          <w:rFonts w:ascii="Arial" w:cs="Arial" w:eastAsia="Arial" w:hAnsi="Arial"/>
          <w:sz w:val="17"/>
          <w:szCs w:val="17"/>
          <w:color w:val="auto"/>
        </w:rPr>
        <w:t>To date, more than 600 patients have been treated with TIL therapies manufactured using our proprietary processes. Prior to our clinical trials, hundreds of advanced melanoma patients were treated with TIL therapy produced locally using different manufacturing methods at different academic institutions and hospitals in the U.S., Europe, Canada, and Israel.</w:t>
      </w:r>
    </w:p>
    <w:p>
      <w:pPr>
        <w:spacing w:after="0" w:line="165" w:lineRule="exact"/>
        <w:rPr>
          <w:sz w:val="20"/>
          <w:szCs w:val="20"/>
          <w:color w:val="auto"/>
        </w:rPr>
      </w:pPr>
    </w:p>
    <w:p>
      <w:pPr>
        <w:ind w:right="200" w:firstLine="492"/>
        <w:spacing w:after="0" w:line="279" w:lineRule="auto"/>
        <w:rPr>
          <w:sz w:val="20"/>
          <w:szCs w:val="20"/>
          <w:color w:val="auto"/>
        </w:rPr>
      </w:pPr>
      <w:r>
        <w:rPr>
          <w:rFonts w:ascii="Arial" w:cs="Arial" w:eastAsia="Arial" w:hAnsi="Arial"/>
          <w:sz w:val="17"/>
          <w:szCs w:val="17"/>
          <w:color w:val="auto"/>
        </w:rPr>
        <w:t>At the NCI, clinical responses have been relatively consistent in several trials of TIL therapy in anti-PD-1 naïve melanoma patients that were conducted prior to anti-PD-1 treatment becoming the available standard of care for melanoma patients. Over 50% of patients achieved an objective response, and approximately 22-24% of patients had a complete response, as defined by RECIST v1.1 criteria. Most patients who have had a complete response remained in response in 3-7 years of follow up.</w:t>
      </w:r>
    </w:p>
    <w:p>
      <w:pPr>
        <w:spacing w:after="0" w:line="171"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In August 2021, patient outcomes based on two decades of experience with TIL therapy in a cohort of 226 patients with metastatic melanoma were published by Seitter, et al., in a collaboration led by Dr. Steven Rosenberg from the Surgery Branch of the NCI, in Clinical Cancer Research. The ORR was 51%, with a complete response rate of 22%. The 49 patients achieving a complete response had a 10-year melanoma-specific survival of 96%. In the 192 patients who had not received prior anti-PD-1 therapy, ORR was 56% with a median melanoma-specific survival of 28.5 months. Of the 43 patients who were refractory to anti-CTLA-4 therapy without exposure to anti-PD-1, the 60 % response rate showed no difference when compared to the 55% response rate in those naïve to any immune checkpoint therapy. Baseline demographic features, including BRAF status, did not influence outcome. Exposure to prior therapies, including refractoriness to anti-PD-1 and BRAF/MEK inhibitors, affected outcome. In the population most comparable to Cohorts 2 and 4 of our C-144-01 trial, 34 of the reported patients were refractory to anti-PD-1 therapy and had an ORR of 24%, with a median melanoma-specific survival of 11.6 months. Decreased melanoma-specific survival was seen in patients that are refractory to BRAF/MEK inhibitors regardless of prior anti-PD-1 exposure with a median survival of 8.7 months in patients who were refractory to anti-PD-1 and 12.1 months in patients who were naïve to anti-PD-1.</w:t>
      </w:r>
    </w:p>
    <w:p>
      <w:pPr>
        <w:spacing w:after="0" w:line="179"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In December 2022, in the New England Journal of Medicine, a team from The Netherlands Cancer Institute and the National Center for Cancer Immune Therapy, Department of Oncology, of the Copenhagen University Hospital published the results of a multicenter, open-label phase 3 clinical trial of 168 patients with unresectable stage IIIC-IV melanoma randomized 1:1 to TIL or single agent ipilimumab. The study began in 2014. Patients in the study had received a maximum of one line of prior therapy, of which 86% were refractory to anti-PD-1 therapy. With a median follow-up of 33.0 months, median PFS was 7.2 months for TIL compared to 3.1 months for ipilimumab. ORR was 49% for TIL with 20% complete responses, compared to 21% ORR and 7% complete response rate for ipilimumab. mOS for TIL was 25.8 months compared to 18.9 months for ipilimumab. Grade 3 and higher treatment-related adverse events occurred in all TIL and 57% of ipilimumab patients.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Processes</w:t>
      </w:r>
    </w:p>
    <w:p>
      <w:pPr>
        <w:spacing w:after="0" w:line="229"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Iovance was founded to deliver broad access to TIL therapy for people with cancer by conducting multicenter clinical trials and developing centralized, scalable manufacturing processes to enable regulatory approvals and commercial launches. The NCI and other academic centers have historically manufactured TIL therapies for research purposes. To date, these site-specific processes have not been scalable or standardized to serve sizeable patient populations.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firstLine="492"/>
        <w:spacing w:after="0" w:line="263" w:lineRule="auto"/>
        <w:rPr>
          <w:sz w:val="20"/>
          <w:szCs w:val="20"/>
          <w:color w:val="auto"/>
        </w:rPr>
      </w:pPr>
      <w:r>
        <w:rPr>
          <w:rFonts w:ascii="Arial" w:cs="Arial" w:eastAsia="Arial" w:hAnsi="Arial"/>
          <w:sz w:val="18"/>
          <w:szCs w:val="18"/>
          <w:color w:val="auto"/>
        </w:rPr>
        <w:t>Our Gen 1 TIL manufacturing process modified the NCI’s original TIL manufacturing and processing so that it could be reproduced in a current good manufacturing practice, or cGMP, environment. TIL expansion occurred over a 5-to-6-week period and produced a non-cryopreserved product.</w:t>
      </w:r>
    </w:p>
    <w:p>
      <w:pPr>
        <w:spacing w:after="0" w:line="184" w:lineRule="exact"/>
        <w:rPr>
          <w:sz w:val="20"/>
          <w:szCs w:val="20"/>
          <w:color w:val="auto"/>
        </w:rPr>
      </w:pPr>
    </w:p>
    <w:p>
      <w:pPr>
        <w:ind w:firstLine="492"/>
        <w:spacing w:after="0" w:line="296" w:lineRule="auto"/>
        <w:rPr>
          <w:sz w:val="20"/>
          <w:szCs w:val="20"/>
          <w:color w:val="auto"/>
        </w:rPr>
      </w:pPr>
      <w:r>
        <w:rPr>
          <w:rFonts w:ascii="Arial" w:cs="Arial" w:eastAsia="Arial" w:hAnsi="Arial"/>
          <w:sz w:val="16"/>
          <w:szCs w:val="16"/>
          <w:color w:val="auto"/>
        </w:rPr>
        <w:t>Our internal research and process development team developed our proprietary Gen 2 technology to include manufacturing and logistical efficiencies aimed at further optimizing treatment and streamlining distribution processes. Gen 2 manufacturing takes 22 days while allowing for a cryopreserved product. We currently use Gen 2 in almost all Iovance clinical trials for product registration and our BLA submission. We also continue to develop new processes. We have developed a shorter, 16-day, Gen 3 manufacturing process as well as next generation manufacturing processes to genetically modify TIL and to select for TIL that potentially more potent.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 2 Manufacturing Process</w:t>
      </w:r>
    </w:p>
    <w:p>
      <w:pPr>
        <w:spacing w:after="0" w:line="215" w:lineRule="exact"/>
        <w:rPr>
          <w:sz w:val="20"/>
          <w:szCs w:val="20"/>
          <w:color w:val="auto"/>
        </w:rPr>
      </w:pPr>
    </w:p>
    <w:p>
      <w:pPr>
        <w:ind w:right="60" w:firstLine="492"/>
        <w:spacing w:after="0" w:line="257" w:lineRule="auto"/>
        <w:rPr>
          <w:sz w:val="20"/>
          <w:szCs w:val="20"/>
          <w:color w:val="auto"/>
        </w:rPr>
      </w:pPr>
      <w:r>
        <w:rPr>
          <w:rFonts w:ascii="Arial" w:cs="Arial" w:eastAsia="Arial" w:hAnsi="Arial"/>
          <w:sz w:val="17"/>
          <w:szCs w:val="17"/>
          <w:color w:val="auto"/>
        </w:rPr>
        <w:t>During the Gen 2 process, TIL are expanded exponentially ex vivo to yield billions or 10</w:t>
      </w:r>
      <w:r>
        <w:rPr>
          <w:rFonts w:ascii="Arial" w:cs="Arial" w:eastAsia="Arial" w:hAnsi="Arial"/>
          <w:sz w:val="25"/>
          <w:szCs w:val="25"/>
          <w:color w:val="auto"/>
          <w:vertAlign w:val="superscript"/>
        </w:rPr>
        <w:t>9</w:t>
      </w:r>
      <w:r>
        <w:rPr>
          <w:rFonts w:ascii="Arial" w:cs="Arial" w:eastAsia="Arial" w:hAnsi="Arial"/>
          <w:sz w:val="17"/>
          <w:szCs w:val="17"/>
          <w:color w:val="auto"/>
        </w:rPr>
        <w:t xml:space="preserve"> – 10</w:t>
      </w:r>
      <w:r>
        <w:rPr>
          <w:rFonts w:ascii="Arial" w:cs="Arial" w:eastAsia="Arial" w:hAnsi="Arial"/>
          <w:sz w:val="25"/>
          <w:szCs w:val="25"/>
          <w:color w:val="auto"/>
          <w:vertAlign w:val="superscript"/>
        </w:rPr>
        <w:t>11</w:t>
      </w:r>
      <w:r>
        <w:rPr>
          <w:rFonts w:ascii="Arial" w:cs="Arial" w:eastAsia="Arial" w:hAnsi="Arial"/>
          <w:sz w:val="17"/>
          <w:szCs w:val="17"/>
          <w:color w:val="auto"/>
        </w:rPr>
        <w:t xml:space="preserve"> of TIL. The process begins with the collection of the patient’s tumor by surgical biopsy, which is sent to a central manufacturing facility. The tumor is fragmented to facilitate a clear path for TIL to leave the tumor tissue and placed in media that optimizes the growth of TIL rather than other cell types. Initially, from days 0-11, cells grow slowly during the pre-rapid expansion, or pre-rep phase. Following the pre-rep phase, the cells are transferred to a larger bioreactor and feeder cells are introduced to further activate the TIL to proliferate during the rapid expansion, or REP phase, from days 11-22. During the REP phase, on day 16, the TIL are harvested while maintaining a closed system before they are counted and placed into multiple bioreactors which are incubated one last time until day 22. On day 22, TIL are filtered, washed, concentrated and finally formulated with cryopreservation media before being placed in up to four final product bags, depending on total cell count. The final product is shipped back to the center where it can be administered to the patient. The following diagram illustrates our Gen 2 TIL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269875</wp:posOffset>
            </wp:positionV>
            <wp:extent cx="6035040" cy="3617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5040"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Our Iovance Cell Therapy Center, or iCTC, for Large-Scale Centralized Manufacturing</w:t>
      </w:r>
    </w:p>
    <w:p>
      <w:pPr>
        <w:spacing w:after="0" w:line="239" w:lineRule="exact"/>
        <w:rPr>
          <w:sz w:val="20"/>
          <w:szCs w:val="20"/>
          <w:color w:val="auto"/>
        </w:rPr>
      </w:pPr>
    </w:p>
    <w:p>
      <w:pPr>
        <w:ind w:right="60" w:firstLine="492"/>
        <w:spacing w:after="0" w:line="273"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i</w:t>
      </w:r>
      <w:r>
        <w:rPr>
          <w:rFonts w:ascii="Arial" w:cs="Arial" w:eastAsia="Arial" w:hAnsi="Arial"/>
          <w:sz w:val="17"/>
          <w:szCs w:val="17"/>
          <w:color w:val="auto"/>
        </w:rPr>
        <w:t xml:space="preserve">CTC is the first centralized and scalable cGMP manufacturing facility dedicated to producing TIL as a potential therapy for patients with solid tumors. At 136,000 square feet, the </w:t>
      </w:r>
      <w:r>
        <w:rPr>
          <w:rFonts w:ascii="Arial" w:cs="Arial" w:eastAsia="Arial" w:hAnsi="Arial"/>
          <w:sz w:val="17"/>
          <w:szCs w:val="17"/>
          <w:i w:val="1"/>
          <w:iCs w:val="1"/>
          <w:color w:val="auto"/>
        </w:rPr>
        <w:t>i</w:t>
      </w:r>
      <w:r>
        <w:rPr>
          <w:rFonts w:ascii="Arial" w:cs="Arial" w:eastAsia="Arial" w:hAnsi="Arial"/>
          <w:sz w:val="17"/>
          <w:szCs w:val="17"/>
          <w:color w:val="auto"/>
        </w:rPr>
        <w:t xml:space="preserve">CTC is among the largest cell therapy manufacturing facilities in existence. It currently supplies investigational TIL therapy for Iovance clinical trials, with commercial manufacturing expected to begin after initial product approval. The proximity of the </w:t>
      </w:r>
      <w:r>
        <w:rPr>
          <w:rFonts w:ascii="Arial" w:cs="Arial" w:eastAsia="Arial" w:hAnsi="Arial"/>
          <w:sz w:val="17"/>
          <w:szCs w:val="17"/>
          <w:i w:val="1"/>
          <w:iCs w:val="1"/>
          <w:color w:val="auto"/>
        </w:rPr>
        <w:t>i</w:t>
      </w:r>
      <w:r>
        <w:rPr>
          <w:rFonts w:ascii="Arial" w:cs="Arial" w:eastAsia="Arial" w:hAnsi="Arial"/>
          <w:sz w:val="17"/>
          <w:szCs w:val="17"/>
          <w:color w:val="auto"/>
        </w:rPr>
        <w:t xml:space="preserve">CTC to multiple airports facilitates delivery of TIL therapies to treatment centers, with the </w:t>
      </w:r>
      <w:r>
        <w:rPr>
          <w:rFonts w:ascii="Arial" w:cs="Arial" w:eastAsia="Arial" w:hAnsi="Arial"/>
          <w:sz w:val="17"/>
          <w:szCs w:val="17"/>
          <w:i w:val="1"/>
          <w:iCs w:val="1"/>
          <w:color w:val="auto"/>
        </w:rPr>
        <w:t>i</w:t>
      </w:r>
      <w:r>
        <w:rPr>
          <w:rFonts w:ascii="Arial" w:cs="Arial" w:eastAsia="Arial" w:hAnsi="Arial"/>
          <w:sz w:val="17"/>
          <w:szCs w:val="17"/>
          <w:color w:val="auto"/>
        </w:rPr>
        <w:t>CTC expected to cover logistics and delivery of TIL therapy in both North America and Europe. This location may also offer future tax savings under Pennsylvania’s Keystone Opportunity Improvement Zone, or KOIZ.</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Clinical Manufacturing</w:t>
      </w:r>
    </w:p>
    <w:p>
      <w:pPr>
        <w:spacing w:after="0" w:line="239" w:lineRule="exact"/>
        <w:rPr>
          <w:sz w:val="20"/>
          <w:szCs w:val="20"/>
          <w:color w:val="auto"/>
        </w:rPr>
      </w:pPr>
    </w:p>
    <w:p>
      <w:pPr>
        <w:ind w:right="180" w:firstLine="492"/>
        <w:spacing w:after="0" w:line="275" w:lineRule="auto"/>
        <w:rPr>
          <w:sz w:val="20"/>
          <w:szCs w:val="20"/>
          <w:color w:val="auto"/>
        </w:rPr>
      </w:pPr>
      <w:r>
        <w:rPr>
          <w:rFonts w:ascii="Arial" w:cs="Arial" w:eastAsia="Arial" w:hAnsi="Arial"/>
          <w:sz w:val="17"/>
          <w:szCs w:val="17"/>
          <w:color w:val="auto"/>
        </w:rPr>
        <w:t xml:space="preserve">In 2021, we completed the commissioning activities at the </w:t>
      </w:r>
      <w:r>
        <w:rPr>
          <w:rFonts w:ascii="Arial" w:cs="Arial" w:eastAsia="Arial" w:hAnsi="Arial"/>
          <w:sz w:val="17"/>
          <w:szCs w:val="17"/>
          <w:i w:val="1"/>
          <w:iCs w:val="1"/>
          <w:color w:val="auto"/>
        </w:rPr>
        <w:t>i</w:t>
      </w:r>
      <w:r>
        <w:rPr>
          <w:rFonts w:ascii="Arial" w:cs="Arial" w:eastAsia="Arial" w:hAnsi="Arial"/>
          <w:sz w:val="17"/>
          <w:szCs w:val="17"/>
          <w:color w:val="auto"/>
        </w:rPr>
        <w:t>CTC and successfully initiated manufacturing of clinical batches of lifileucel and LN-145. In addition, we have entered into MSAs with WuXi Advanced Therapies, Inc., or WuXi, and Moffitt pursuant to which they have agreed to manufacture, package, ship and handle quality assurance and quality control of certain clinical trials for our TIL products working closely with our employees. In the future, we may rely on them or other third parties, or our own manufacturing capabilities, for the manufacturing and processing of TIL-based product candidates for our clinical trials.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Commercial Manufacturing Preparations</w:t>
      </w:r>
    </w:p>
    <w:p>
      <w:pPr>
        <w:spacing w:after="0" w:line="225" w:lineRule="exact"/>
        <w:rPr>
          <w:sz w:val="20"/>
          <w:szCs w:val="20"/>
          <w:color w:val="auto"/>
        </w:rPr>
      </w:pPr>
    </w:p>
    <w:p>
      <w:pPr>
        <w:ind w:right="60" w:firstLine="492"/>
        <w:spacing w:after="0" w:line="291" w:lineRule="auto"/>
        <w:rPr>
          <w:sz w:val="20"/>
          <w:szCs w:val="20"/>
          <w:color w:val="auto"/>
        </w:rPr>
      </w:pPr>
      <w:r>
        <w:rPr>
          <w:rFonts w:ascii="Arial" w:cs="Arial" w:eastAsia="Arial" w:hAnsi="Arial"/>
          <w:sz w:val="16"/>
          <w:szCs w:val="16"/>
          <w:color w:val="auto"/>
        </w:rPr>
        <w:t xml:space="preserve">To meet projected needs for commercial quantities, we continue our launch readiness and scale up activities to supply commercial TIL upon potential BLA approval. We expect to rely primarily on our own </w:t>
      </w:r>
      <w:r>
        <w:rPr>
          <w:rFonts w:ascii="Arial" w:cs="Arial" w:eastAsia="Arial" w:hAnsi="Arial"/>
          <w:sz w:val="16"/>
          <w:szCs w:val="16"/>
          <w:i w:val="1"/>
          <w:iCs w:val="1"/>
          <w:color w:val="auto"/>
        </w:rPr>
        <w:t>i</w:t>
      </w:r>
      <w:r>
        <w:rPr>
          <w:rFonts w:ascii="Arial" w:cs="Arial" w:eastAsia="Arial" w:hAnsi="Arial"/>
          <w:sz w:val="16"/>
          <w:szCs w:val="16"/>
          <w:color w:val="auto"/>
        </w:rPr>
        <w:t>CTC facility for commercial supply, with flexibility to use CMOs to meet anticipated clinical trial and, if approved, commercial demands. For example, we expect to be able to use two suites for clinical or commercial manufacturing at WuXi in Philadelphia if needed based on demand. If we are unable to meet manufacturing capabilities and demand at our own commercial manufacturing facility, we may need to rely on CMOs, including both current and alternate suppliers, to ensure sufficient capacity is available for commercial purposes. Our CMO relationship is described in more detail in the Research, Development, Manufacturing and License agreements section of this Annual Report on Form 10-K.</w:t>
      </w:r>
    </w:p>
    <w:p>
      <w:pPr>
        <w:spacing w:after="0" w:line="166" w:lineRule="exact"/>
        <w:rPr>
          <w:sz w:val="20"/>
          <w:szCs w:val="20"/>
          <w:color w:val="auto"/>
        </w:rPr>
      </w:pPr>
    </w:p>
    <w:p>
      <w:pPr>
        <w:ind w:right="140" w:firstLine="492"/>
        <w:spacing w:after="0" w:line="308" w:lineRule="auto"/>
        <w:rPr>
          <w:sz w:val="20"/>
          <w:szCs w:val="20"/>
          <w:color w:val="auto"/>
        </w:rPr>
      </w:pPr>
      <w:r>
        <w:rPr>
          <w:rFonts w:ascii="Arial" w:cs="Arial" w:eastAsia="Arial" w:hAnsi="Arial"/>
          <w:sz w:val="17"/>
          <w:szCs w:val="17"/>
          <w:color w:val="auto"/>
        </w:rPr>
        <w:t>Cell processing activities are conducted at all facilities under cGMP, using qualified equipment and materials. We believe that all materials and components utilized in the production of the final TIL product are readily available from qualified suppliers.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40" w:firstLine="492"/>
        <w:spacing w:after="0" w:line="290" w:lineRule="auto"/>
        <w:rPr>
          <w:sz w:val="20"/>
          <w:szCs w:val="20"/>
          <w:color w:val="auto"/>
        </w:rPr>
      </w:pPr>
      <w:r>
        <w:rPr>
          <w:rFonts w:ascii="Arial" w:cs="Arial" w:eastAsia="Arial" w:hAnsi="Arial"/>
          <w:sz w:val="16"/>
          <w:szCs w:val="16"/>
          <w:color w:val="auto"/>
        </w:rPr>
        <w:t>We aim to lead in the field of T-cell-based immunotherapy by building and augmenting the patent rights for our proprietary TIL technology platform, which we have developed internally and licensed from third parties. Intellectual property is of importance in our field and in biotechnology generally. We seek to protect and enhance proprietary technology, inventions, and improvements that are commercially important to the development of our business by seeking, maintaining, and defending patent rights. We also plan to rely on regulatory protection afforded through Orphan Drug Designation, or ODD, available regulatory exclusivities and patent term extensions where available. To achieve this objective, our strategic focus has been to develop our own intellectual property, while also identifying and licensing patents from third parties that provide protection and serve as an optimal platform to enhance our intellectual property and technology base. We expect to further develop our patent portfolio as a strategic focus in 2023.</w:t>
      </w:r>
    </w:p>
    <w:p>
      <w:pPr>
        <w:spacing w:after="0" w:line="165"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We currently own more than 60 U.S. patents related to TIL therapy, including patents directed to compositions and methods of treatment in a broad range of cancers, such as U.S. Patent Nos. 10,130,659; 10,166,257; 10,272,113; 10,363,273; 10,398,734; 10,420,799; 10,463,697; 10,517,894; 10,537,595; 10,639,330; 10,646,517; 10,653,723; 10,695,372; 10,894,063; 10,905,718; 10,918,666; 10,925,900; 10,933,094; 10,946,044; 10,946,045; 10,953,046; 10,953,047; 11,007,225; 11,007,226; 11,013,770; 11,026,974; 11,040,070; 11,052,115; 11,052,116; 11,058,728; 11,083,752; 11,123,371; 11,141,438 11,168,303; 11,168,304; 11,179,419; 11,202,803; 11,202,804; 11,241,456; 11,254,913; 11,266,694; 11,273,180; 11,273,181; 11,291,687; 11,304,979; 11,304,980; 11,311,578; 11,337,998; 11,344,579; 11,344,580; 11,344,581; 11,351,197; 11,351,198; 11,351,199; 11,364,266; 11,369,637; 11,384,637; 1,433,097; 11,529,372; and 11,541,077. More than 35 of these patents are related to our Gen 2 TIL manufacturing processes and have terms that we anticipate will extend to January 2038, not including any patent term extensions or adjustments that may be available. Our owned and licensed intellectual property portfolio also includes patents and patent applications relating to TIL, MIL, and PBL therapies; frozen tumor-based TIL technologies; remnant TIL and digest TIL compositions, methods and processes; methods of manufacturing TIL, MIL, and PBL therapies; the use of costimulatory and T-cell modulating molecules in TIL therapy and manufacturing; stable and transient genetically-modified TIL therapies, including genetic knockouts of immune</w:t>
      </w:r>
    </w:p>
    <w:p>
      <w:pPr>
        <w:sectPr>
          <w:pgSz w:w="11900" w:h="16838" w:orient="portrait"/>
          <w:cols w:equalWidth="0" w:num="1">
            <w:col w:w="9920"/>
          </w:cols>
          <w:pgMar w:left="980" w:top="665" w:right="99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checkpoints; cytokine-tethered TIL therapies; methods of using ICIs in combination with TIL therapies; TIL selection technologies; and methods of treating patient subpopulations.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Development, Manufacturing and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WuXi Advanced Therapies,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and Services Agreements</w:t>
      </w:r>
    </w:p>
    <w:p>
      <w:pPr>
        <w:spacing w:after="0" w:line="225" w:lineRule="exact"/>
        <w:rPr>
          <w:sz w:val="20"/>
          <w:szCs w:val="20"/>
          <w:color w:val="auto"/>
        </w:rPr>
      </w:pPr>
    </w:p>
    <w:p>
      <w:pPr>
        <w:ind w:right="60" w:firstLine="492"/>
        <w:spacing w:after="0" w:line="301" w:lineRule="auto"/>
        <w:rPr>
          <w:sz w:val="20"/>
          <w:szCs w:val="20"/>
          <w:color w:val="auto"/>
        </w:rPr>
      </w:pPr>
      <w:r>
        <w:rPr>
          <w:rFonts w:ascii="Arial" w:cs="Arial" w:eastAsia="Arial" w:hAnsi="Arial"/>
          <w:sz w:val="16"/>
          <w:szCs w:val="16"/>
          <w:color w:val="auto"/>
        </w:rPr>
        <w:t>In November 2016, we entered into a three-year manufacturing services agreement, or the First WuXi MSA, with WuXi, pursuant to which WuXi agreed to provide manufacturing and other services, which has since been amended and assigned to our subsidiary Iovance Biotherapeutics Manufacturing LLC. Under the First Wuxi MSA, we entered into two statements of work for two cGMP manufacturing suites to be operated by WuXi for us. The terms of one of these statements of work was extended to December 2022.</w:t>
      </w:r>
    </w:p>
    <w:p>
      <w:pPr>
        <w:spacing w:after="0" w:line="157" w:lineRule="exact"/>
        <w:rPr>
          <w:sz w:val="20"/>
          <w:szCs w:val="20"/>
          <w:color w:val="auto"/>
        </w:rPr>
      </w:pPr>
    </w:p>
    <w:p>
      <w:pPr>
        <w:ind w:right="160" w:firstLine="492"/>
        <w:spacing w:after="0" w:line="301" w:lineRule="auto"/>
        <w:rPr>
          <w:sz w:val="20"/>
          <w:szCs w:val="20"/>
          <w:color w:val="auto"/>
        </w:rPr>
      </w:pPr>
      <w:r>
        <w:rPr>
          <w:rFonts w:ascii="Arial" w:cs="Arial" w:eastAsia="Arial" w:hAnsi="Arial"/>
          <w:sz w:val="16"/>
          <w:szCs w:val="16"/>
          <w:color w:val="auto"/>
        </w:rPr>
        <w:t>In October 2022, Iovance Biotherapeutics Manufacturing LLC entered into an additional three-year MSA, or the Second WuXi MSA, with WuXi and its parent company WuXi Apptec, Co, Ltd. The Second WuXi MSA and its related statement of work will supersede the statement of work under the First WuXi MSA with respect to commercial and clinical manufacturing for the two existing manufacturing suites. Both suites are expected to be capable of being used for the commercial manufacture of our products.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 and the National Cancer Institute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w:t>
      </w:r>
    </w:p>
    <w:p>
      <w:pPr>
        <w:spacing w:after="0" w:line="225" w:lineRule="exact"/>
        <w:rPr>
          <w:sz w:val="20"/>
          <w:szCs w:val="20"/>
          <w:color w:val="auto"/>
        </w:rPr>
      </w:pPr>
    </w:p>
    <w:p>
      <w:pPr>
        <w:ind w:right="220" w:firstLine="492"/>
        <w:spacing w:after="0" w:line="263" w:lineRule="auto"/>
        <w:rPr>
          <w:sz w:val="20"/>
          <w:szCs w:val="20"/>
          <w:color w:val="auto"/>
        </w:rPr>
      </w:pPr>
      <w:r>
        <w:rPr>
          <w:rFonts w:ascii="Arial" w:cs="Arial" w:eastAsia="Arial" w:hAnsi="Arial"/>
          <w:sz w:val="18"/>
          <w:szCs w:val="18"/>
          <w:color w:val="auto"/>
        </w:rPr>
        <w:t>We entered into a CRADA with the NCI to develop adoptive cell immunotherapies in multiple solid tumor types, including unmodified TIL as a stand-alone therapy or in combination, improved methods for the generation and selection of TIL with anti-tumor reactivity, and strategies for more potent TILs.</w:t>
      </w:r>
    </w:p>
    <w:p>
      <w:pPr>
        <w:spacing w:after="0" w:line="184" w:lineRule="exact"/>
        <w:rPr>
          <w:sz w:val="20"/>
          <w:szCs w:val="20"/>
          <w:color w:val="auto"/>
        </w:rPr>
      </w:pPr>
    </w:p>
    <w:p>
      <w:pPr>
        <w:ind w:firstLine="492"/>
        <w:spacing w:after="0" w:line="273" w:lineRule="auto"/>
        <w:rPr>
          <w:sz w:val="20"/>
          <w:szCs w:val="20"/>
          <w:color w:val="auto"/>
        </w:rPr>
      </w:pPr>
      <w:r>
        <w:rPr>
          <w:rFonts w:ascii="Arial" w:cs="Arial" w:eastAsia="Arial" w:hAnsi="Arial"/>
          <w:sz w:val="17"/>
          <w:szCs w:val="17"/>
          <w:color w:val="auto"/>
        </w:rPr>
        <w:t>In August 2011, we signed a five-year CRADA with the NCI, to work on the development of adoptive cell immunotherapies that are designed to destroy metastatic melanoma cells. The CRADA was amended in 2015 and 2016, to, among other things, extend the term of the CRADA through August 2023, include new indications such as bladder, lung, triple-negative breast, and Human Papilloma Virus, or HPV, -associated cancers and modify the focus on the development of unmodified TIL as a stand-alone therapy or in combination. The parties have continued the development of improved methods for the generation and selection of TIL with anti-tumor reactivity in metastatic melanoma, bladder, lung, breast, and HPV-associated cancers.</w:t>
      </w:r>
    </w:p>
    <w:p>
      <w:pPr>
        <w:spacing w:after="0" w:line="178" w:lineRule="exact"/>
        <w:rPr>
          <w:sz w:val="20"/>
          <w:szCs w:val="20"/>
          <w:color w:val="auto"/>
        </w:rPr>
      </w:pPr>
    </w:p>
    <w:p>
      <w:pPr>
        <w:ind w:right="60" w:firstLine="492"/>
        <w:spacing w:after="0" w:line="311" w:lineRule="auto"/>
        <w:rPr>
          <w:sz w:val="20"/>
          <w:szCs w:val="20"/>
          <w:color w:val="auto"/>
        </w:rPr>
      </w:pPr>
      <w:r>
        <w:rPr>
          <w:rFonts w:ascii="Arial" w:cs="Arial" w:eastAsia="Arial" w:hAnsi="Arial"/>
          <w:sz w:val="16"/>
          <w:szCs w:val="16"/>
          <w:color w:val="auto"/>
        </w:rPr>
        <w:t>In August 2021, a third amendment extended the term of the CRADA by three years to August 2024, among other things. The research plan in this third amendment includes the evaluation in clinical trials of strategies for development of more potent TILs, such as selection of CD39/69 double negative cells and the use of certain inhibitors or other reagents in TIL expansion cultures.</w:t>
      </w:r>
    </w:p>
    <w:p>
      <w:pPr>
        <w:spacing w:after="0" w:line="149"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Pursuant to the terms of the CRADA, as amended, we are required to make quarterly payments of $0.5 million to the NCI for support of research activities. To the extent we license patent rights relating to a TIL-based product candidate, we will be responsible for all patent-related expenses and fees, past and future. In addition, we may be required to supply certain test articles, including TIL, grown and processed under Current Good Manufacturing, or cGMP, conditions, suitable for use in clinical trials. We or the NCI may unilaterally terminate the CRADA for any reason or for no reason, at any time, by providing written notice at least 60 days before the desired termination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 Therapies</w:t>
      </w:r>
    </w:p>
    <w:p>
      <w:pPr>
        <w:spacing w:after="0" w:line="225" w:lineRule="exact"/>
        <w:rPr>
          <w:sz w:val="20"/>
          <w:szCs w:val="20"/>
          <w:color w:val="auto"/>
        </w:rPr>
      </w:pPr>
    </w:p>
    <w:p>
      <w:pPr>
        <w:ind w:right="380" w:firstLine="492"/>
        <w:spacing w:after="0" w:line="277" w:lineRule="auto"/>
        <w:rPr>
          <w:sz w:val="20"/>
          <w:szCs w:val="20"/>
          <w:color w:val="auto"/>
        </w:rPr>
      </w:pPr>
      <w:r>
        <w:rPr>
          <w:rFonts w:ascii="Arial" w:cs="Arial" w:eastAsia="Arial" w:hAnsi="Arial"/>
          <w:sz w:val="18"/>
          <w:szCs w:val="18"/>
          <w:color w:val="auto"/>
        </w:rPr>
        <w:t>We have licensed exclusive, co-exclusive, and non-exclusive licenses from NIH to certain technologies relating to autologous tumor infiltrating lymphocyte adoptive cell therapy products.</w:t>
      </w:r>
    </w:p>
    <w:p>
      <w:pPr>
        <w:spacing w:after="0" w:line="170" w:lineRule="exact"/>
        <w:rPr>
          <w:sz w:val="20"/>
          <w:szCs w:val="20"/>
          <w:color w:val="auto"/>
        </w:rPr>
      </w:pPr>
    </w:p>
    <w:p>
      <w:pPr>
        <w:ind w:firstLine="492"/>
        <w:spacing w:after="0" w:line="279" w:lineRule="auto"/>
        <w:rPr>
          <w:sz w:val="20"/>
          <w:szCs w:val="20"/>
          <w:color w:val="auto"/>
        </w:rPr>
      </w:pPr>
      <w:r>
        <w:rPr>
          <w:rFonts w:ascii="Arial" w:cs="Arial" w:eastAsia="Arial" w:hAnsi="Arial"/>
          <w:sz w:val="17"/>
          <w:szCs w:val="17"/>
          <w:color w:val="auto"/>
        </w:rPr>
        <w:t>We entered into an Exclusive Patent License Agreement, or the Patent License Agreement, with the NIH, in 2011, which was amended in 2015. Pursuant to the Patent License Agreement, as amended, the NIH granted us licenses, including exclusive, co-exclusive, and non-exclusive licenses, to certain technologies relating to autologous tumor infiltrating lymphocyte adoptive cell therapy products for the treatment of metastatic melanoma, lung, breast, bladder and HPV-positive cancers.</w:t>
      </w:r>
    </w:p>
    <w:p>
      <w:pPr>
        <w:sectPr>
          <w:pgSz w:w="11900" w:h="16838" w:orient="portrait"/>
          <w:cols w:equalWidth="0" w:num="1">
            <w:col w:w="9920"/>
          </w:cols>
          <w:pgMar w:left="980" w:top="665"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492"/>
        <w:spacing w:after="0" w:line="273" w:lineRule="auto"/>
        <w:rPr>
          <w:sz w:val="20"/>
          <w:szCs w:val="20"/>
          <w:color w:val="auto"/>
        </w:rPr>
      </w:pPr>
      <w:r>
        <w:rPr>
          <w:rFonts w:ascii="Arial" w:cs="Arial" w:eastAsia="Arial" w:hAnsi="Arial"/>
          <w:sz w:val="17"/>
          <w:szCs w:val="17"/>
          <w:color w:val="auto"/>
        </w:rPr>
        <w:t>In May 2021, we entered into an Amended and Restated Patent License Agreement with NIH, which included the grant of additional exclusive, worldwide patent rights in the indications to interleukin-15 and interleukin-21 cytokine-tethered TIL technology, and expanded the non-exclusive, worldwide field of use to all cancers. Effective August 1, 2022, we entered into a Second Amended and Restated Patent License Agreement with NIH to include additional exclusive, worldwide patent rights to TIL products expressing interleukin-12, expanded rights to TIL selection technologies previously licensed under the Exclusive Patent License Agreement below, and additional non-exclusive, worldwide patent rights to certain technologies related to enhancing TIL potency.</w:t>
      </w:r>
    </w:p>
    <w:p>
      <w:pPr>
        <w:spacing w:after="0" w:line="178" w:lineRule="exact"/>
        <w:rPr>
          <w:sz w:val="20"/>
          <w:szCs w:val="20"/>
          <w:color w:val="auto"/>
        </w:rPr>
      </w:pPr>
    </w:p>
    <w:p>
      <w:pPr>
        <w:ind w:firstLine="492"/>
        <w:spacing w:after="0" w:line="288" w:lineRule="auto"/>
        <w:rPr>
          <w:sz w:val="20"/>
          <w:szCs w:val="20"/>
          <w:color w:val="auto"/>
        </w:rPr>
      </w:pPr>
      <w:r>
        <w:rPr>
          <w:rFonts w:ascii="Arial" w:cs="Arial" w:eastAsia="Arial" w:hAnsi="Arial"/>
          <w:sz w:val="16"/>
          <w:szCs w:val="16"/>
          <w:color w:val="auto"/>
        </w:rPr>
        <w:t>The Second Amended and Restated Patent License Agreement requires us to pay royalties based on a percentage of net sales in jurisdictions where patent rights exist, which percentage can fall into a tier that may be less than one percent to mid-single digits depending upon certain events, including the exclusivity of the rights, and we expect lower overall royalty payments as a result. We also agreed to pay potential milestone payments on the achievement of certain clinical, regulatory, and commercial sales milestones for each of the indications and other direct costs incurred by the NIH pursuant to the Second Amended and Restated Patent License Agreement. We anticipate making milestone payments, including payments ranging from several hundred thousand dollars to the mid-single-digit millions of dollars, in conjunction with certain development milestones, the approval of a BLA or its foreign equivalent, or the first U.S. and foreign commercial sales of any of our product candidates covered by the Second Amended and Restated Patent License Agreement. The term of the Second Amended and Restated Patent License Agreement continues until the expiry of the last-to-expire patent rights licensed thereunder, and the agreement contains standard termination provisions.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225" w:lineRule="exact"/>
        <w:rPr>
          <w:sz w:val="20"/>
          <w:szCs w:val="20"/>
          <w:color w:val="auto"/>
        </w:rPr>
      </w:pPr>
    </w:p>
    <w:p>
      <w:pPr>
        <w:ind w:right="100" w:firstLine="492"/>
        <w:spacing w:after="0" w:line="263" w:lineRule="auto"/>
        <w:rPr>
          <w:sz w:val="20"/>
          <w:szCs w:val="20"/>
          <w:color w:val="auto"/>
        </w:rPr>
      </w:pPr>
      <w:r>
        <w:rPr>
          <w:rFonts w:ascii="Arial" w:cs="Arial" w:eastAsia="Arial" w:hAnsi="Arial"/>
          <w:sz w:val="18"/>
          <w:szCs w:val="18"/>
          <w:color w:val="auto"/>
        </w:rPr>
        <w:t>In February 2015, we entered into an exclusive patent license agreement, or the Exclusive Patent License Agreement, with the NIH under which we received an exclusive worldwide license under the selected TIL patents. This license was superseded and replaced by the Second Amended and Restated Patent License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Lee Moffitt Cancer Center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Sponsored Research Agreement</w:t>
      </w:r>
    </w:p>
    <w:p>
      <w:pPr>
        <w:spacing w:after="0" w:line="239" w:lineRule="exact"/>
        <w:rPr>
          <w:sz w:val="20"/>
          <w:szCs w:val="20"/>
          <w:color w:val="auto"/>
        </w:rPr>
      </w:pPr>
    </w:p>
    <w:p>
      <w:pPr>
        <w:ind w:right="40" w:firstLine="492"/>
        <w:spacing w:after="0" w:line="279" w:lineRule="auto"/>
        <w:rPr>
          <w:sz w:val="20"/>
          <w:szCs w:val="20"/>
          <w:color w:val="auto"/>
        </w:rPr>
      </w:pPr>
      <w:r>
        <w:rPr>
          <w:rFonts w:ascii="Arial" w:cs="Arial" w:eastAsia="Arial" w:hAnsi="Arial"/>
          <w:sz w:val="17"/>
          <w:szCs w:val="17"/>
          <w:color w:val="auto"/>
        </w:rPr>
        <w:t>In June 2016, we entered into a Sponsored Research Agreement with Moffitt, which expired in December 2019. In June 2020, we entered into a new Sponsored Research Agreement with Moffitt, with a term that ends either upon completion of the research thereunder or on July 1, 2022, whichever is sooner. In June 2022, this agreement was extended until the later of December 19, 2022 or a mutually acceptable completion of the Research Agreement, which is currently expected in mid-2023.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Grant Agreements</w:t>
      </w:r>
    </w:p>
    <w:p>
      <w:pPr>
        <w:spacing w:after="0" w:line="225"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In December 2016, we entered into a clinical grant agreement with Moffitt to support an ongoing clinical trial at Moffitt that combines TIL therapy with nivolumab for the treatment of patients with metastatic melanoma. In June 2017, we entered into a second clinical grant agreement with Moffitt to support a new clinical trial at Moffitt that combines TIL therapy with nivolumab for the treatment of patients with non-small cell lung cancer, under which we obtained a non-exclusive, royalty-free license to any new Moffitt inventions made in the performance of the agreement. Under both clinical grant agreements with Moffit, we have non-exclusive rights to clinical data arising from the respective clinical trials.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Agreements</w:t>
      </w:r>
    </w:p>
    <w:p>
      <w:pPr>
        <w:spacing w:after="0" w:line="225"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We have exclusive license agreements to Moffitt’s patent-pending technologies related to methods for improving TIL for adoptive cell therapy using toll-like receptor, or TLR, agonists, the use of 4-1BB agonists in conjunction with TIL manufacturing processes and therapies, and tumor digests in conjunction with TIL manufacturing processes and therapies.</w:t>
      </w:r>
    </w:p>
    <w:p>
      <w:pPr>
        <w:spacing w:after="0" w:line="184" w:lineRule="exact"/>
        <w:rPr>
          <w:sz w:val="20"/>
          <w:szCs w:val="20"/>
          <w:color w:val="auto"/>
        </w:rPr>
      </w:pPr>
    </w:p>
    <w:p>
      <w:pPr>
        <w:ind w:right="60" w:firstLine="537"/>
        <w:spacing w:after="0" w:line="279" w:lineRule="auto"/>
        <w:rPr>
          <w:sz w:val="20"/>
          <w:szCs w:val="20"/>
          <w:color w:val="auto"/>
        </w:rPr>
      </w:pPr>
      <w:r>
        <w:rPr>
          <w:rFonts w:ascii="Arial" w:cs="Arial" w:eastAsia="Arial" w:hAnsi="Arial"/>
          <w:sz w:val="17"/>
          <w:szCs w:val="17"/>
          <w:color w:val="auto"/>
        </w:rPr>
        <w:t>We entered into a license agreement with Moffitt, or the First Moffitt License, effective as of June 28, 2014, under which we received a worldwide license to Moffitt’s rights to patent-pending technologies related to methods for improving TIL for adoptive cell therapy using TLR agonists. Unless earlier terminated, the term of the license extends until the earlier of the expiration of the last issued patent related to the licensed technology or 20 years after the effective date of the license agreement.</w:t>
      </w:r>
    </w:p>
    <w:p>
      <w:pPr>
        <w:spacing w:after="0" w:line="171" w:lineRule="exact"/>
        <w:rPr>
          <w:sz w:val="20"/>
          <w:szCs w:val="20"/>
          <w:color w:val="auto"/>
        </w:rPr>
      </w:pPr>
    </w:p>
    <w:p>
      <w:pPr>
        <w:ind w:right="280" w:firstLine="492"/>
        <w:spacing w:after="0" w:line="342" w:lineRule="auto"/>
        <w:rPr>
          <w:sz w:val="20"/>
          <w:szCs w:val="20"/>
          <w:color w:val="auto"/>
        </w:rPr>
      </w:pPr>
      <w:r>
        <w:rPr>
          <w:rFonts w:ascii="Arial" w:cs="Arial" w:eastAsia="Arial" w:hAnsi="Arial"/>
          <w:sz w:val="16"/>
          <w:szCs w:val="16"/>
          <w:color w:val="auto"/>
        </w:rPr>
        <w:t>Pursuant to the First Moffitt License, we paid an upfront licensing fee, and a patent issuance fee will also be payable under the First Moffitt License, upon the issuance of the first U.S. patent covering the subject technology. In addition, we agreed to pay</w:t>
      </w:r>
    </w:p>
    <w:p>
      <w:pPr>
        <w:sectPr>
          <w:pgSz w:w="11900" w:h="16838" w:orient="portrait"/>
          <w:cols w:equalWidth="0" w:num="1">
            <w:col w:w="9880"/>
          </w:cols>
          <w:pgMar w:left="980" w:top="665" w:right="1039" w:bottom="1440" w:gutter="0" w:footer="0" w:header="0"/>
        </w:sect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milestone license fees upon completion of specified milestones, customary royalties based on a specified percentage of net sales,</w:t>
      </w:r>
    </w:p>
    <w:p>
      <w:pPr>
        <w:spacing w:after="0" w:line="3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We will also be responsible for all costs associated with the preparation, filing, maintenance and prosecution of the patent applications and patents covered by the First Moffitt License related to the treatment of any cancers in the U.S., Europe and Japan and in other countries designated by us in agreement with Moffitt.</w:t>
      </w:r>
    </w:p>
    <w:p>
      <w:pPr>
        <w:spacing w:after="0" w:line="178"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In May 2018, we entered into a second license agreement with Moffitt, or the Second Moffitt License, under which we received an exclusive license to Moffitt’s rights to patent-pending technologies related to the use of 4-1BB agonists in conjunction with TIL manufacturing processes and therapies. Pursuant to the Second Moffitt License, we paid an upfront licensing fee, and an annual license maintenance fee is also payable commencing on the first anniversary of the effective date. We also agreed to pay an annual commercial use payment for each indication for which a first sale has occurred.</w:t>
      </w:r>
    </w:p>
    <w:p>
      <w:pPr>
        <w:spacing w:after="0" w:line="188" w:lineRule="exact"/>
        <w:rPr>
          <w:sz w:val="20"/>
          <w:szCs w:val="20"/>
          <w:color w:val="auto"/>
        </w:rPr>
      </w:pPr>
    </w:p>
    <w:p>
      <w:pPr>
        <w:ind w:right="40" w:firstLine="537"/>
        <w:spacing w:after="0" w:line="255" w:lineRule="auto"/>
        <w:rPr>
          <w:sz w:val="20"/>
          <w:szCs w:val="20"/>
          <w:color w:val="auto"/>
        </w:rPr>
      </w:pPr>
      <w:r>
        <w:rPr>
          <w:rFonts w:ascii="Arial" w:cs="Arial" w:eastAsia="Arial" w:hAnsi="Arial"/>
          <w:sz w:val="18"/>
          <w:szCs w:val="18"/>
          <w:color w:val="auto"/>
        </w:rPr>
        <w:t>We subsequently exercised an option to exclusively license Moffitt’s rights to patent pending technologies related to the use of tumor digests in conjunction with TIL manufacturing processes and therapies and entered into an amended and restated Second Moffitt License in October 2021, or the Amended &amp; Restated Second Moffit License, to include these rights. Pursuant to the Amended &amp; Restated Second Moffitt License, we paid an upfront licensing fee in 2021. We also agreed to pay an annual commercial use payment for each indication for which a first sale has occurred for products relating to the use of 4-1BB agonists and for products relating to the use of tumor digests covered by the license.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University of Texas M.D. Anderson Cancer Center, or MDACC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225" w:lineRule="exact"/>
        <w:rPr>
          <w:sz w:val="20"/>
          <w:szCs w:val="20"/>
          <w:color w:val="auto"/>
        </w:rPr>
      </w:pPr>
    </w:p>
    <w:p>
      <w:pPr>
        <w:ind w:right="120" w:firstLine="492"/>
        <w:spacing w:after="0" w:line="271" w:lineRule="auto"/>
        <w:rPr>
          <w:sz w:val="20"/>
          <w:szCs w:val="20"/>
          <w:color w:val="auto"/>
        </w:rPr>
      </w:pPr>
      <w:r>
        <w:rPr>
          <w:rFonts w:ascii="Arial" w:cs="Arial" w:eastAsia="Arial" w:hAnsi="Arial"/>
          <w:sz w:val="17"/>
          <w:szCs w:val="17"/>
          <w:color w:val="auto"/>
        </w:rPr>
        <w:t>In April 2017, we entered into a Strategic Alliance Agreement, or the SAA, with MDACC, under which we and MDACC agreed to conduct clinical and preclinical research studies. We agreed in the SAA to provide total funding not to exceed approximately $14.2 million for the performance of the multi-year studies under the SAA. In return, we acquired all rights to inventions resulting from the studies and have been granted a non-exclusive, sub-licensable, royalty-free, and perpetual license to specified background intellectual property of MDACC reasonably necessary to exploit, including the commercialization thereof. We have also been granted certain rights to clinical data generated by MDACC outside of the clinical trials to be performed under the SAA. The SAA’s term shall continue in effect until the later of the fourth anniversary of the SAA or the completion or termination of the research and receipt by us of all deliverables due from MDACC thereunder.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Cellectis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Exclusive Worldwide License Agreement</w:t>
      </w:r>
    </w:p>
    <w:p>
      <w:pPr>
        <w:spacing w:after="0" w:line="225" w:lineRule="exact"/>
        <w:rPr>
          <w:sz w:val="20"/>
          <w:szCs w:val="20"/>
          <w:color w:val="auto"/>
        </w:rPr>
      </w:pPr>
    </w:p>
    <w:p>
      <w:pPr>
        <w:ind w:right="40" w:firstLine="492"/>
        <w:spacing w:after="0" w:line="257" w:lineRule="auto"/>
        <w:rPr>
          <w:sz w:val="20"/>
          <w:szCs w:val="20"/>
          <w:color w:val="auto"/>
        </w:rPr>
      </w:pPr>
      <w:r>
        <w:rPr>
          <w:rFonts w:ascii="Arial" w:cs="Arial" w:eastAsia="Arial" w:hAnsi="Arial"/>
          <w:sz w:val="18"/>
          <w:szCs w:val="18"/>
          <w:color w:val="auto"/>
        </w:rPr>
        <w:t>In December 2019, we entered into a research collaboration and exclusive worldwide license agreement whereby we will license gene-editing technology from Cellectis, a clinical-stage biopharmaceutical company, to develop TIL therapies that have been genetically edited, including a PD-1 inactivated product that we refer to as IOV-4001. Financial terms of the license include annual license payments and development, regulatory and sales milestone payments from us to Cellectis, as well as royalty payments based on net sales of TALEN® modified TIL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 Pharma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w:t>
      </w:r>
    </w:p>
    <w:p>
      <w:pPr>
        <w:spacing w:after="0" w:line="225" w:lineRule="exact"/>
        <w:rPr>
          <w:sz w:val="20"/>
          <w:szCs w:val="20"/>
          <w:color w:val="auto"/>
        </w:rPr>
      </w:pPr>
    </w:p>
    <w:p>
      <w:pPr>
        <w:ind w:right="80" w:firstLine="492"/>
        <w:spacing w:after="0" w:line="257" w:lineRule="auto"/>
        <w:rPr>
          <w:sz w:val="20"/>
          <w:szCs w:val="20"/>
          <w:color w:val="auto"/>
        </w:rPr>
      </w:pPr>
      <w:r>
        <w:rPr>
          <w:rFonts w:ascii="Arial" w:cs="Arial" w:eastAsia="Arial" w:hAnsi="Arial"/>
          <w:sz w:val="18"/>
          <w:szCs w:val="18"/>
          <w:color w:val="auto"/>
        </w:rPr>
        <w:t>In January 2020, we obtained a license from Novartis, to develop and commercialize an antibody cytokine engrafted protein, which we refer to as IOV-3001. Under the agreement, we have paid an upfront payment to Novartis and may pay future milestones related to initiation of patient dosing in various phases of clinical development for IOV-3001 and approval of the product in the U.S., the European Union, or EU, and Japan. Novartis is also entitled to low-to-mid single digit percentage royalties from commercial sales of the product.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Designations</w:t>
      </w:r>
    </w:p>
    <w:p>
      <w:pPr>
        <w:spacing w:after="0" w:line="229" w:lineRule="exact"/>
        <w:rPr>
          <w:sz w:val="20"/>
          <w:szCs w:val="20"/>
          <w:color w:val="auto"/>
        </w:rPr>
      </w:pPr>
    </w:p>
    <w:p>
      <w:pPr>
        <w:jc w:val="both"/>
        <w:ind w:right="80" w:firstLine="492"/>
        <w:spacing w:after="0" w:line="301" w:lineRule="auto"/>
        <w:rPr>
          <w:sz w:val="20"/>
          <w:szCs w:val="20"/>
          <w:color w:val="auto"/>
        </w:rPr>
      </w:pPr>
      <w:r>
        <w:rPr>
          <w:rFonts w:ascii="Arial" w:cs="Arial" w:eastAsia="Arial" w:hAnsi="Arial"/>
          <w:sz w:val="16"/>
          <w:szCs w:val="16"/>
          <w:color w:val="auto"/>
        </w:rPr>
        <w:t>The FDA has granted ODD for lifileucel in the U.S. to treat malignant melanoma stages IIB-IV and for the treatment of cervical cancer with a tumor size of greater than 2 cm in diameter; Fast Track and RMAT designations for lifileucel to treat advanced metastatic melanoma; Fast Track and Breakthrough Therapy Designations, or BTD, for lifileucel to treat metastatic cervical cancer; and Fast Track designation for lifileucel in combination with pembrolizumab for the treatment of ICI naïve metastatic melanoma.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Designations</w:t>
      </w:r>
    </w:p>
    <w:p>
      <w:pPr>
        <w:spacing w:after="0" w:line="225" w:lineRule="exact"/>
        <w:rPr>
          <w:sz w:val="20"/>
          <w:szCs w:val="20"/>
          <w:color w:val="auto"/>
        </w:rPr>
      </w:pPr>
    </w:p>
    <w:p>
      <w:pPr>
        <w:ind w:right="20" w:firstLine="492"/>
        <w:spacing w:after="0" w:line="275" w:lineRule="auto"/>
        <w:rPr>
          <w:sz w:val="20"/>
          <w:szCs w:val="20"/>
          <w:color w:val="auto"/>
        </w:rPr>
      </w:pPr>
      <w:r>
        <w:rPr>
          <w:rFonts w:ascii="Arial" w:cs="Arial" w:eastAsia="Arial" w:hAnsi="Arial"/>
          <w:sz w:val="17"/>
          <w:szCs w:val="17"/>
          <w:color w:val="auto"/>
        </w:rPr>
        <w:t>During 2015, we received ODD for lifileucel in the U.S. to treat malignant melanoma stages IIB-IV, and in 2018, we received an ODD for lifileucel for the treatment of cervical cancer with a tumor size of greater than 2 cm in diameter. If approved, an ODD provides seven years of market exclusivity in the U.S., subject to certain limited exceptions. However, an ODD does not convey any advantage in, or shorten the duration of, the regulatory review or approval process. The benefits and limitations of ODD are described in more under the Government Regulations section in this Annual Report on Form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 Track Designations</w:t>
      </w:r>
    </w:p>
    <w:p>
      <w:pPr>
        <w:spacing w:after="0" w:line="225" w:lineRule="exact"/>
        <w:rPr>
          <w:sz w:val="20"/>
          <w:szCs w:val="20"/>
          <w:color w:val="auto"/>
        </w:rPr>
      </w:pPr>
    </w:p>
    <w:p>
      <w:pPr>
        <w:ind w:right="40" w:firstLine="492"/>
        <w:spacing w:after="0" w:line="270" w:lineRule="auto"/>
        <w:rPr>
          <w:sz w:val="20"/>
          <w:szCs w:val="20"/>
          <w:color w:val="auto"/>
        </w:rPr>
      </w:pPr>
      <w:r>
        <w:rPr>
          <w:rFonts w:ascii="Arial" w:cs="Arial" w:eastAsia="Arial" w:hAnsi="Arial"/>
          <w:sz w:val="17"/>
          <w:szCs w:val="17"/>
          <w:color w:val="auto"/>
        </w:rPr>
        <w:t>In August 2017, we announced that the FDA had granted Fast Track designation for lifileucel for the treatment of advanced metastatic melanoma. In February 2019, we announced that the FDA had granted Fast Track designation for lifileucel in the treatment of metastatic cervical cancer. Additionally, in November 2021, we announced that the FDA granted Fast Track designation for lifileucel in combination with pembrolizumab for the treatment of ICI-naïve metastatic melanoma. The FDA’s Fast Track process is designed to facilitate the development and expedite the review of drugs that treat serious conditions and fill an unmet medical need. Fast Track designation allows more frequent meetings and communications with the FDA to discuss the drug’s development plans and review process. The Fast Track designation also allows for the possibility for rolling review of a BLA by FDA, where the FDA may consider beginning review portions of a marketing application before the full submission is complete, and also potential eligibility if certain criteria are met for accelerated approval.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Regenerative Medicine Advanced Therapy Designation</w:t>
      </w:r>
    </w:p>
    <w:p>
      <w:pPr>
        <w:spacing w:after="0" w:line="225" w:lineRule="exact"/>
        <w:rPr>
          <w:sz w:val="20"/>
          <w:szCs w:val="20"/>
          <w:color w:val="auto"/>
        </w:rPr>
      </w:pPr>
    </w:p>
    <w:p>
      <w:pPr>
        <w:ind w:right="160" w:firstLine="492"/>
        <w:spacing w:after="0" w:line="257" w:lineRule="auto"/>
        <w:rPr>
          <w:sz w:val="20"/>
          <w:szCs w:val="20"/>
          <w:color w:val="auto"/>
        </w:rPr>
      </w:pPr>
      <w:r>
        <w:rPr>
          <w:rFonts w:ascii="Arial" w:cs="Arial" w:eastAsia="Arial" w:hAnsi="Arial"/>
          <w:sz w:val="18"/>
          <w:szCs w:val="18"/>
          <w:color w:val="auto"/>
        </w:rPr>
        <w:t>In October 2018, we announced that the FDA had granted RMAT designation for lifileucel for the treatment of patients with metastatic melanoma. The RMAT designation is based on data provided to the FDA from our C-144-01 trial. RMAT designation is granted for regenerative medicine drugs and allows for increased access to FDA during development. Under this designation, surrogate endpoints can be used to receive approval for a product, accelerated approval may be granted, and a rolling review of a BLA may be permitted by FDA.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Breakthrough Therapy Designation</w:t>
      </w:r>
    </w:p>
    <w:p>
      <w:pPr>
        <w:spacing w:after="0" w:line="225" w:lineRule="exact"/>
        <w:rPr>
          <w:sz w:val="20"/>
          <w:szCs w:val="20"/>
          <w:color w:val="auto"/>
        </w:rPr>
      </w:pPr>
    </w:p>
    <w:p>
      <w:pPr>
        <w:ind w:firstLine="492"/>
        <w:spacing w:after="0" w:line="253" w:lineRule="auto"/>
        <w:rPr>
          <w:sz w:val="20"/>
          <w:szCs w:val="20"/>
          <w:color w:val="auto"/>
        </w:rPr>
      </w:pPr>
      <w:r>
        <w:rPr>
          <w:rFonts w:ascii="Arial" w:cs="Arial" w:eastAsia="Arial" w:hAnsi="Arial"/>
          <w:sz w:val="18"/>
          <w:szCs w:val="18"/>
          <w:color w:val="auto"/>
        </w:rPr>
        <w:t>In May 2019, we announced that the FDA had granted BTD for lifileucel for the treatment of patients with metastatic cervical cancer. The BTD was granted based on data provided to the FDA from our C-145-04 clinical trial. Under a BTD, the FDA may take actions that help expedite the development and review of the application for a product candidate, including seeking to provide timely advice and interactive communications to the sponsor with intensive guidance during development, to help the sponsor design and conduct a more efficient development program. Product candidates with BTD may be suitable for alternative clinical trial designs when scientifically appropriate, which may result in smaller clinical trials or more efficient clinical trials that require less time to complete. BTD also allows the sponsor to submit portions of the BLA on an ongoing basis for rolling review. In addition, BTD status allows for the potential to request priority review of our BLA at the time of BLA submission if supported by clinical data. The clinical evidence needed to support breakthrough designation is preliminary, and the FDA has authority to rescind a BTD if a product candidate no longer meets the qualifying criteria.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The biotechnology and pharmaceutical industries put significant resources into developing novel and proprietary therapies for the treatment of cancer. We compete with multiple entities who have developed and are developing immuno-oncology therapies, including large and specialty pharmaceutical and biotechnology companies, academic research institutions and governmental agencies and public and private research institutions, as well as companies developing novel targeted therapies for cancer. Universities and public and private research institutions in the U.S. and Europe are also potential competitors. For example, a Phase 3 M14TIL clinical</w:t>
      </w:r>
    </w:p>
    <w:p>
      <w:pPr>
        <w:sectPr>
          <w:pgSz w:w="11900" w:h="16838" w:orient="portrait"/>
          <w:cols w:equalWidth="0" w:num="1">
            <w:col w:w="9900"/>
          </w:cols>
          <w:pgMar w:left="980" w:top="665" w:right="1019"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trial comparing TIL to standard ipilimumab in patients with metastatic melanoma is currently being conducted in Europe by the Netherlands Cancer Institute, the Copenhagen University Hospital at Herlev, and the University of Manchester. Results from the M14TIL clinical trial were presented at the European Society for Medical Oncology Congress in September 2022 and published in the New England Journal of Medicine in December 2022, as described in the Historical Clinical Results with Other TIL Therapies in Metastatic Melanoma section of this Annual Report on Form 10-K. While these universities and public and private research institutions primarily have educational objectives, they may develop proprietary technologies that lead to other FDA-approved therapies or that secure patent protection that we may need for the development of our technologies and products.</w:t>
      </w:r>
    </w:p>
    <w:p>
      <w:pPr>
        <w:spacing w:after="0" w:line="177" w:lineRule="exact"/>
        <w:rPr>
          <w:sz w:val="20"/>
          <w:szCs w:val="20"/>
          <w:color w:val="auto"/>
        </w:rPr>
      </w:pPr>
    </w:p>
    <w:p>
      <w:pPr>
        <w:ind w:right="20" w:firstLine="492"/>
        <w:spacing w:after="0" w:line="267" w:lineRule="auto"/>
        <w:rPr>
          <w:sz w:val="20"/>
          <w:szCs w:val="20"/>
          <w:color w:val="auto"/>
        </w:rPr>
      </w:pPr>
      <w:r>
        <w:rPr>
          <w:rFonts w:ascii="Arial" w:cs="Arial" w:eastAsia="Arial" w:hAnsi="Arial"/>
          <w:sz w:val="17"/>
          <w:szCs w:val="17"/>
          <w:color w:val="auto"/>
        </w:rPr>
        <w:t>Due to the promising clinical therapeutic effect of competitor therapies in clinical exploratory trials, we anticipate substantial direct competition from other organizations developing advanced T-cell therapies targeting patients who have received prior anti-PD-1/-L1 therapies. In particular, we expect to compete with other new therapies for our lead indications developed by companies such as Agenus, BeyondSpring, Bristol-Myers Squibb, Merck, Nektar Therapeutics, Checkmate Pharmaceuticals, Daiichi Sankyo, Eisai, Exelixis, Moderna, Mirati Therapeutics, OncoSec Medical, Replimune, Regeneron Pharmaceuticals, Seagen, and Genmab. We also may compete with other TIL therapies in development by companies such as Instil Bio, Achilles Therapeutics, KSQ Therapeutics, Obsidian Therapeutics, Immatics, TILT Biotherapeutics, WindMIL Therapeutics, GRIT Biotechnology, Lyell Immunopharma, Cellular Biomedicine Group, and others. We also may compete with therapies based on genetically engineered T-cell receptors rendered reactive against tumor-associated antigens prior to their administration to patients, as well as TIL therapies that are designed to be specific to neoantigens, including products developed by Adaptimmune Therapeutics, Alaunos Therapeutics, Intima Bioscience, Marker Therapeutics, Turnstone Biologics, Neogene and others. To date, these technologies have been primarily applicable to hematologic malignancies, but their application in solid tumor indications may create competition with us. We may also face competition from immunotherapy treatments offered by companies such as Amgen, AstraZeneca, Bristol-Myers Squibb, Merck, Pfizer, Regeneron Pharmaceuticals, Roche, and BioNTech. We may also face competition from novel IL-2 treatments in development by Alkermes, Werewolf, Nektar Therapeutics, Merck, Sanofi, Neoleukin Therapeutics and others.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85" w:lineRule="exact"/>
        <w:rPr>
          <w:sz w:val="20"/>
          <w:szCs w:val="20"/>
          <w:color w:val="auto"/>
        </w:rPr>
      </w:pPr>
    </w:p>
    <w:p>
      <w:pPr>
        <w:ind w:right="120" w:firstLine="492"/>
        <w:spacing w:after="0" w:line="255" w:lineRule="auto"/>
        <w:rPr>
          <w:sz w:val="20"/>
          <w:szCs w:val="20"/>
          <w:color w:val="auto"/>
        </w:rPr>
      </w:pPr>
      <w:r>
        <w:rPr>
          <w:rFonts w:ascii="Arial" w:cs="Arial" w:eastAsia="Arial" w:hAnsi="Arial"/>
          <w:sz w:val="18"/>
          <w:szCs w:val="18"/>
          <w:color w:val="auto"/>
        </w:rPr>
        <w:t>Our lead product candidate lifileucel is a TIL therapy for the treatment of advanced melanoma and advanced cervical cancer. Currently, there are numerous companies that are developing various alternate treatments for melanoma and cervical cancer, including patients that have progressed after prior treatment with checkpoint inhibitors and chemotherapy. Accordingly, lifileucel faces significant competition in the melanoma and cervical cancer treatment space from multiple companies. Even if we obtain regulatory approval for lifileucel, the availability and price of our competitors’ products could limit the demand and the price we are able to charge for our therapies.</w:t>
      </w:r>
    </w:p>
    <w:p>
      <w:pPr>
        <w:spacing w:after="0" w:line="192" w:lineRule="exact"/>
        <w:rPr>
          <w:sz w:val="20"/>
          <w:szCs w:val="20"/>
          <w:color w:val="auto"/>
        </w:rPr>
      </w:pPr>
    </w:p>
    <w:p>
      <w:pPr>
        <w:ind w:right="200" w:firstLine="492"/>
        <w:spacing w:after="0" w:line="275" w:lineRule="auto"/>
        <w:rPr>
          <w:sz w:val="20"/>
          <w:szCs w:val="20"/>
          <w:color w:val="auto"/>
        </w:rPr>
      </w:pPr>
      <w:r>
        <w:rPr>
          <w:rFonts w:ascii="Arial" w:cs="Arial" w:eastAsia="Arial" w:hAnsi="Arial"/>
          <w:sz w:val="17"/>
          <w:szCs w:val="17"/>
          <w:color w:val="auto"/>
        </w:rPr>
        <w:t>Mergers and acquisitions in the biotechnology and pharmaceutical industries may result in even more resources being concentrated among a smaller number of our competitors. Early-stage companies may also prove to be significant competitors, particularly through collaborative arrangements with large and established companies. These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6" w:lineRule="exact"/>
        <w:rPr>
          <w:sz w:val="20"/>
          <w:szCs w:val="20"/>
          <w:color w:val="auto"/>
        </w:rPr>
      </w:pPr>
    </w:p>
    <w:p>
      <w:pPr>
        <w:ind w:firstLine="537"/>
        <w:spacing w:after="0" w:line="289" w:lineRule="auto"/>
        <w:rPr>
          <w:sz w:val="20"/>
          <w:szCs w:val="20"/>
          <w:color w:val="auto"/>
        </w:rPr>
      </w:pPr>
      <w:r>
        <w:rPr>
          <w:rFonts w:ascii="Arial" w:cs="Arial" w:eastAsia="Arial" w:hAnsi="Arial"/>
          <w:sz w:val="16"/>
          <w:szCs w:val="16"/>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We may rely, in some circumstances, on trade secrets to protect our technology. However, trade secrets can be difficult to protect.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492"/>
        <w:spacing w:after="0" w:line="291" w:lineRule="auto"/>
        <w:rPr>
          <w:sz w:val="20"/>
          <w:szCs w:val="20"/>
          <w:color w:val="auto"/>
        </w:rPr>
      </w:pPr>
      <w:r>
        <w:rPr>
          <w:rFonts w:ascii="Arial" w:cs="Arial" w:eastAsia="Arial" w:hAnsi="Arial"/>
          <w:sz w:val="16"/>
          <w:szCs w:val="16"/>
          <w:color w:val="auto"/>
        </w:rPr>
        <w:t>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229"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third-party contractors, will be required to navigate the various preclinical, clinical and commercial approval and post-approval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w:t>
      </w:r>
    </w:p>
    <w:p>
      <w:pPr>
        <w:spacing w:after="0" w:line="178" w:lineRule="exact"/>
        <w:rPr>
          <w:sz w:val="20"/>
          <w:szCs w:val="20"/>
          <w:color w:val="auto"/>
        </w:rPr>
      </w:pPr>
    </w:p>
    <w:p>
      <w:pPr>
        <w:ind w:firstLine="537"/>
        <w:spacing w:after="0" w:line="288" w:lineRule="auto"/>
        <w:rPr>
          <w:sz w:val="20"/>
          <w:szCs w:val="20"/>
          <w:color w:val="auto"/>
        </w:rPr>
      </w:pPr>
      <w:r>
        <w:rPr>
          <w:rFonts w:ascii="Arial" w:cs="Arial" w:eastAsia="Arial" w:hAnsi="Arial"/>
          <w:sz w:val="16"/>
          <w:szCs w:val="16"/>
          <w:color w:val="auto"/>
        </w:rPr>
        <w:t>Biologic products are regulated by the FDA under a combination of the federal Food, Drug, and Cosmetic Act, or FDCA, and Public Health Services Act, or PHSA, and the FDA’s implementing regulations. Failure to comply with regulatory requirements may result in significant regulatory actions. Such actions may include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Risk Evaluation and Mitigation Strategy, or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w:t>
      </w:r>
    </w:p>
    <w:p>
      <w:pPr>
        <w:spacing w:after="0" w:line="168" w:lineRule="exact"/>
        <w:rPr>
          <w:sz w:val="20"/>
          <w:szCs w:val="20"/>
          <w:color w:val="auto"/>
        </w:rPr>
      </w:pPr>
    </w:p>
    <w:p>
      <w:pPr>
        <w:ind w:right="740" w:firstLine="492"/>
        <w:spacing w:after="0" w:line="277" w:lineRule="auto"/>
        <w:rPr>
          <w:sz w:val="20"/>
          <w:szCs w:val="20"/>
          <w:color w:val="auto"/>
        </w:rPr>
      </w:pPr>
      <w:r>
        <w:rPr>
          <w:rFonts w:ascii="Arial" w:cs="Arial" w:eastAsia="Arial" w:hAnsi="Arial"/>
          <w:sz w:val="18"/>
          <w:szCs w:val="18"/>
          <w:color w:val="auto"/>
        </w:rPr>
        <w:t>The process required by the FDA before biologic product candidates may be marketed in the U.S. generally involves the following:</w:t>
      </w:r>
    </w:p>
    <w:p>
      <w:pPr>
        <w:spacing w:after="0" w:line="170" w:lineRule="exact"/>
        <w:rPr>
          <w:sz w:val="20"/>
          <w:szCs w:val="20"/>
          <w:color w:val="auto"/>
        </w:rPr>
      </w:pPr>
    </w:p>
    <w:p>
      <w:pPr>
        <w:ind w:left="840" w:right="760" w:hanging="319"/>
        <w:spacing w:after="0" w:line="291" w:lineRule="auto"/>
        <w:tabs>
          <w:tab w:leader="none" w:pos="8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completion of preclinical laboratory tests and animal studies performed in accordance with the FDA’s current Good Laboratory Practices, or cGLP, regulation, as well as manufacturing development and formulation studies;</w:t>
      </w:r>
    </w:p>
    <w:p>
      <w:pPr>
        <w:ind w:left="840" w:right="40" w:hanging="319"/>
        <w:spacing w:after="0" w:line="250"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clinical trials may begin and must be updated annually or when significant changes are made;</w:t>
      </w:r>
    </w:p>
    <w:p>
      <w:pPr>
        <w:ind w:left="840" w:right="160" w:hanging="319"/>
        <w:spacing w:after="0" w:line="250"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or centrally, before the clinical trial is begun;</w:t>
      </w:r>
    </w:p>
    <w:p>
      <w:pPr>
        <w:ind w:left="840" w:right="200" w:hanging="319"/>
        <w:spacing w:after="0" w:line="250"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the FDA’s current Good Clinical Practices, or cGCP, regulation, to establish the safety, purity, and potency of the proposed biologic product candidate for its intended purpose;</w:t>
      </w:r>
    </w:p>
    <w:p>
      <w:pPr>
        <w:spacing w:after="0" w:line="1" w:lineRule="exact"/>
        <w:rPr>
          <w:rFonts w:ascii="Arial" w:cs="Arial" w:eastAsia="Arial" w:hAnsi="Arial"/>
          <w:sz w:val="18"/>
          <w:szCs w:val="18"/>
          <w:color w:val="auto"/>
        </w:rPr>
      </w:pPr>
    </w:p>
    <w:p>
      <w:pPr>
        <w:ind w:left="840" w:hanging="319"/>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pivotal clinical trial(s);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9" w:lineRule="exact"/>
        <w:rPr>
          <w:rFonts w:ascii="Arial" w:cs="Arial" w:eastAsia="Arial" w:hAnsi="Arial"/>
          <w:sz w:val="18"/>
          <w:szCs w:val="18"/>
          <w:color w:val="auto"/>
        </w:rPr>
      </w:pPr>
    </w:p>
    <w:p>
      <w:pPr>
        <w:ind w:left="840" w:right="60" w:hanging="319"/>
        <w:spacing w:after="0" w:line="250"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sites to assess compliance with cGCPs; and</w:t>
      </w:r>
    </w:p>
    <w:p>
      <w:pPr>
        <w:spacing w:after="0" w:line="1" w:lineRule="exact"/>
        <w:rPr>
          <w:rFonts w:ascii="Arial" w:cs="Arial" w:eastAsia="Arial" w:hAnsi="Arial"/>
          <w:sz w:val="18"/>
          <w:szCs w:val="18"/>
          <w:color w:val="auto"/>
        </w:rPr>
      </w:pPr>
    </w:p>
    <w:p>
      <w:pPr>
        <w:ind w:left="840" w:right="100" w:hanging="319"/>
        <w:spacing w:after="0" w:line="260"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U.S., which must be updated periodically when changes are made.</w:t>
      </w:r>
    </w:p>
    <w:p>
      <w:pPr>
        <w:spacing w:after="0" w:line="185" w:lineRule="exact"/>
        <w:rPr>
          <w:sz w:val="20"/>
          <w:szCs w:val="20"/>
          <w:color w:val="auto"/>
        </w:rPr>
      </w:pPr>
    </w:p>
    <w:p>
      <w:pPr>
        <w:ind w:right="520" w:firstLine="537"/>
        <w:spacing w:after="0" w:line="342" w:lineRule="auto"/>
        <w:rPr>
          <w:sz w:val="20"/>
          <w:szCs w:val="20"/>
          <w:color w:val="auto"/>
        </w:rPr>
      </w:pPr>
      <w:r>
        <w:rPr>
          <w:rFonts w:ascii="Arial" w:cs="Arial" w:eastAsia="Arial" w:hAnsi="Arial"/>
          <w:sz w:val="16"/>
          <w:szCs w:val="16"/>
          <w:color w:val="auto"/>
        </w:rPr>
        <w:t>The testing and approval process requires substantial time, effort and financial resources, and we cannot be certain that any approvals for our product candidates will be granted on a timely basis, if at all. Prior to beginning the first clinical trial with a new</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product candidate, we must submit an IND to the FDA. An IND is a request for authorization from the FDA to administer an investigational new drug product to humans. The central focus of an IND submission is on the general investigational plan and the protocol(s) for clinical trials.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that initial 30-day time period, raises concerns or questions about the proposed clinical trial. In such a case, the IND may be placed on clinical hold and the IND sponsor, and the FDA must resolve any outstanding concerns or questions before the clinical trial can begin. Clinical holds also may be imposed by the FDA at any time before or during clinical trials due to safety concerns or non-compliance. Submission of an IND therefore may or may not result in FDA authorization to begin a clinical trial.</w:t>
      </w:r>
    </w:p>
    <w:p>
      <w:pPr>
        <w:spacing w:after="0" w:line="185" w:lineRule="exact"/>
        <w:rPr>
          <w:sz w:val="20"/>
          <w:szCs w:val="20"/>
          <w:color w:val="auto"/>
        </w:rPr>
      </w:pPr>
    </w:p>
    <w:p>
      <w:pPr>
        <w:ind w:right="60" w:firstLine="492"/>
        <w:spacing w:after="0" w:line="279" w:lineRule="auto"/>
        <w:rPr>
          <w:sz w:val="20"/>
          <w:szCs w:val="20"/>
          <w:color w:val="auto"/>
        </w:rPr>
      </w:pPr>
      <w:r>
        <w:rPr>
          <w:rFonts w:ascii="Arial" w:cs="Arial" w:eastAsia="Arial" w:hAnsi="Arial"/>
          <w:sz w:val="17"/>
          <w:szCs w:val="17"/>
          <w:color w:val="auto"/>
        </w:rPr>
        <w:t>Human immunotherapy products are a new category of therapeutics. Because this is a relatively new and expanding area of novel therapeutic interventions, there can be no assurance as to the length of the clinical trial period, the number of patients the FDA will require to be enrolled in the clinical trials in order to establish the safety, efficacy, purity and potency of immunotherapy products, or that the data generated in these clinical trials will be acceptable to the FDA to support marketing approval.</w:t>
      </w:r>
    </w:p>
    <w:p>
      <w:pPr>
        <w:spacing w:after="0" w:line="171" w:lineRule="exact"/>
        <w:rPr>
          <w:sz w:val="20"/>
          <w:szCs w:val="20"/>
          <w:color w:val="auto"/>
        </w:rPr>
      </w:pPr>
    </w:p>
    <w:p>
      <w:pPr>
        <w:ind w:right="40" w:firstLine="492"/>
        <w:spacing w:after="0" w:line="272"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cGCPs, which include the requirement that all research subjects provide their informed consent for their participation in any clinical trial. Clinical trials are conducted under protocols detailing, among other things, the objectives of the clinical trial, the parameters to be used in monitoring safety and the effectiveness criteria to be evaluated, and a statistical analysis plan. A separate submission to the existing IND must be made for each successive clinical trial conducted during product development and for any subsequent protocol amendments. Investigators must also provide certain information to the clinical trial sponsors to allow the sponsors to make certain financial disclosures to the FDA.</w:t>
      </w:r>
    </w:p>
    <w:p>
      <w:pPr>
        <w:spacing w:after="0" w:line="177"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Furthermore, an independent IRB for each site proposing to conduct the clinical trial or centrally must review and approve the plan for any clinical trial, its informed consent documentation and processes, and any subject communications, before the clinical trial begins at that site, and upon amendment of the clinical trial protocol, and must monitor the clinical trial until completed. An IRB considers, among other things, whether the risks to individuals participating in the clinical trials are minimized and are reasonable in relation to anticipated benefits and whether the planned human subject protections are adequate. Informed consent must be received from each clinical trial subject prior to participation in a clinical trial. Progress reports detailing the results of the clinical trials must also be submitted at least annually to the FDA and the IRB and more frequently if serious adverse events or other significant safety information is found.</w:t>
      </w:r>
    </w:p>
    <w:p>
      <w:pPr>
        <w:spacing w:after="0" w:line="192" w:lineRule="exact"/>
        <w:rPr>
          <w:sz w:val="20"/>
          <w:szCs w:val="20"/>
          <w:color w:val="auto"/>
        </w:rPr>
      </w:pPr>
    </w:p>
    <w:p>
      <w:pPr>
        <w:ind w:right="40" w:firstLine="492"/>
        <w:spacing w:after="0" w:line="286" w:lineRule="auto"/>
        <w:rPr>
          <w:sz w:val="20"/>
          <w:szCs w:val="20"/>
          <w:color w:val="auto"/>
        </w:rPr>
      </w:pPr>
      <w:r>
        <w:rPr>
          <w:rFonts w:ascii="Arial" w:cs="Arial" w:eastAsia="Arial" w:hAnsi="Arial"/>
          <w:sz w:val="16"/>
          <w:szCs w:val="16"/>
          <w:color w:val="auto"/>
        </w:rPr>
        <w:t>Regulatory authorities, the IRB, or the sponsor may suspend a clinical trial at any time on various grounds, including a finding that the subjects are being exposed to an unacceptable health risk, that the clinical trial is not being conducted in accordance with regulatory or IRB requirements, or that the clinical trial is unlikely to meet its stated objectives. Sponsors may also discontinue studies or development programs for many reasons, including changing business objectives. Some studies also include oversight by an independent group of qualified experts organized by the clinical trial sponsor, known as a data safety monitoring board, or DSMB, which provides recommendations and assessments for whether or not a clinical trial should move forward at designated check points based on access to certain data from the clinical trial. Following a review by a DSMB, the clinical trial may be halted if there is an unacceptable safety risk for subjects or on other grounds, such as failure to demonstrate efficacy. There are also requirements governing the reporting of ongoing clinical trials and clinical trial results to public registries. For instance, we are required to register certain clinical trials and post the results of certain completed clinical trials on a government-sponsored database, ClinicalTrials.gov, within specified timeframes, and also to certify to FDA our compliance with these requirements when we make FDA submissions. Failure to make required ClinicalTrials.gov submissions, submitting false or misleading information to ClinicalTrials.gov, or making false certifications to FDA could result in enforcement actions, including civil money penalties and adverse publicity.</w:t>
      </w:r>
    </w:p>
    <w:p>
      <w:pPr>
        <w:spacing w:after="0" w:line="174"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 Although these are the typical phases for progression, and characteristics of the phases of a clinical development program, certain expedited programs allow for variations that could support a marketing application based on surrogate endpoints, intermediate clinical endpoints, or single-arm as opposed to comparative or placebo-controlled studies.</w:t>
      </w:r>
    </w:p>
    <w:p>
      <w:pPr>
        <w:spacing w:after="0" w:line="187" w:lineRule="exact"/>
        <w:rPr>
          <w:sz w:val="20"/>
          <w:szCs w:val="20"/>
          <w:color w:val="auto"/>
        </w:rPr>
      </w:pPr>
    </w:p>
    <w:p>
      <w:pPr>
        <w:ind w:left="840" w:right="100" w:hanging="319"/>
        <w:spacing w:after="0" w:line="342" w:lineRule="auto"/>
        <w:tabs>
          <w:tab w:leader="none" w:pos="8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Phase 1 - The investigational product is initially introduced into healthy human subjects or patients with the target disease or condition. These studies are designed to test the safety, dosage tolerance, absorption, metabolism and distribution of the</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40"/>
        <w:spacing w:after="0" w:line="258" w:lineRule="auto"/>
        <w:rPr>
          <w:sz w:val="20"/>
          <w:szCs w:val="20"/>
          <w:color w:val="auto"/>
        </w:rPr>
      </w:pPr>
      <w:r>
        <w:rPr>
          <w:rFonts w:ascii="Arial" w:cs="Arial" w:eastAsia="Arial" w:hAnsi="Arial"/>
          <w:sz w:val="18"/>
          <w:szCs w:val="18"/>
          <w:color w:val="auto"/>
        </w:rPr>
        <w:t>investigational product in humans, the side effects associated with increasing doses, and, if possible, to gain early evidence on effectiveness.</w:t>
      </w:r>
    </w:p>
    <w:p>
      <w:pPr>
        <w:spacing w:after="0" w:line="1" w:lineRule="exact"/>
        <w:rPr>
          <w:sz w:val="20"/>
          <w:szCs w:val="20"/>
          <w:color w:val="auto"/>
        </w:rPr>
      </w:pPr>
    </w:p>
    <w:p>
      <w:pPr>
        <w:ind w:left="840" w:right="180" w:hanging="319"/>
        <w:spacing w:after="0" w:line="250"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 2 -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 w:lineRule="exact"/>
        <w:rPr>
          <w:rFonts w:ascii="Arial" w:cs="Arial" w:eastAsia="Arial" w:hAnsi="Arial"/>
          <w:sz w:val="18"/>
          <w:szCs w:val="18"/>
          <w:color w:val="auto"/>
        </w:rPr>
      </w:pPr>
    </w:p>
    <w:p>
      <w:pPr>
        <w:ind w:left="840" w:right="20" w:hanging="319"/>
        <w:spacing w:after="0" w:line="250"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 3 - The investigational product is administered to an expanded patient population in adequate and well-controlled studies to further evaluate dosage, to provide statistically significant evidence of clinical efficacy and to further test for safety, generally at multiple geographically dispersed clinical trial sites. These clinical trials are intended to establish the overall risk/benefit relationship of the investigational product and to provide an adequate basis for product approval. Typically, two Phase 3 studies are required by the FDA for product approval.</w:t>
      </w:r>
    </w:p>
    <w:p>
      <w:pPr>
        <w:spacing w:after="0" w:line="1" w:lineRule="exact"/>
        <w:rPr>
          <w:rFonts w:ascii="Arial" w:cs="Arial" w:eastAsia="Arial" w:hAnsi="Arial"/>
          <w:sz w:val="18"/>
          <w:szCs w:val="18"/>
          <w:color w:val="auto"/>
        </w:rPr>
      </w:pPr>
    </w:p>
    <w:p>
      <w:pPr>
        <w:jc w:val="both"/>
        <w:ind w:left="840" w:right="80" w:hanging="319"/>
        <w:spacing w:after="0" w:line="255"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 4 - In some cases, the FDA may require, or companies may voluntarily pursue, additional clinical trials after a product is approved to gain more information about the product, known as post-approval requirements or commitments, respectively. These so-called Phase 4 studies may be made a condition to approval of the BLA.</w:t>
      </w:r>
    </w:p>
    <w:p>
      <w:pPr>
        <w:spacing w:after="0" w:line="190" w:lineRule="exact"/>
        <w:rPr>
          <w:sz w:val="20"/>
          <w:szCs w:val="20"/>
          <w:color w:val="auto"/>
        </w:rPr>
      </w:pPr>
    </w:p>
    <w:p>
      <w:pPr>
        <w:ind w:right="60" w:firstLine="492"/>
        <w:spacing w:after="0" w:line="289" w:lineRule="auto"/>
        <w:rPr>
          <w:sz w:val="20"/>
          <w:szCs w:val="20"/>
          <w:color w:val="auto"/>
        </w:rPr>
      </w:pPr>
      <w:r>
        <w:rPr>
          <w:rFonts w:ascii="Arial" w:cs="Arial" w:eastAsia="Arial" w:hAnsi="Arial"/>
          <w:sz w:val="16"/>
          <w:szCs w:val="16"/>
          <w:color w:val="auto"/>
        </w:rPr>
        <w:t>Additional types of data may also help to support a BLA, such as real-world evidence and patient experience data. Phase 1, Phase 2 and Phase 3, and Phase 4 testing, if applicable, may not be completed successfully within a specified period, if at all, and there can be no assurance that the data collected will support FDA approval or licensure of the product.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 and manufacturing processes must be validated.</w:t>
      </w:r>
    </w:p>
    <w:p>
      <w:pPr>
        <w:spacing w:after="0" w:line="166" w:lineRule="exact"/>
        <w:rPr>
          <w:sz w:val="20"/>
          <w:szCs w:val="20"/>
          <w:color w:val="auto"/>
        </w:rPr>
      </w:pPr>
    </w:p>
    <w:p>
      <w:pPr>
        <w:ind w:right="20" w:firstLine="492"/>
        <w:spacing w:after="0" w:line="275" w:lineRule="auto"/>
        <w:rPr>
          <w:sz w:val="20"/>
          <w:szCs w:val="20"/>
          <w:color w:val="auto"/>
        </w:rPr>
      </w:pPr>
      <w:r>
        <w:rPr>
          <w:rFonts w:ascii="Arial" w:cs="Arial" w:eastAsia="Arial" w:hAnsi="Arial"/>
          <w:sz w:val="17"/>
          <w:szCs w:val="17"/>
          <w:color w:val="auto"/>
        </w:rPr>
        <w:t>The manufacture of investigational biologics for the conduct of human clinical trials is subject to cGMP requirements. Investigational biologics and active ingredients imported into the U.S. are also subject to regulation by the FDA relating to their labeling and distribution. Further, the export of investigational products outside of the U.S. is subject to regulatory requirements of the importing country as well as U.S. export requirements under the FDCA. Additional U.S. and foreign laws and regulations may also be applicable to the handling, import, export, and transportation of biological materials, including tissue samples.</w:t>
      </w:r>
    </w:p>
    <w:p>
      <w:pPr>
        <w:spacing w:after="0" w:line="176"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During the development of a new therapeutic, a sponsor may be able to request a Special Protocol Assessment, or SPA, the purpose of which is to reach an agreement with the FDA on the Phase 3 clinical trial protocol design and analysis that will form the primary basis of product approval and an efficacy claim, as well as preclinical carcinogenicity trials and stability studies. An SPA may only be modified with the agreement of the FDA and the clinical trial sponsor, or if the director of the FDA reviewing division determines that a substantial scientific issue essential to determining the safety or efficacy of the product was identified after the testing began. An SPA is intended to provide assurance that, in the case of clinical trials, if the agreed upon clinical trial protocol is followed, the clinical trial endpoints are achieved, and there is a favorable risk-benefit profile, the data may serve as the primary basis for an efficacy claim in support of a BLA. However, SPA agreements are not a guarantee of approval of a product candidate or any permissible claims about the product candidate. In particular, SPAs are not binding on the FDA if, among other reasons, previously unrecognized public health concerns arise during the performance of the clinical trial, other new scientific concerns regarding the product candidate’s safety or efficacy arise, or if the sponsoring company fails to comply with the agreed upon clinical trial protocol.</w:t>
      </w:r>
    </w:p>
    <w:p>
      <w:pPr>
        <w:spacing w:after="0" w:line="172" w:lineRule="exact"/>
        <w:rPr>
          <w:sz w:val="20"/>
          <w:szCs w:val="20"/>
          <w:color w:val="auto"/>
        </w:rPr>
      </w:pPr>
    </w:p>
    <w:p>
      <w:pPr>
        <w:ind w:firstLine="492"/>
        <w:spacing w:after="0" w:line="288" w:lineRule="auto"/>
        <w:rPr>
          <w:sz w:val="20"/>
          <w:szCs w:val="20"/>
          <w:color w:val="auto"/>
        </w:rPr>
      </w:pPr>
      <w:r>
        <w:rPr>
          <w:rFonts w:ascii="Arial" w:cs="Arial" w:eastAsia="Arial" w:hAnsi="Arial"/>
          <w:sz w:val="16"/>
          <w:szCs w:val="16"/>
          <w:color w:val="auto"/>
        </w:rPr>
        <w:t>In addition, under the Pediatric Research Equity Act, or PREA, a BLA or supplement to a BLA for a new active ingredient, indication, dosage form, dosage regimen, or route of administration, must contain data that are adequate to assess the safety and effectiveness of the product for the claimed indications in all relevant pediatric subpopulations, and to support dosing and administration for each pediatric subpopulation for which the product is safe and effective. Also, under the FDA Reauthorization Act of 2017, beginning in 2020, sponsors submitting applications for product candidates intended for the treatment of adult cancer which are directed at molecular targets that the FDA determines to be substantially relevant to the growth or progression of pediatric cancer must submit, with the application, reports from molecularly targeted pediatric cancer investigations designed to yield clinically meaningful pediatric clinical trial data, using appropriate formulations, to inform potential pediatric labeling. The FDA may, on its own initiative or at the request of the applicant, grant deferrals for submission of some or all pediatric data until after approval of the product for use in adults, or full or partial waivers from the pediatric data requirements. Orphan products are also exempt from PREA requirements.</w:t>
      </w:r>
    </w:p>
    <w:p>
      <w:pPr>
        <w:sectPr>
          <w:pgSz w:w="11900" w:h="16838" w:orient="portrait"/>
          <w:cols w:equalWidth="0" w:num="1">
            <w:col w:w="9920"/>
          </w:cols>
          <w:pgMar w:left="980" w:top="665"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492"/>
        <w:spacing w:after="0" w:line="275" w:lineRule="auto"/>
        <w:rPr>
          <w:sz w:val="20"/>
          <w:szCs w:val="20"/>
          <w:color w:val="auto"/>
        </w:rPr>
      </w:pPr>
      <w:r>
        <w:rPr>
          <w:rFonts w:ascii="Arial" w:cs="Arial" w:eastAsia="Arial" w:hAnsi="Arial"/>
          <w:sz w:val="17"/>
          <w:szCs w:val="17"/>
          <w:color w:val="auto"/>
        </w:rPr>
        <w:t>The FDA also may require submission of REMS, to ensure that the benefits of the biologic outweigh the risks.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biologic outweigh the risks.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225"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the FDA, under the Prescription Drug User Fee Act, and the sponsor of an approved BLA is also subject to annual program fees. These fees are typically increased annually. A waiver of user fees may be obtained under certain limited circumstances.</w:t>
      </w:r>
    </w:p>
    <w:p>
      <w:pPr>
        <w:spacing w:after="0" w:line="181" w:lineRule="exact"/>
        <w:rPr>
          <w:sz w:val="20"/>
          <w:szCs w:val="20"/>
          <w:color w:val="auto"/>
        </w:rPr>
      </w:pPr>
    </w:p>
    <w:p>
      <w:pPr>
        <w:ind w:right="40" w:firstLine="492"/>
        <w:spacing w:after="0" w:line="257" w:lineRule="auto"/>
        <w:rPr>
          <w:sz w:val="20"/>
          <w:szCs w:val="20"/>
          <w:color w:val="auto"/>
        </w:rPr>
      </w:pPr>
      <w:r>
        <w:rPr>
          <w:rFonts w:ascii="Arial" w:cs="Arial" w:eastAsia="Arial" w:hAnsi="Arial"/>
          <w:sz w:val="18"/>
          <w:szCs w:val="18"/>
          <w:color w:val="auto"/>
        </w:rPr>
        <w:t>Once a BLA has been submitted, the FDA has sixty days to determine whether it will accept the application for filing. The FDA accepts applications for filing if it determines that the application is substantially complete to permit a substantive review. The FDA may request additional information rather than accept a BLA for filing. In this event, the application must be resubmitted with the additional information. The resubmitted application is also subject to review before the FDA accepts it for filing. Once the submission is accepted for filing, the FDA begins an in-depth substantive review.</w:t>
      </w:r>
    </w:p>
    <w:p>
      <w:pPr>
        <w:spacing w:after="0" w:line="188" w:lineRule="exact"/>
        <w:rPr>
          <w:sz w:val="20"/>
          <w:szCs w:val="20"/>
          <w:color w:val="auto"/>
        </w:rPr>
      </w:pPr>
    </w:p>
    <w:p>
      <w:pPr>
        <w:ind w:right="40" w:firstLine="492"/>
        <w:spacing w:after="0" w:line="270" w:lineRule="auto"/>
        <w:rPr>
          <w:sz w:val="20"/>
          <w:szCs w:val="20"/>
          <w:color w:val="auto"/>
        </w:rPr>
      </w:pPr>
      <w:r>
        <w:rPr>
          <w:rFonts w:ascii="Arial" w:cs="Arial" w:eastAsia="Arial" w:hAnsi="Arial"/>
          <w:sz w:val="17"/>
          <w:szCs w:val="17"/>
          <w:color w:val="auto"/>
        </w:rPr>
        <w:t>The FDA’s goal is to review the application within ten months after it accepts the application for filing, or, if the application relates to a serious or life-threatening indication and, if approved, the product would provide a significant improvement in safety and efficacy, six months after the FDA accepts the application for filing, which is referred to as Priority Review. The review process is often significantly extended if the FDA requests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There are numerous FDA personnel assigned to review different aspects of a BLA, and uncertainties can be presented by their ability to exercise judgment and discretion during the review process. The development and provision of additional data and information requested by FDA during review of a BLA may be time consuming and expensive.</w:t>
      </w:r>
    </w:p>
    <w:p>
      <w:pPr>
        <w:spacing w:after="0" w:line="181"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The FDA may convene an advisory committee to provide clinical insight on application review questions. Before approving a novel biologic, the FDA must either refer that biologic to an external advisory committee or provide in an action letter, a summary of the reasons why the FDA did not refer the product candidate to an advisory committee. 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92" w:lineRule="exact"/>
        <w:rPr>
          <w:sz w:val="20"/>
          <w:szCs w:val="20"/>
          <w:color w:val="auto"/>
        </w:rPr>
      </w:pPr>
    </w:p>
    <w:p>
      <w:pPr>
        <w:ind w:right="20" w:firstLine="492"/>
        <w:spacing w:after="0" w:line="279" w:lineRule="auto"/>
        <w:rPr>
          <w:sz w:val="20"/>
          <w:szCs w:val="20"/>
          <w:color w:val="auto"/>
        </w:rPr>
      </w:pPr>
      <w:r>
        <w:rPr>
          <w:rFonts w:ascii="Arial" w:cs="Arial" w:eastAsia="Arial" w:hAnsi="Arial"/>
          <w:sz w:val="17"/>
          <w:szCs w:val="17"/>
          <w:color w:val="auto"/>
        </w:rPr>
        <w:t>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commercial production of the product within required specifications. Additionally, before approving a BLA, the FDA will typically inspect one or more clinical sites to ensure compliance with cGCP.</w:t>
      </w:r>
    </w:p>
    <w:p>
      <w:pPr>
        <w:spacing w:after="0" w:line="171"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If the FDA determines that the application, manufacturing process or manufacturing facilities are not acceptable, it will outline the deficiencies in the submission and often will request additional testing, clinical trials, application modifications, or information in a complete response letter, or CRL. A CRL indicates that the review cycle for the application is complete, and that the application is not ready for approval. If a CRL is issued, the applicant may either: resubmit the BLA, addressing all the deficiencies identified in the letter; withdraw the application; or request an opportunity for a hearing. Notwithstanding the submission of any requested additional information, the FDA ultimately may decide that the application does not satisfy the regulatory criteria for approval. Data obtained from clinical trials are not always conclusive and the FDA may interpret data differently than an applicant interprets the same data.</w:t>
      </w:r>
    </w:p>
    <w:p>
      <w:pPr>
        <w:sectPr>
          <w:pgSz w:w="11900" w:h="16838" w:orient="portrait"/>
          <w:cols w:equalWidth="0" w:num="1">
            <w:col w:w="9900"/>
          </w:cols>
          <w:pgMar w:left="980" w:top="665" w:right="101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If the FDA finds that a BLA is approvable, the FDA may issue an approval letter. An approval letter authorizes commercial marketing of the product with specific prescribing information for specific indications. However, even if the FDA approves a product, it may limit the approved indications for use of the product, require that contraindications, warnings, or precautions be included in the product labeling, including a boxed warning, require that post-approval studies, including Phase 4 clinical trials, be conducted to further assess a product’s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178" w:lineRule="exact"/>
        <w:rPr>
          <w:sz w:val="20"/>
          <w:szCs w:val="20"/>
          <w:color w:val="auto"/>
        </w:rPr>
      </w:pPr>
    </w:p>
    <w:p>
      <w:pPr>
        <w:jc w:val="both"/>
        <w:ind w:right="420" w:firstLine="492"/>
        <w:spacing w:after="0" w:line="263" w:lineRule="auto"/>
        <w:rPr>
          <w:sz w:val="20"/>
          <w:szCs w:val="20"/>
          <w:color w:val="auto"/>
        </w:rPr>
      </w:pPr>
      <w:r>
        <w:rPr>
          <w:rFonts w:ascii="Arial" w:cs="Arial" w:eastAsia="Arial" w:hAnsi="Arial"/>
          <w:sz w:val="18"/>
          <w:szCs w:val="18"/>
          <w:color w:val="auto"/>
        </w:rPr>
        <w:t>If compliance with the pre-and post-marketing regulatory standards are not maintained or if problems occur after the product reaches the marketplace, the FDA may also withdraw the product approval. Further, should new safety information arise, additional testing, product labeling, or FDA notification may be required.</w:t>
      </w:r>
    </w:p>
    <w:p>
      <w:pPr>
        <w:spacing w:after="0" w:line="184" w:lineRule="exact"/>
        <w:rPr>
          <w:sz w:val="20"/>
          <w:szCs w:val="20"/>
          <w:color w:val="auto"/>
        </w:rPr>
      </w:pPr>
    </w:p>
    <w:p>
      <w:pPr>
        <w:ind w:right="40" w:firstLine="492"/>
        <w:spacing w:after="0" w:line="287" w:lineRule="auto"/>
        <w:rPr>
          <w:sz w:val="20"/>
          <w:szCs w:val="20"/>
          <w:color w:val="auto"/>
        </w:rPr>
      </w:pPr>
      <w:r>
        <w:rPr>
          <w:rFonts w:ascii="Arial" w:cs="Arial" w:eastAsia="Arial" w:hAnsi="Arial"/>
          <w:sz w:val="16"/>
          <w:szCs w:val="16"/>
          <w:color w:val="auto"/>
        </w:rPr>
        <w:t>A sponsor may seek approval of its product candidate under programs designed to accelerate the FDA’s review and approval of new drugs and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For a Fast Track designation, the FDA may consider sections of the BLA for review on a rolling basis before the complete application is submitted if relevant criteria are met. Fast Track-designated products are also eligible for more frequent FDA interactions. A Fast Track-designated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10 months after the FDA accepts the application for filing. Priority Review designation does not change the scientific/medical standard for approval or the quality of evidence necessary to support approval.</w:t>
      </w:r>
    </w:p>
    <w:p>
      <w:pPr>
        <w:spacing w:after="0" w:line="172" w:lineRule="exact"/>
        <w:rPr>
          <w:sz w:val="20"/>
          <w:szCs w:val="20"/>
          <w:color w:val="auto"/>
        </w:rPr>
      </w:pPr>
    </w:p>
    <w:p>
      <w:pPr>
        <w:ind w:firstLine="492"/>
        <w:spacing w:after="0" w:line="288" w:lineRule="auto"/>
        <w:rPr>
          <w:sz w:val="20"/>
          <w:szCs w:val="20"/>
          <w:color w:val="auto"/>
        </w:rPr>
      </w:pPr>
      <w:r>
        <w:rPr>
          <w:rFonts w:ascii="Arial" w:cs="Arial" w:eastAsia="Arial" w:hAnsi="Arial"/>
          <w:sz w:val="16"/>
          <w:szCs w:val="16"/>
          <w:color w:val="auto"/>
        </w:rPr>
        <w:t>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To qualify for Accelerated Approval, the product must be intended to treat a serious condition and must generally provide a meaningful advantage over available therapies. Post-marketing studies or completion of ongoing studies after marketing approval are required to verify the biologic’s clinical benefit in relationship to the surrogate endpoint or ultimate outcome in relationship to the clinical benefit. If this clinical trial is not conducted, if it fails to verify the benefit, if other evidence demonstrates that the product is not safe, pure or potent, or if the applicant disseminates false or misleading promotional material, the FDA may withdraw approval of the application on an expedited basis. Sponsors of products under the Accelerated Approval Pathway must further submit promotional materials to the FDA before dissemination.</w:t>
      </w:r>
    </w:p>
    <w:p>
      <w:pPr>
        <w:spacing w:after="0" w:line="168"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In addition, the Food and Drug Administration Safety and Innovation Act, or FDASIA, which was enacted and signed into law in 2012, established the new BTD.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Sponsors may request the FDA to designate a Breakthrough Therapy at the time of or any time after the submission of an IND, but ideally before an end-of-Phase 2 meeting with the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clinical trials or more efficient clinical trials that require less time to complete and may minimize the number of patients exposed to a potentially less efficacious treatment. BTD also allows the sponsor to file sections of the BLA for review on a rolling basis.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492"/>
        <w:spacing w:after="0" w:line="290" w:lineRule="auto"/>
        <w:rPr>
          <w:sz w:val="20"/>
          <w:szCs w:val="20"/>
          <w:color w:val="auto"/>
        </w:rPr>
      </w:pPr>
      <w:r>
        <w:rPr>
          <w:rFonts w:ascii="Arial" w:cs="Arial" w:eastAsia="Arial" w:hAnsi="Arial"/>
          <w:sz w:val="16"/>
          <w:szCs w:val="16"/>
          <w:color w:val="auto"/>
        </w:rPr>
        <w:t>Through the 21st Century Cures Act, or Cures Act, Congress also established another expedited program, called a RMAT designation. The Cures Act directs the FDA to facilitate an efficient development program for and expedite review of RMATs. To qualify for this program, the product must be a cell therapy, therapeutic tissue engineering product, human cell and tissue product, or a combination of such products, and not a product solely regulated as a human cell and tissue product. The product must be intended to treat, modify, reverse, or cure a serious or life-threatening disease or condition, and preliminary clinical evidence must indicate that the product has the potential to address an unmet need for such disease or condition. Advantages of the RMAT designation include all the benefits of the Fast Track and breakthrough therapy designation programs, including early interactions with the FDA. These early interactions may be used to discuss potential surrogate or intermediate endpoints to support accelerated approval.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225"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Under the Orphan Drug Act, the FDA may grant ODD to a drug or biologic intended to treat a rare disease or condition, defined as a disease or condition with a patient population of fewer than 200,000 individuals in the U.S., or a patient population greater than</w:t>
      </w:r>
    </w:p>
    <w:p>
      <w:pPr>
        <w:ind w:right="80"/>
        <w:spacing w:after="0" w:line="270" w:lineRule="auto"/>
        <w:rPr>
          <w:sz w:val="20"/>
          <w:szCs w:val="20"/>
          <w:color w:val="auto"/>
        </w:rPr>
      </w:pPr>
      <w:r>
        <w:rPr>
          <w:rFonts w:ascii="Arial" w:cs="Arial" w:eastAsia="Arial" w:hAnsi="Arial"/>
          <w:sz w:val="17"/>
          <w:szCs w:val="17"/>
          <w:color w:val="auto"/>
        </w:rPr>
        <w:t>200,000 individuals in the U.S. and when there is no reasonable expectation that the cost of developing and making available the drug or biologic in the U.S. will be recovered from sales in the U.S. for that drug or biologic. Additionally, sponsors must present a plausible hypothesis for clinical superiority to obtain ODD if there is a product already approved by the FDA that is intended for the same indication and that is considered by the FDA to be the same product as the already approved product. This hypothesis for clinical superiority must be demonstrated to obtain orphan exclusivity. ODD must be requested before submitting a BLA. After the FDA grants ODD, the generic identity of the therapeutic agent and its potential orphan use are disclosed publicly by the FDA.</w:t>
      </w:r>
    </w:p>
    <w:p>
      <w:pPr>
        <w:spacing w:after="0" w:line="178"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If a product that has ODD subsequently receives the first FDA approval for a particular active ingredient for the disease for which it has such designation, the product is entitled to orphan product exclusivity, a seven-year period of marketing exclusivity, which means that the FDA may not approve any other applications, including a full BLA, to market the same biologic, as sameness is defined in the FDA’s regulations,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opportunities for certain research grant funding, and a waiver of the BLA application fees. The tax credit, however, was recently limited through Congress’s tax reform efforts. Despite these benefits, the ODD does not convey any advantage in, or shorten the duration of, the regulatory review or approval process.</w:t>
      </w:r>
    </w:p>
    <w:p>
      <w:pPr>
        <w:spacing w:after="0" w:line="182"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quantities of the product to meet the needs of patients with the rare disease or condition. The FDA may also approve a product deemed to be the same as an approved orphan product for the same orphan indication, despite periods of exclusivity, if the new product is demonstrated to be clinically superior to the former product.</w:t>
      </w:r>
    </w:p>
    <w:p>
      <w:pPr>
        <w:spacing w:after="0" w:line="192"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We plan to seek ODD for some or all of our other product candidates in specific orphan indications in which there is a medically plausible basis for the use of such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and Data Exclusivity and Biosimilars</w:t>
      </w:r>
    </w:p>
    <w:p>
      <w:pPr>
        <w:spacing w:after="0" w:line="225"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While under the Biologics Price Competition and Innovation Act of 2009, or BPCIA, the FDA may eventually license products, as further described below, that are biosimilar to any of our product candidates that are approved, our products may receive periods of regulatory exclusivity, separately from orphan drug exclusivity for those products with ODDs, providing additional protection from certain forms of competition. For instance, our products may receive 12 years of reference product exclusivity that begins running at the time of first licensure. During this 12-year time period, the period of marketing exclusivity, the FDA may not make an approval of a biosimilar product effective. In addition, the FDA may not accept a biosimilar application until after four years from the date of first licensure, the period of data exclusivity. However, certain changes and supplements to an approved BLA, and subsequent applications filed by the same sponsor, manufacturer, licensor, predecessor in interest, or other related entity do not qualify for the exclusivity period. The PHSA also includes provisions governing patent litigation over patents that are directed to the reference products. The biosimilar product sponsor and reference product sponsor may, but are not required to, exchange certain patent and product information for the purpose of negotiating and determining the scope of patent litigation, including the patents to be asserted and</w:t>
      </w:r>
    </w:p>
    <w:p>
      <w:pPr>
        <w:sectPr>
          <w:pgSz w:w="11900" w:h="16838" w:orient="portrait"/>
          <w:cols w:equalWidth="0" w:num="1">
            <w:col w:w="9920"/>
          </w:cols>
          <w:pgMar w:left="980" w:top="665" w:right="99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challenged. Based on the outcome of negotiations surrounding the exchanged information, the reference product sponsor may bring a patent infringement suit and injunction proceedings against the biosimilar product sponsor. The biosimilar applicant may also be able to bring an action for declaratory judgment concerning the patent under certain circumstances.</w:t>
      </w:r>
    </w:p>
    <w:p>
      <w:pPr>
        <w:spacing w:after="0" w:line="184"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The BPCIA created an abbreviated approval pathway for biological products shown to be highly similar to or interchangeable with an FDA-licensed reference biological product. Accordingly, if we receive FDA licensure, we may face competition from biosimilar products. Biosimilarity sufficient to reference a prior FDA-approved product requires a high similarity to the reference product notwithstanding minor differences in clinically inactive components, and no clinically meaningful differences between the biological product and the reference product in terms of safety, purity, and potency. Biosimilarity must be shown through analytical studies, animal studies, and at least one clinical trial, absent a waiver by the FDA. There must be no difference between the reference product and a biosimilar in conditions of use, route of administration, dosage form, and strength. Further,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Exclusivity and Patent Term Extension</w:t>
      </w:r>
    </w:p>
    <w:p>
      <w:pPr>
        <w:spacing w:after="0" w:line="22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Pediatric exclusivity is another type of non-patent marketing exclusivity in the U.S. and, if granted, provides for the attachment of an additional six months of marketing protection to the term of any existing regulatory exclusivity. Under the Best Pharmaceuticals for Children Act, a six-month exclusivity may be granted if a sponsor submits pediatric data that fairly responds to a written request from the FDA for such data. The FDA may issue such a written request on its own initiative or at the request of the sponsor.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whatever regulatory periods of exclusivity that already cover the product are extended by six months. Pediatric exclusivity is thus an “add-on” exclusivity and is unique in this regard among the various regulatory exclusivities provided by FDA. The FDA can also require pediatric studies of a drug submitted in a new drug application if the FDA determines that the product is likely to be used in a substantial number of pediatric patients, or if the product would provide a meaningful benefit in the pediatric population over existing treatments. This requirement may be waived in certain circumstances, for example, where the indication does not occur or is not highly prevent in the pediatric population.</w:t>
      </w:r>
    </w:p>
    <w:p>
      <w:pPr>
        <w:spacing w:after="0" w:line="179"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If approved, biologics may also be eligible for periods of U.S. patent term restoration. If granted, patent term restoration extends the patent life of a single unexpired patent that has not previously been extended, for a maximum of five years. The total patent life of the product with the extension also cannot exceed fourteen years from the product’s approval date. Subject to the prior limitations, the period of the extension is calculated by adding half of the time from the effective date of an IND to the initial submission of a marketing application, and all the time between the submission of the marketing application and its approval. This period may also be reduced by any time that the applicant did not act with due diligence. Whether any of our product candidates will be eligible for patent term restoration is currently unknown. Even if any of our product candidates are found to be eligible for patent term protection, the applicable authorities may subsequently determine that we are not eligible for such restoration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Any products for which we receive FDA approvals are subject to continuing regulation by the FDA, including, among other things, record-keeping requirements, reporting of adverse experiences with the product and deviations, annual reporting and monitoring and providing the FDA with updated safety and efficacy information, product sampling and distribution requirements, certain electronic records and signature requirements, fulfilling post-marketing clinical trial and REMS commitments, and complying with FDA promotion and advertising requirements, which include, among other things, standards for direct-to-consumer advertising, restrictions on promoting products for uses or in patient populations that are not described in the product’s approved uses or otherwise consistent with the FDA-approved product labeling (known as “off-label use”), limitations on industry-sponsored scientific and educational activities, rules regarding communication of health care economic information regarding biopharmaceutical products to payors and formularies, and requirements for promotional activities involving the internet. Although physicians may prescribe legally available products for off-label use, if they deem such use to be appropriate in their professional medical judgment, manufacturers may not market or promote such off-label uses. In the past several years, certain court decisions have impacted FDA’s enforcement activity regarding off-label promotion in light of First Amendment considerations; however, there are still significant risks in this area, in part due to the potential for False Claims Act exposure.</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In addition, quality control and manufacturing procedures must continue to conform to applicable manufacturing requirements after approval to ensure the long-term stability of the product.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and list their products with the FDA and certain state agencies and are subject to periodic unannounced inspections by the FDA and certain state agencies for compliance with cGMP and other applicable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BLA, including, among other things, withdrawal of approval, recall or withdrawal of the product from the market. In addition, changes to the manufacturing process are strictly regulated, and depending on the significance of the change, may require prior FDA approval or notification before being implemented. Other types of changes to the approved product, such as adding new indications and claims to the product labeling, are also subject to further FDA review and approval.</w:t>
      </w:r>
    </w:p>
    <w:p>
      <w:pPr>
        <w:spacing w:after="0" w:line="168"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Commercial products must meet the requirements of the Drug Supply Chain Security Act, or DSCSA, which imposes obligations on manufacturers of prescription biopharmaceutical products for commercial distribution, regulating the distribution of the products at the federal level, and sets certain standards for federal or state registration and compliance of entities in the supply chain, including manufacturers and repackagers, wholesale distributors, third-party logistics providers, and dispensers. The DSCSA preempts previously enacted state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required. The DSCSA requirements, development of standards, and the system for product tracing have been and will continue to be phased in over a period of years, with the FDA indicating that it would permit certain exemptions and exclusions, and exercise enforcement discretion on certain aspects of the law due to the COVID-19 pandemic, although this situation may continue to evolve. The distribution of product samples continues to be regulated under the PDMA, and some states also impose regulations on drug sample distribution.</w:t>
      </w:r>
    </w:p>
    <w:p>
      <w:pPr>
        <w:spacing w:after="0" w:line="168"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As previously mentioned, the FDA may also require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Biologic Requirements</w:t>
      </w:r>
    </w:p>
    <w:p>
      <w:pPr>
        <w:spacing w:after="0" w:line="225" w:lineRule="exact"/>
        <w:rPr>
          <w:sz w:val="20"/>
          <w:szCs w:val="20"/>
          <w:color w:val="auto"/>
        </w:rPr>
      </w:pPr>
    </w:p>
    <w:p>
      <w:pPr>
        <w:ind w:right="320" w:firstLine="492"/>
        <w:spacing w:after="0" w:line="275" w:lineRule="auto"/>
        <w:rPr>
          <w:sz w:val="20"/>
          <w:szCs w:val="20"/>
          <w:color w:val="auto"/>
        </w:rPr>
      </w:pPr>
      <w:r>
        <w:rPr>
          <w:rFonts w:ascii="Arial" w:cs="Arial" w:eastAsia="Arial" w:hAnsi="Arial"/>
          <w:sz w:val="17"/>
          <w:szCs w:val="17"/>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U.S. and between states.</w:t>
      </w:r>
    </w:p>
    <w:p>
      <w:pPr>
        <w:spacing w:after="0" w:line="176" w:lineRule="exact"/>
        <w:rPr>
          <w:sz w:val="20"/>
          <w:szCs w:val="20"/>
          <w:color w:val="auto"/>
        </w:rPr>
      </w:pPr>
    </w:p>
    <w:p>
      <w:pPr>
        <w:ind w:right="60" w:firstLine="492"/>
        <w:spacing w:after="0" w:line="275"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the results of all the manufacturer's tests performed on the lot. The FDA may also perform certain confirmatory tests on lots of some products before releasing the lots for distribution by the manufacturer.</w:t>
      </w:r>
    </w:p>
    <w:p>
      <w:pPr>
        <w:spacing w:after="0" w:line="176" w:lineRule="exact"/>
        <w:rPr>
          <w:sz w:val="20"/>
          <w:szCs w:val="20"/>
          <w:color w:val="auto"/>
        </w:rPr>
      </w:pPr>
    </w:p>
    <w:p>
      <w:pPr>
        <w:ind w:right="180" w:firstLine="492"/>
        <w:spacing w:after="0" w:line="263"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After approval of biologics, manufacturers must address any safety issues that arise, are subject to recalls or a halt in manufacturing, and are subject to periodic inspection after approval.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right="40" w:firstLine="492"/>
        <w:spacing w:after="0" w:line="293" w:lineRule="auto"/>
        <w:rPr>
          <w:sz w:val="20"/>
          <w:szCs w:val="20"/>
          <w:color w:val="auto"/>
        </w:rPr>
      </w:pPr>
      <w:r>
        <w:rPr>
          <w:rFonts w:ascii="Arial" w:cs="Arial" w:eastAsia="Arial" w:hAnsi="Arial"/>
          <w:sz w:val="16"/>
          <w:szCs w:val="16"/>
          <w:color w:val="auto"/>
        </w:rPr>
        <w:t>Our sales, promotion, medical education and other activities following product approval will be subject to regulation by numerous regulatory and law enforcement authorities in the U.S., and in addition to the FDA, these entities may include the Federal Trade Commission, the Department of Justice, the Centers for Medicare &amp; Medicaid Services, other divisions of the Department of Health and Human Services and state and local governments. Our promotional and scientific/educational programs must comply with the federal Anti-Kickback Statute, or AKS, the Foreign Corrupt Practices Act, or FCPA, the False Claims Act, or FCA, the Veterans Health Care Act, physician payment transparency laws, privacy laws, security laws, and additional state laws similar to the foregoing.</w:t>
      </w:r>
    </w:p>
    <w:p>
      <w:pPr>
        <w:spacing w:after="0" w:line="164"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The federal AKS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in whole or in part. The term remuneration has been interpreted broadly to include anything of value. The federal AKS has been interpreted broadly to apply to arrangements between pharmaceutical manufacturers on the one hand and prescribers, purchasers, and formulary managers on the other. The term "remuneration" includes kickbacks, bribes or rebates and also has been broadly interpreted to include anything of value, including, for example, gifts, discounts, waivers of payment, ownership interest and providing anything at less than its fair market value. Additionally, the intent standard under the federal AKS provides that a person or entity need not have actual knowledge of the statute or specific intent to violate it in order to have committed a violation. In addition, a claim including items or services resulting from a violation of the federal AKS constitutes a false or fraudulent claim for purposes of the federal civil False Claims Act. There are a number of statutory exceptions and regulatory safe harbors protecting some common activities from prosecution or other regulatory sanctions. The exceptions and safe harbors are drawn narrowly and practices that involve remuneration that may be alleged to be intended to induce prescribing, purchasing or recommending may be subject to scrutiny if they do not qualify for an exception or safe harbor. Failure to meet all the requirements of a particular applicable statutory exception or regulatory safe harbor does not make the conduct per se illegal under the AKS. Instead, the legality of the arrangement will be evaluated on a case-by-case basis based on a cumulative review of all its facts and circumstances. Our practices may not in all cases meet all the criteria for protection under a statutory exception or regulatory safe harbor. The safe harbors are subject to change through legislative and regulatory action, and we may decide to adjust our business practices or be subject to heightened scrutiny as a result.</w:t>
      </w:r>
    </w:p>
    <w:p>
      <w:pPr>
        <w:spacing w:after="0" w:line="171" w:lineRule="exact"/>
        <w:rPr>
          <w:sz w:val="20"/>
          <w:szCs w:val="20"/>
          <w:color w:val="auto"/>
        </w:rPr>
      </w:pPr>
    </w:p>
    <w:p>
      <w:pPr>
        <w:ind w:right="40" w:firstLine="492"/>
        <w:spacing w:after="0" w:line="263" w:lineRule="auto"/>
        <w:rPr>
          <w:sz w:val="20"/>
          <w:szCs w:val="20"/>
          <w:color w:val="auto"/>
        </w:rPr>
      </w:pPr>
      <w:r>
        <w:rPr>
          <w:rFonts w:ascii="Arial" w:cs="Arial" w:eastAsia="Arial" w:hAnsi="Arial"/>
          <w:sz w:val="18"/>
          <w:szCs w:val="18"/>
          <w:color w:val="auto"/>
        </w:rPr>
        <w:t>The civil monetary penalties statute imposes penalties against any person or entity who, among other things, is determined to have presented or caused to be presented a claim for payment, or approval to a federal healthcare program that the person knows or should know is for an item or service that was not provided as claimed or is false or fraudulent.</w:t>
      </w:r>
    </w:p>
    <w:p>
      <w:pPr>
        <w:spacing w:after="0" w:line="184" w:lineRule="exact"/>
        <w:rPr>
          <w:sz w:val="20"/>
          <w:szCs w:val="20"/>
          <w:color w:val="auto"/>
        </w:rPr>
      </w:pPr>
    </w:p>
    <w:p>
      <w:pPr>
        <w:ind w:right="40" w:firstLine="492"/>
        <w:spacing w:after="0" w:line="285" w:lineRule="auto"/>
        <w:rPr>
          <w:sz w:val="20"/>
          <w:szCs w:val="20"/>
          <w:color w:val="auto"/>
        </w:rPr>
      </w:pPr>
      <w:r>
        <w:rPr>
          <w:rFonts w:ascii="Arial" w:cs="Arial" w:eastAsia="Arial" w:hAnsi="Arial"/>
          <w:sz w:val="16"/>
          <w:szCs w:val="16"/>
          <w:color w:val="auto"/>
        </w:rPr>
        <w:t>The FCA imposes liability on persons who, among other things, knowingly present or cause to be presented false or fraudulent claims for payment to, or approval by the federal government knowingly making or using, or causing to be made or used a false statement or record material to a claim to the federal government, or avoiding, decreasing or concealing an obligation to pay money to the federal government. A claim includes "any request or demand" for money or property presented directly or indirectly to the federal government. The civil FCA has been or can be used to assert liability on the basis of kickbacks and other improper referrals, improperly reported government pricing metrics such as Best Price and Average Manufacturer Price, improper promotion of uses not expressly approved by the FDA in a drug’s label, false statements associated with government grants, and allegations of misrepresentations with respect to services rendered, as well as claims for payment that are inaccurate or fraudulent, that are for services not provided as claimed, or for services that are not medically necessary. FCA claims may be based on noncompliance with regulatory requirements under an implied certification theory if material to the government’s decision to buy or pay for a drug. Intent to deceive is not required to establish liability under the civil FCA. Civil FCA liability may also be imposed for Medicare or Medicaid overpayments caused by understated rebate amounts that are not refunded within 60 days of discovering the overpayment, even if the overpayment was not caused by a false or fraudulent act. Actions under the FCA may be brought by the government or as a qui tam action by a private individual in the name of the government. If the government intervenes in a qui tam action, and prevails, the qui tam plaintiff will share in the proceeds from damages and fines or settlement funds. If the government declines to intervene, the qui tam plaintiff may pursue the case alone. Violations of the FCA can result in significant monetary penalties and treble damages. The government may further prosecute conduct under the criminal FCA, which prohibits the making or presenting of a claim to the government knowing the claim to be false, fictitious or fraudulent. Unlike the civil FCA, conviction requires proof of intent to submit a false claim. In addition, federal AKS violations (which may be alleged based on certain marketing practices, including allegations of off-label promotion) implicate the FCA.</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492"/>
        <w:spacing w:after="0" w:line="342" w:lineRule="auto"/>
        <w:rPr>
          <w:sz w:val="20"/>
          <w:szCs w:val="20"/>
          <w:color w:val="auto"/>
        </w:rPr>
      </w:pPr>
      <w:r>
        <w:rPr>
          <w:rFonts w:ascii="Arial" w:cs="Arial" w:eastAsia="Arial" w:hAnsi="Arial"/>
          <w:sz w:val="16"/>
          <w:szCs w:val="16"/>
          <w:color w:val="auto"/>
        </w:rPr>
        <w:t>The compliance and enforcement landscape, and related risk, is informed by government litigation and settlement precedent, Advisory Opinions, and Special Fraud Alerts. Our approach to compliance may evolve over time in light of these types of developments.</w:t>
      </w:r>
    </w:p>
    <w:p>
      <w:pPr>
        <w:spacing w:after="0" w:line="124"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Additionally, the FCPA, and similar worldwide anti-bribery laws, generally prohibit companies and their intermediaries from making, offering or authorizing improper payments or other items of value, directly or indirectly, to foreign officials, political parties, or candidates for the purpose of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U.S., can result in criminal and civil fines, imprisonment, disgorgement, oversight, and debarment from securing government contracts.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85" w:lineRule="exact"/>
        <w:rPr>
          <w:sz w:val="20"/>
          <w:szCs w:val="20"/>
          <w:color w:val="auto"/>
        </w:rPr>
      </w:pPr>
    </w:p>
    <w:p>
      <w:pPr>
        <w:ind w:firstLine="492"/>
        <w:spacing w:after="0" w:line="217" w:lineRule="exact"/>
        <w:rPr>
          <w:sz w:val="20"/>
          <w:szCs w:val="20"/>
          <w:color w:val="auto"/>
        </w:rPr>
      </w:pPr>
      <w:r>
        <w:rPr>
          <w:rFonts w:ascii="Arial" w:cs="Arial" w:eastAsia="Arial" w:hAnsi="Arial"/>
          <w:sz w:val="16"/>
          <w:szCs w:val="16"/>
          <w:color w:val="auto"/>
        </w:rPr>
        <w:t>Payment or reimbursement of prescription drugs by Medicaid or Medicare requires manufacturers of the drugs to submit pricing information to the Centers for Medicare &amp; Medicaid Services, or CMS. The Medicaid Drug Rebate statute requires manufacturers to calculate and report price points, which are used to determine Medicaid rebate payments shared between the states and the federal government and Medicaid payment rates for the drug. For drugs paid under Medicare Part B, manufacturers must also calculate and report their Average Sales Price or ASP, which is used to determine the Medicare Part B payment rate for the drug. Drugs that are approved under a BLA or a New Drug Application, or NDA, including 505(b)(2) drugs, are subject to an additional inflation penalty which can substantially increase rebate payments. In addition, for BLA and NDA drugs, the Veterans Health Care Act, or VHCA, requires manufacturers to calculate and report to the Veterans Administration, or VA, a different price called the Non</w:t>
      </w:r>
      <w:r>
        <w:rPr>
          <w:rFonts w:ascii="MS PGothic" w:cs="MS PGothic" w:eastAsia="MS PGothic" w:hAnsi="MS PGothic"/>
          <w:sz w:val="16"/>
          <w:szCs w:val="16"/>
          <w:color w:val="auto"/>
        </w:rPr>
        <w:t>‑</w:t>
      </w:r>
      <w:r>
        <w:rPr>
          <w:rFonts w:ascii="Arial" w:cs="Arial" w:eastAsia="Arial" w:hAnsi="Arial"/>
          <w:sz w:val="16"/>
          <w:szCs w:val="16"/>
          <w:color w:val="auto"/>
        </w:rPr>
        <w:t>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on drugs dispensed by retail pharmacies when paid by the TRICARE Program. All these price reporting requirements create risk of submitting false information to the government, and potential FCA liability.</w:t>
      </w:r>
    </w:p>
    <w:p>
      <w:pPr>
        <w:spacing w:after="0" w:line="205" w:lineRule="exact"/>
        <w:rPr>
          <w:sz w:val="20"/>
          <w:szCs w:val="20"/>
          <w:color w:val="auto"/>
        </w:rPr>
      </w:pPr>
    </w:p>
    <w:p>
      <w:pPr>
        <w:ind w:firstLine="492"/>
        <w:spacing w:after="0" w:line="296" w:lineRule="auto"/>
        <w:rPr>
          <w:sz w:val="20"/>
          <w:szCs w:val="20"/>
          <w:color w:val="auto"/>
        </w:rPr>
      </w:pPr>
      <w:r>
        <w:rPr>
          <w:rFonts w:ascii="Arial" w:cs="Arial" w:eastAsia="Arial" w:hAnsi="Arial"/>
          <w:sz w:val="16"/>
          <w:szCs w:val="16"/>
          <w:color w:val="auto"/>
        </w:rPr>
        <w:t>The VHCA also requires manufacturers of covered drugs participating in the Medicaid program to enter into Federal Supply Schedule contracts with the VA through which their covered drugs must be sold to certain federal agencies at FCP and to report pricing information. This necessitates compliance with applicable federal procurement laws and regulations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w:t>
      </w:r>
    </w:p>
    <w:p>
      <w:pPr>
        <w:spacing w:after="0" w:line="161" w:lineRule="exact"/>
        <w:rPr>
          <w:sz w:val="20"/>
          <w:szCs w:val="20"/>
          <w:color w:val="auto"/>
        </w:rPr>
      </w:pPr>
    </w:p>
    <w:p>
      <w:pPr>
        <w:ind w:right="60" w:firstLine="492"/>
        <w:spacing w:after="0" w:line="290" w:lineRule="auto"/>
        <w:rPr>
          <w:sz w:val="20"/>
          <w:szCs w:val="20"/>
          <w:color w:val="auto"/>
        </w:rPr>
      </w:pPr>
      <w:r>
        <w:rPr>
          <w:rFonts w:ascii="Arial" w:cs="Arial" w:eastAsia="Arial" w:hAnsi="Arial"/>
          <w:sz w:val="16"/>
          <w:szCs w:val="16"/>
          <w:color w:val="auto"/>
        </w:rPr>
        <w:t>The federal Health Insurance Portability and Accountability Act of 1996, or HIPAA, which imposes criminal and civil penalties prohibits, among other actions, knowingly and willfully executing, or attempting to execute, a scheme to defraud or to obtain, by means of false or fraudulent pretenses, representations, or promises, any of the money or property owned by, or under the custody or control of, any healthcare benefit program, regardless of whether the payor is public or private third-party,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 person or entity does not need to have actual knowledge of the statute, or the specific intent to violate it, to have committed a violation.</w:t>
      </w:r>
    </w:p>
    <w:p>
      <w:pPr>
        <w:spacing w:after="0" w:line="165" w:lineRule="exact"/>
        <w:rPr>
          <w:sz w:val="20"/>
          <w:szCs w:val="20"/>
          <w:color w:val="auto"/>
        </w:rPr>
      </w:pPr>
    </w:p>
    <w:p>
      <w:pPr>
        <w:ind w:right="120" w:firstLine="492"/>
        <w:spacing w:after="0" w:line="289" w:lineRule="auto"/>
        <w:rPr>
          <w:sz w:val="20"/>
          <w:szCs w:val="20"/>
          <w:color w:val="auto"/>
        </w:rPr>
      </w:pPr>
      <w:r>
        <w:rPr>
          <w:rFonts w:ascii="Arial" w:cs="Arial" w:eastAsia="Arial" w:hAnsi="Arial"/>
          <w:sz w:val="16"/>
          <w:szCs w:val="16"/>
          <w:color w:val="auto"/>
        </w:rPr>
        <w:t>We may also be subject to data privacy and security laws and regulation by both the federal government and the states in which we conduct our business. HIPAA, as amended by the Health Information Technology and Clinical Health Act, or HITECH, and their respective implementing regulations, including the final omnibus rule published on January 25, 2013, imposes specific requirements relating to the privacy, security and transmission of individually identifiable health information held by covered entities and their business associates. While we would not be a “covered entity” under HIPAA, it is possible that we may enter into a service or business arrangement that would cause us to serve as a “business associates,” defined as a person or entity that performs certain functions or activities that involve the use or disclosure of protected health information in connection with providing a service for or on behalf of, or provide services to, a covered entity. HITECH also increased the civil and criminal penalties that may be imposed against covered entities, business associates and possibly other persons, and gave state attorneys general new authority to file civil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The Department of Health and Human Services Office of Civil Rights, or the OCR, has increased its focus on compliance and continues to train state attorneys general for enforcement purposes.</w:t>
      </w:r>
    </w:p>
    <w:p>
      <w:pPr>
        <w:spacing w:after="0" w:line="188" w:lineRule="exact"/>
        <w:rPr>
          <w:sz w:val="20"/>
          <w:szCs w:val="20"/>
          <w:color w:val="auto"/>
        </w:rPr>
      </w:pPr>
    </w:p>
    <w:p>
      <w:pPr>
        <w:ind w:right="60" w:firstLine="492"/>
        <w:spacing w:after="0" w:line="272" w:lineRule="auto"/>
        <w:rPr>
          <w:sz w:val="20"/>
          <w:szCs w:val="20"/>
          <w:color w:val="auto"/>
        </w:rPr>
      </w:pPr>
      <w:r>
        <w:rPr>
          <w:rFonts w:ascii="Arial" w:cs="Arial" w:eastAsia="Arial" w:hAnsi="Arial"/>
          <w:sz w:val="17"/>
          <w:szCs w:val="17"/>
          <w:color w:val="auto"/>
        </w:rPr>
        <w:t>Even for entities that are not deemed “covered entities” or “business associates” under HIPAA, according to the U.S.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w:t>
      </w:r>
    </w:p>
    <w:p>
      <w:pPr>
        <w:spacing w:after="0" w:line="177" w:lineRule="exact"/>
        <w:rPr>
          <w:sz w:val="20"/>
          <w:szCs w:val="20"/>
          <w:color w:val="auto"/>
        </w:rPr>
      </w:pPr>
    </w:p>
    <w:p>
      <w:pPr>
        <w:ind w:firstLine="492"/>
        <w:spacing w:after="0" w:line="311" w:lineRule="auto"/>
        <w:rPr>
          <w:sz w:val="20"/>
          <w:szCs w:val="20"/>
          <w:color w:val="auto"/>
        </w:rPr>
      </w:pPr>
      <w:r>
        <w:rPr>
          <w:rFonts w:ascii="Arial" w:cs="Arial" w:eastAsia="Arial" w:hAnsi="Arial"/>
          <w:sz w:val="16"/>
          <w:szCs w:val="16"/>
          <w:color w:val="auto"/>
        </w:rPr>
        <w:t>In addition to the laws discussed above, we may see more stringent state and federal privacy legislation in 2021 and beyond, as the increased cyber-attacks during the pandemic have heightened attention data privacy and security in the U.S. and other jurisdictions. We cannot predict where new legislation might arise, the scope of such legislation, or the potential impact to our business and operations.</w:t>
      </w:r>
    </w:p>
    <w:p>
      <w:pPr>
        <w:spacing w:after="0" w:line="149" w:lineRule="exact"/>
        <w:rPr>
          <w:sz w:val="20"/>
          <w:szCs w:val="20"/>
          <w:color w:val="auto"/>
        </w:rPr>
      </w:pPr>
    </w:p>
    <w:p>
      <w:pPr>
        <w:ind w:right="100" w:firstLine="492"/>
        <w:spacing w:after="0" w:line="287" w:lineRule="auto"/>
        <w:rPr>
          <w:sz w:val="20"/>
          <w:szCs w:val="20"/>
          <w:color w:val="auto"/>
        </w:rPr>
      </w:pPr>
      <w:r>
        <w:rPr>
          <w:rFonts w:ascii="Arial" w:cs="Arial" w:eastAsia="Arial" w:hAnsi="Arial"/>
          <w:sz w:val="16"/>
          <w:szCs w:val="16"/>
          <w:color w:val="auto"/>
        </w:rPr>
        <w:t>Payments made to physicians and other healthcare providers, and other financial interests, have been the subject of a range of federal and state laws. The federal physician payment transparency requirements, sometimes referred to as the Physician Payments Sunshine Act, or the Sunshine Act, was created under the ACA. The Sunshine Act, among other things, imposes reporting requirements on drug manufacturers for payments or other transfers of value made by them to physicians and teaching hospitals, as well as ownership and investment interests held by physicians, other healthcare providers, and their immediate family members. Failure to submit required information may result in civil monetary penalties of up to an aggregate of $150,000 per year and up to an additional aggregate of $1 million per year for “knowing failures,” for all payments, transfers of value or ownership or investment interests that are not timely, accurately and completely reported in an annual submission. The Sunshine Act was amended requiring applicable manufacturers, in 2021, to begin tracking payments and transfers of value to physician assistants, nurse practitioners, and other mid-level HCPs as well as physicians, with reporting relative to these mid-level practitioners first due in 2022. Additionally, certain states also mandate implementation of commercial compliance programs, impose restrictions on drug manufacturer marketing practices and/or require the tracking and reporting of gifts, compensation and other remuneration to physicians and other HCPs.</w:t>
      </w:r>
    </w:p>
    <w:p>
      <w:pPr>
        <w:spacing w:after="0" w:line="168"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Analogous state laws and regulations, such as state anti-kickback and false claims laws, and other state laws addressing the pharmaceutical and healthcare industries, which may apply to items or services reimbursed by any third-party payor, including commercial insurers, and in some cases may apply regardless of payor, i.e., even if reimbursement is not available. Some state laws require pharmaceutical companies to comply with the pharmaceutical industry's voluntary compliance guidelines, known as the PhRMA Code, and the relevant compliance program guidance promulgated by the federal government in addition to requiring drug manufacturers to report pricing and marketing information, including, among other things, information related to gifts, payments, or other remuneration to physicians and other healthcare providers or marketing expenditures, state and local laws that require the registration of pharmaceutical sales representatives, and state laws governing the privacy and security of health information and the use of prescriber-identifiable data in certain circumstances, many of which differ from each other in significant ways and may not have the same effect, thus complicating compliance efforts. For example, California enacted the California Consumer Privacy Act, or CCPA, which went into effect on January 1, 2020, and was recently amended and expanded by the California Privacy Rights Act, or CPRA, passed on November 3, 2020. While the majority of the CPRA’s substantive provisions will not take effect until January 1, 2023, the CPRA’s expansion of the “Right to Know” impacts personal information collected on or after January 1, 2022. Companies must still comply with the CCPA during the ramp up period before CPRA goes into effect. The CCPA and CPRA, among other things, create new data privacy obligations for covered companies and provide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492"/>
        <w:spacing w:after="0" w:line="221" w:lineRule="exact"/>
        <w:rPr>
          <w:sz w:val="20"/>
          <w:szCs w:val="20"/>
          <w:color w:val="auto"/>
        </w:rPr>
      </w:pPr>
      <w:r>
        <w:rPr>
          <w:rFonts w:ascii="Arial" w:cs="Arial" w:eastAsia="Arial" w:hAnsi="Arial"/>
          <w:sz w:val="17"/>
          <w:szCs w:val="17"/>
          <w:color w:val="auto"/>
        </w:rPr>
        <w:t>To the extent that any of our products are sold in a foreign country, we may be subject to similar foreign laws and regulations, which may include, for instance, applicable post-marketing requirements, including safety surveillance, anti</w:t>
      </w:r>
      <w:r>
        <w:rPr>
          <w:rFonts w:ascii="MS PGothic" w:cs="MS PGothic" w:eastAsia="MS PGothic" w:hAnsi="MS PGothic"/>
          <w:sz w:val="17"/>
          <w:szCs w:val="17"/>
          <w:color w:val="auto"/>
        </w:rPr>
        <w:t>‑</w:t>
      </w:r>
      <w:r>
        <w:rPr>
          <w:rFonts w:ascii="Arial" w:cs="Arial" w:eastAsia="Arial" w:hAnsi="Arial"/>
          <w:sz w:val="17"/>
          <w:szCs w:val="17"/>
          <w:color w:val="auto"/>
        </w:rPr>
        <w:t>fraud and abuse laws, and implementation of corporate compliance programs and reporting of payments or transfers of value to HCPs.</w:t>
      </w:r>
    </w:p>
    <w:p>
      <w:pPr>
        <w:spacing w:after="0" w:line="202"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such laws, it is possible that certain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w:t>
      </w:r>
    </w:p>
    <w:p>
      <w:pPr>
        <w:spacing w:after="0" w:line="178" w:lineRule="exact"/>
        <w:rPr>
          <w:sz w:val="20"/>
          <w:szCs w:val="20"/>
          <w:color w:val="auto"/>
        </w:rPr>
      </w:pPr>
    </w:p>
    <w:p>
      <w:pPr>
        <w:ind w:right="120" w:firstLine="492"/>
        <w:spacing w:after="0" w:line="272" w:lineRule="auto"/>
        <w:rPr>
          <w:sz w:val="20"/>
          <w:szCs w:val="20"/>
          <w:color w:val="auto"/>
        </w:rPr>
      </w:pPr>
      <w:r>
        <w:rPr>
          <w:rFonts w:ascii="Arial" w:cs="Arial" w:eastAsia="Arial" w:hAnsi="Arial"/>
          <w:sz w:val="17"/>
          <w:szCs w:val="17"/>
          <w:color w:val="auto"/>
        </w:rPr>
        <w:t>If our operations are found to be in violation of any of such health regulatory laws described above or any other governmental laws and regulations that apply to us, we may be subject to penalties, including, without limitation, civil, administrative, and criminal penalties, damages, fines, disgorgement, the curtailment or restructuring of our operations, exclusion from participation in federal and state healthcare programs and individual imprisonment, injunctions, private qui tam actions brought by individual whistleblowers in the name of the government,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Sales of pharmaceutical products depend significantly on the availability of third-party coverage and reimbursement. Third-party payors include Medicare, Medicaid, and other government programs at the federal and state level, managed care providers, private health insurers and other organizations. Third party payors decide which drugs they will pay for on behalf of their beneficiaries and establish reimbursement levels for health care. Although we currently believe that third-party payors will provide coverage and reimbursement for our product candidates, if approved, these third-party payors are increasingly challenging the price and examining the cost-effectiveness of medical products and services, with a recent focus on prioritization of “equivalent,” less expensive alternatives when available. In addition, significant uncertainty exists as to the reimbursement status of newly approved healthcare products. We may need to conduct expensive clinical trials to demonstrate the comparative cost-effectiveness of our products. The product candidates that we develop may not be considered cost-effective. It is time-consuming and expensive for us to seek coverage and reimbursement from third-party payors. Moreover, a payor’s decision to provide coverage for a drug product does not imply that an adequate reimbursement rate will be approved, especially for product candidates such as ours, which are used in the inpatient setting, usually resulting in no separate reimbursement for pharmaceuticals. There are additional pressures on pricing as a result of other, peripheral policies impacting reimbursement across both government and private payors. Non-health specific policies may impart downstream impacts on private insurance reimbursement decision-making. In consideration of these numerous factors, reimbursement may not be available or sufficient to allow us to sell our products on a competitive and profitable basis.</w:t>
      </w:r>
    </w:p>
    <w:p>
      <w:pPr>
        <w:spacing w:after="0" w:line="167" w:lineRule="exact"/>
        <w:rPr>
          <w:sz w:val="20"/>
          <w:szCs w:val="20"/>
          <w:color w:val="auto"/>
        </w:rPr>
      </w:pPr>
    </w:p>
    <w:p>
      <w:pPr>
        <w:ind w:right="40" w:firstLine="492"/>
        <w:spacing w:after="0" w:line="285" w:lineRule="auto"/>
        <w:rPr>
          <w:sz w:val="20"/>
          <w:szCs w:val="20"/>
          <w:color w:val="auto"/>
        </w:rPr>
      </w:pPr>
      <w:r>
        <w:rPr>
          <w:rFonts w:ascii="Arial" w:cs="Arial" w:eastAsia="Arial" w:hAnsi="Arial"/>
          <w:sz w:val="16"/>
          <w:szCs w:val="16"/>
          <w:color w:val="auto"/>
        </w:rPr>
        <w:t>Medicare is a federally funded program managed by CMS through local contractors that administer coverage and reimbursement for certain healthcare items and services furnished to the elderly and disabled. Medicare Part A covers inpatient hospitalization and Medicare Part B covers outpatient medical services. Medicare coverage of drugs and biological products and payment rates to providers are established by federal law and regulations. Medicaid is an insurance program for certain categories of low-income patients who are otherwise uninsured and is both federally and state funded and managed by each state. The federal government sets general guidelines for Medicaid and requires rebates on outpatient drugs and biological products, including those administered by physicians if the cost is billed separately. Each state creates specific regulations that govern its individual program, including supplemental rebate programs that prioritize coverage for drugs on the state Preferred Drug List. Government laws and regulations also establish price controls on prescription drugs purchased by government agencies that provide health care and certain federally funded hospital outpatient departments and clinics. In the U.S., private health insurers and other third-party payors often provide reimbursement for products and services based on the level at which the government provides reimbursement through the Medicare or Medicaid programs for such products and services. These restrictions and limitations influence the purchase of healthcare services and products. In addition, government programs like Medicaid include substantial penalties for increasing commercial prices over the rate of inflation which can affect realization and return on investment. Further, some stakeholders have recently questioned whether the market price of prescription drugs may be inflated by virtue of the built-in cost imparted by the government rebate model, often negotiated indirectly in exchange for a coverage determination or formulary placement where relevant.</w:t>
      </w:r>
    </w:p>
    <w:p>
      <w:pPr>
        <w:sectPr>
          <w:pgSz w:w="11900" w:h="16838" w:orient="portrait"/>
          <w:cols w:equalWidth="0" w:num="1">
            <w:col w:w="9900"/>
          </w:cols>
          <w:pgMar w:left="980" w:top="665"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80" w:firstLine="492"/>
        <w:spacing w:after="0" w:line="287" w:lineRule="auto"/>
        <w:rPr>
          <w:sz w:val="20"/>
          <w:szCs w:val="20"/>
          <w:color w:val="auto"/>
        </w:rPr>
      </w:pPr>
      <w:r>
        <w:rPr>
          <w:rFonts w:ascii="Arial" w:cs="Arial" w:eastAsia="Arial" w:hAnsi="Arial"/>
          <w:sz w:val="16"/>
          <w:szCs w:val="16"/>
          <w:color w:val="auto"/>
        </w:rPr>
        <w:t>In the U.S., the European Union, and other potentially significant markets for our product candidates, government authorities and private third-party payors are increasingly attempting to limit or regulate the price of medical products and services, particularly for new and innovative products and therapies, which often has resulted in average selling prices lower than they would otherwise be.</w:t>
      </w:r>
    </w:p>
    <w:p>
      <w:pPr>
        <w:spacing w:after="0" w:line="2" w:lineRule="exact"/>
        <w:rPr>
          <w:sz w:val="20"/>
          <w:szCs w:val="20"/>
          <w:color w:val="auto"/>
        </w:rPr>
      </w:pPr>
    </w:p>
    <w:p>
      <w:pPr>
        <w:spacing w:after="0" w:line="216" w:lineRule="exact"/>
        <w:rPr>
          <w:sz w:val="20"/>
          <w:szCs w:val="20"/>
          <w:color w:val="auto"/>
        </w:rPr>
      </w:pPr>
      <w:r>
        <w:rPr>
          <w:rFonts w:ascii="Arial" w:cs="Arial" w:eastAsia="Arial" w:hAnsi="Arial"/>
          <w:sz w:val="16"/>
          <w:szCs w:val="16"/>
          <w:color w:val="auto"/>
        </w:rPr>
        <w:t>Manufacturers frequently must rebate a portion of the prescription price to the third</w:t>
      </w:r>
      <w:r>
        <w:rPr>
          <w:rFonts w:ascii="MS PGothic" w:cs="MS PGothic" w:eastAsia="MS PGothic" w:hAnsi="MS PGothic"/>
          <w:sz w:val="16"/>
          <w:szCs w:val="16"/>
          <w:color w:val="auto"/>
        </w:rPr>
        <w:t>‑</w:t>
      </w:r>
      <w:r>
        <w:rPr>
          <w:rFonts w:ascii="Arial" w:cs="Arial" w:eastAsia="Arial" w:hAnsi="Arial"/>
          <w:sz w:val="16"/>
          <w:szCs w:val="16"/>
          <w:color w:val="auto"/>
        </w:rPr>
        <w:t>party payors as a condition of coverage, which can greatly reduce realization on the sale. Third-party payors are increasingly challenging the price and examining the medical necessity and cost-effectiveness of medical products and services, in addition to their safety and efficacy, and are developing increasingly sophisticated methods of controlling healthcare costs. They may limit coverage to specific drug products on an approved list, or formulary, which might not include all the FDA-approved drug products for a particular indication, or they may control costs, particularly for new expensive therapies, by requiring prior authorization or imposing other restrictions before covering certain products, or they may condition payment based on achieving performance metrics. Legislative proposals to reform healthcare or reduce costs under government programs may result in lower reimbursement for our product candidates or exclusion of our product candidates from coverage.</w:t>
      </w:r>
    </w:p>
    <w:p>
      <w:pPr>
        <w:spacing w:after="0" w:line="206"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Achieving favorable CMS coverage and reimbursement is usually a significant gating issue for successful introduction of a new product, because Medicare and Medicaid can represent a sizeable share of the market and because private payors often rely on the lead of the governmental payors in rendering coverage and reimbursement determinations. Further, the increased emphasis on managed healthcare in the U.S. and on country and regional pricing and reimbursement controls in the European Union will likely put additional pressure on product pricing, reimbursement, and utilization, which may adversely affect our future product sales and results of operations. These pressures can arise from rules and practices of managed care groups,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third-party payors to reimburse all or part of the associated healthcare costs. Sales of our product candidates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third-party payors.</w:t>
      </w:r>
    </w:p>
    <w:p>
      <w:pPr>
        <w:spacing w:after="0" w:line="186" w:lineRule="exact"/>
        <w:rPr>
          <w:sz w:val="20"/>
          <w:szCs w:val="20"/>
          <w:color w:val="auto"/>
        </w:rPr>
      </w:pPr>
    </w:p>
    <w:p>
      <w:pPr>
        <w:ind w:firstLine="492"/>
        <w:spacing w:after="0" w:line="288" w:lineRule="auto"/>
        <w:rPr>
          <w:sz w:val="20"/>
          <w:szCs w:val="20"/>
          <w:color w:val="auto"/>
        </w:rPr>
      </w:pPr>
      <w:r>
        <w:rPr>
          <w:rFonts w:ascii="Arial" w:cs="Arial" w:eastAsia="Arial" w:hAnsi="Arial"/>
          <w:sz w:val="16"/>
          <w:szCs w:val="16"/>
          <w:color w:val="auto"/>
        </w:rPr>
        <w:t>As a result of the above,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ensure acceptance and use of our products and product candidates or enable us to maintain price levels sufficient to realize an appropriate return on our investment in drug development. Legislative and regulatory proposals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third-party coverage or adequate reimbursement for our product candidates in whole or in part.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right="20" w:firstLine="492"/>
        <w:spacing w:after="0" w:line="275" w:lineRule="auto"/>
        <w:rPr>
          <w:sz w:val="20"/>
          <w:szCs w:val="20"/>
          <w:color w:val="auto"/>
        </w:rPr>
      </w:pPr>
      <w:r>
        <w:rPr>
          <w:rFonts w:ascii="Arial" w:cs="Arial" w:eastAsia="Arial" w:hAnsi="Arial"/>
          <w:sz w:val="17"/>
          <w:szCs w:val="17"/>
          <w:color w:val="auto"/>
        </w:rPr>
        <w:t>The U.S. and some foreign jurisdictions are considering or have enacted a number of legislative and regulatory proposals to change the healthcare system in ways that could affect our ability to sell our products profitably. Among policy makers and payors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federal and state legislative initiatives.</w:t>
      </w:r>
    </w:p>
    <w:p>
      <w:pPr>
        <w:spacing w:after="0" w:line="176"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In addition, other legislative and regulatory changes have been proposed and adopted since the ACA was enacted. These changes include aggregate reductions to Medicare payments to providers of up to 2% per fiscal year, starting in 2013, which will remain in effect through 2025 unless additional Congressional action is taken. In January 2013, the American Taxpayer Relief Act of 2012, which, among other things, further reduced Medicare payments to several providers, including hospitals and cancer treatment centers, increased the statute of limitations period for the government to recover overpayments to providers from three to five years. In 2017, CMS promulgated a rule reducing Medicare Part B reimbursement to hospitals for drugs purchased under the 340B program by 30%. Although hospital trade associations filed a lawsuit challenging the regulation, the final rule is now in effect.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492"/>
        <w:spacing w:after="0" w:line="275" w:lineRule="auto"/>
        <w:rPr>
          <w:sz w:val="20"/>
          <w:szCs w:val="20"/>
          <w:color w:val="auto"/>
        </w:rPr>
      </w:pPr>
      <w:r>
        <w:rPr>
          <w:rFonts w:ascii="Arial" w:cs="Arial" w:eastAsia="Arial" w:hAnsi="Arial"/>
          <w:sz w:val="17"/>
          <w:szCs w:val="17"/>
          <w:color w:val="auto"/>
        </w:rPr>
        <w:t>In recent years, there have been and continue to be proposals by the federal government, state governments, regulators, and third-party payors to control these costs and, more generally, to reform the U.S. health care system. Certain of these proposals could limit the prices we are able to charge for our products or the amounts of reimbursement available for our products. These laws and future laws may result in additional reductions in Medicare and other healthcare funding, which could have a material adverse effect on customers for our product candidates, if approved, and, accordingly, our financial operations.</w:t>
      </w:r>
    </w:p>
    <w:p>
      <w:pPr>
        <w:spacing w:after="0" w:line="176" w:lineRule="exact"/>
        <w:rPr>
          <w:sz w:val="20"/>
          <w:szCs w:val="20"/>
          <w:color w:val="auto"/>
        </w:rPr>
      </w:pPr>
    </w:p>
    <w:p>
      <w:pPr>
        <w:ind w:right="60" w:firstLine="492"/>
        <w:spacing w:after="0" w:line="263" w:lineRule="auto"/>
        <w:rPr>
          <w:sz w:val="20"/>
          <w:szCs w:val="20"/>
          <w:color w:val="auto"/>
        </w:rPr>
      </w:pPr>
      <w:r>
        <w:rPr>
          <w:rFonts w:ascii="Arial" w:cs="Arial" w:eastAsia="Arial" w:hAnsi="Arial"/>
          <w:sz w:val="18"/>
          <w:szCs w:val="18"/>
          <w:color w:val="auto"/>
        </w:rPr>
        <w:t>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84"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The cost of pharmaceuticals continues to generate substantial governmental and third-party payor interest and states have begun to take action to increase transparency in drug pricing through mandatory reporting requirements. We expect that the pharmaceutical industry will experience pricing pressures due to the trend toward managed healthcare, the increasing influence of managed care organizations, and additional legislative proposals. Our results of operations could be adversely affected by current and future healthcare reforms. While we cannot predict whether any proposed cost-containment measures will be adopted or otherwise implemented in the future, the announcement or adoption of these proposals could have a material adverse effect on our ability to obtain adequate prices for our product candidates and operate profitably.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ind w:right="80" w:firstLine="492"/>
        <w:spacing w:after="0" w:line="301" w:lineRule="auto"/>
        <w:rPr>
          <w:sz w:val="20"/>
          <w:szCs w:val="20"/>
          <w:color w:val="auto"/>
        </w:rPr>
      </w:pPr>
      <w:r>
        <w:rPr>
          <w:rFonts w:ascii="Arial" w:cs="Arial" w:eastAsia="Arial" w:hAnsi="Arial"/>
          <w:sz w:val="16"/>
          <w:szCs w:val="16"/>
          <w:color w:val="auto"/>
        </w:rPr>
        <w:t>In addition to regulations in the U.S., we will be subject to a variety of foreign regulations governing clinical trials and commercial sales and distribution of our products to the extent we choose to develop or sell any products outside of the U.S.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157" w:lineRule="exact"/>
        <w:rPr>
          <w:sz w:val="20"/>
          <w:szCs w:val="20"/>
          <w:color w:val="auto"/>
        </w:rPr>
      </w:pPr>
    </w:p>
    <w:p>
      <w:pPr>
        <w:ind w:firstLine="492"/>
        <w:spacing w:after="0" w:line="253" w:lineRule="auto"/>
        <w:rPr>
          <w:sz w:val="20"/>
          <w:szCs w:val="20"/>
          <w:color w:val="auto"/>
        </w:rPr>
      </w:pPr>
      <w:r>
        <w:rPr>
          <w:rFonts w:ascii="Arial" w:cs="Arial" w:eastAsia="Arial" w:hAnsi="Arial"/>
          <w:sz w:val="18"/>
          <w:szCs w:val="18"/>
          <w:color w:val="auto"/>
        </w:rPr>
        <w:t>In the EU and the United Kingdom, member states require both regulatory clearances by the national competent authority and a favorable ethics committee opinion prior to the commencement of a clinical trial. Under the EU regulatory systems, marketing authorization applications may be submitted under either a centralized or decentralized procedure. The centralized procedure provides for the grant of a single marketing authorization that is valid for all EU member states. It is compulsory for medicines produced by certain biotechnological processes. Because our products are produced in that way, we would be subject to the centralized process. Under the centralized procedure, pharmaceutical companies submit a single marketing authorization application to the European Medicines Agency. Once granted by the European Commission, a centralized marketing authorization is valid in all EU member states, as well as the European Economic Area countries. By law, a company can only start to market a medicine once it has received a marketing authorization.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Management</w:t>
      </w:r>
    </w:p>
    <w:p>
      <w:pPr>
        <w:spacing w:after="0" w:line="229" w:lineRule="exact"/>
        <w:rPr>
          <w:sz w:val="20"/>
          <w:szCs w:val="20"/>
          <w:color w:val="auto"/>
        </w:rPr>
      </w:pPr>
    </w:p>
    <w:p>
      <w:pPr>
        <w:ind w:right="100" w:firstLine="486"/>
        <w:spacing w:after="0" w:line="286" w:lineRule="auto"/>
        <w:rPr>
          <w:sz w:val="20"/>
          <w:szCs w:val="20"/>
          <w:color w:val="auto"/>
        </w:rPr>
      </w:pPr>
      <w:r>
        <w:rPr>
          <w:rFonts w:ascii="Arial" w:cs="Arial" w:eastAsia="Arial" w:hAnsi="Arial"/>
          <w:sz w:val="16"/>
          <w:szCs w:val="16"/>
          <w:color w:val="auto"/>
        </w:rPr>
        <w:t>As of December 31, 2022, we had 503 employees, 379 of whom were engaged in research and development activities and 124 of whom were engaged in general and administrative support activities. None of our employees are subject to a collective bargaining agreement. Our employees are highly skilled, and many hold advanced degrees. Most of our employees have experience with the development of cell therapies. We consider our relationship with our employees to be good.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Employee Stock Purchase Plan, a 401(k) plan, healthcare and insurance benefits, health savings and flexible spending accounts, paid time off, family leave, and flexible work schedules, among other benefits. We have taken proactive, aggressive action throughout the COVID-19 pandemic to protect the health and safety of our employees. We expect to continue to implement these measures until we determine that the COVID-19 pandemic is adequately contained for purposes of our business. We may take further actions, in compliance with all appropriate government regulations, that we determine to be in the best interest of our employees.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We maintain a website at www.iovance.com and make available there, free of charge, our periodic reports filed with the Securities and Exchange Commission, or SEC, as soon as is reasonably practicable after filing. The SEC maintains a website at http:/www.sec.gov that contains reports, proxy and information statements, and other information regarding issuers such as us that file electronically with the SEC.</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i w:val="1"/>
          <w:iCs w:val="1"/>
          <w:color w:val="auto"/>
        </w:rPr>
        <w:t>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this Annual Report on Form 10-K, including our financial statements and related notes, and our other filings from time to time with the Securities and Exchange Commission, or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02"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Our business is subject to a number of risks and uncertainties, including those risks discussed at length below. These risks include, among others, the brief bulleted list of our principal risk factors set forth below that make an investment in our company speculative or risky. You are encouraged to carefully review our full discussion of the material risk factors relevant to an investment in our business, which follows the brief bulleted list of our principal risk factors set forth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w:t>
      </w:r>
    </w:p>
    <w:p>
      <w:pPr>
        <w:spacing w:after="0" w:line="185" w:lineRule="exact"/>
        <w:rPr>
          <w:sz w:val="20"/>
          <w:szCs w:val="20"/>
          <w:color w:val="auto"/>
        </w:rPr>
      </w:pPr>
    </w:p>
    <w:p>
      <w:pPr>
        <w:ind w:left="680" w:hanging="321"/>
        <w:spacing w:after="0" w:line="273"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product candidates and cannot guarantee that these product candidates will successfully complete development, receive regulatory approval, or be successfully commercialized;</w:t>
      </w:r>
    </w:p>
    <w:p>
      <w:pPr>
        <w:spacing w:after="0" w:line="1" w:lineRule="exact"/>
        <w:rPr>
          <w:rFonts w:ascii="Arial" w:cs="Arial" w:eastAsia="Arial" w:hAnsi="Arial"/>
          <w:sz w:val="18"/>
          <w:szCs w:val="18"/>
          <w:color w:val="auto"/>
        </w:rPr>
      </w:pPr>
    </w:p>
    <w:p>
      <w:pPr>
        <w:ind w:left="680" w:right="100" w:hanging="321"/>
        <w:spacing w:after="0" w:line="260"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encounter substantial delays in our clinical trials or may not be able to conduct our clinical trials on the timelines we expect and we may be required to conduct additional clinical trials or modify current or future clinical trials based on feedback we receive from the FDA;</w:t>
      </w:r>
    </w:p>
    <w:p>
      <w:pPr>
        <w:spacing w:after="0" w:line="2"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It may take longer and cost more to complete our clinical trials than we project, or we may not be able to complete them at all;</w:t>
      </w:r>
    </w:p>
    <w:p>
      <w:pPr>
        <w:spacing w:after="0" w:line="72" w:lineRule="exact"/>
        <w:rPr>
          <w:rFonts w:ascii="Arial" w:cs="Arial" w:eastAsia="Arial" w:hAnsi="Arial"/>
          <w:sz w:val="16"/>
          <w:szCs w:val="16"/>
          <w:color w:val="auto"/>
        </w:rPr>
      </w:pPr>
    </w:p>
    <w:p>
      <w:pPr>
        <w:ind w:left="680" w:right="40" w:hanging="321"/>
        <w:spacing w:after="0" w:line="273"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clinical trials may fail to demonstrate adequately the safety and efficacy of our product candidates, which would prevent or delay regulatory approval and commercialization;</w:t>
      </w:r>
    </w:p>
    <w:p>
      <w:pPr>
        <w:spacing w:after="0" w:line="1" w:lineRule="exact"/>
        <w:rPr>
          <w:rFonts w:ascii="Arial" w:cs="Arial" w:eastAsia="Arial" w:hAnsi="Arial"/>
          <w:sz w:val="18"/>
          <w:szCs w:val="18"/>
          <w:color w:val="auto"/>
        </w:rPr>
      </w:pPr>
    </w:p>
    <w:p>
      <w:pPr>
        <w:ind w:left="680" w:right="40" w:hanging="321"/>
        <w:spacing w:after="0" w:line="256"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3" w:lineRule="exact"/>
        <w:rPr>
          <w:rFonts w:ascii="Arial" w:cs="Arial" w:eastAsia="Arial" w:hAnsi="Arial"/>
          <w:sz w:val="18"/>
          <w:szCs w:val="18"/>
          <w:color w:val="auto"/>
        </w:rPr>
      </w:pPr>
    </w:p>
    <w:p>
      <w:pPr>
        <w:ind w:left="680" w:right="40" w:hanging="321"/>
        <w:spacing w:after="0" w:line="259"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11" w:lineRule="exact"/>
        <w:rPr>
          <w:rFonts w:ascii="Arial" w:cs="Arial" w:eastAsia="Arial" w:hAnsi="Arial"/>
          <w:sz w:val="18"/>
          <w:szCs w:val="18"/>
          <w:color w:val="auto"/>
        </w:rPr>
      </w:pPr>
    </w:p>
    <w:p>
      <w:pPr>
        <w:jc w:val="both"/>
        <w:ind w:left="680" w:right="120" w:hanging="321"/>
        <w:spacing w:after="0" w:line="263"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8" w:lineRule="exact"/>
        <w:rPr>
          <w:rFonts w:ascii="Arial" w:cs="Arial" w:eastAsia="Arial" w:hAnsi="Arial"/>
          <w:sz w:val="18"/>
          <w:szCs w:val="18"/>
          <w:color w:val="auto"/>
        </w:rPr>
      </w:pPr>
    </w:p>
    <w:p>
      <w:pPr>
        <w:ind w:left="680" w:right="40" w:hanging="321"/>
        <w:spacing w:after="0" w:line="273" w:lineRule="auto"/>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spacing w:after="0" w:line="1" w:lineRule="exact"/>
        <w:rPr>
          <w:rFonts w:ascii="Arial" w:cs="Arial" w:eastAsia="Arial" w:hAnsi="Arial"/>
          <w:sz w:val="17"/>
          <w:szCs w:val="17"/>
          <w:color w:val="auto"/>
        </w:rPr>
      </w:pPr>
    </w:p>
    <w:p>
      <w:pPr>
        <w:ind w:left="680" w:right="80" w:hanging="321"/>
        <w:spacing w:after="0" w:line="290" w:lineRule="auto"/>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subject to extensive regulation, which can be costly, time consuming and can subject us to unanticipated delays; even if we obtain regulatory approval for some of our products, those products may still face regulatory difficulties;</w:t>
      </w:r>
    </w:p>
    <w:p>
      <w:pPr>
        <w:ind w:left="680" w:right="280" w:hanging="321"/>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required to pay substantial royalties and lump sum benchmark payments under our license agreements with the NIH, Moffitt, Novartis, and Cellectis, and we must meet certain milestones to maintain our license rights;</w:t>
      </w:r>
    </w:p>
    <w:p>
      <w:pPr>
        <w:sectPr>
          <w:pgSz w:w="11900" w:h="16838" w:orient="portrait"/>
          <w:cols w:equalWidth="0" w:num="1">
            <w:col w:w="9900"/>
          </w:cols>
          <w:pgMar w:left="980" w:top="665" w:right="1019" w:bottom="1440" w:gutter="0" w:footer="0" w:header="0"/>
        </w:sect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63"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8" w:lineRule="exact"/>
        <w:rPr>
          <w:rFonts w:ascii="Arial" w:cs="Arial" w:eastAsia="Arial" w:hAnsi="Arial"/>
          <w:sz w:val="18"/>
          <w:szCs w:val="18"/>
          <w:color w:val="auto"/>
        </w:rPr>
      </w:pPr>
    </w:p>
    <w:p>
      <w:pPr>
        <w:ind w:left="680" w:right="160" w:hanging="321"/>
        <w:spacing w:after="0" w:line="266"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assurance can be given that the Gen 2 manufacturing process we have selected will be FDA-compliant, more efficient and lower the cost to manufacture TIL products;</w:t>
      </w:r>
    </w:p>
    <w:p>
      <w:pPr>
        <w:ind w:left="680" w:hanging="321"/>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face significant competition from other biotechnology and pharmaceutical companies and from non-profit institutions;</w:t>
      </w:r>
    </w:p>
    <w:p>
      <w:pPr>
        <w:spacing w:after="0" w:line="61" w:lineRule="exact"/>
        <w:rPr>
          <w:rFonts w:ascii="Arial" w:cs="Arial" w:eastAsia="Arial" w:hAnsi="Arial"/>
          <w:sz w:val="17"/>
          <w:szCs w:val="17"/>
          <w:color w:val="auto"/>
        </w:rPr>
      </w:pPr>
    </w:p>
    <w:p>
      <w:pPr>
        <w:ind w:left="680" w:right="280" w:hanging="321"/>
        <w:spacing w:after="0" w:line="273"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 of a product candidate intended for use in combination with an already approved product may present more or different challenges than development of a product candidate for use as a single agent;</w:t>
      </w:r>
    </w:p>
    <w:p>
      <w:pPr>
        <w:spacing w:after="0" w:line="1" w:lineRule="exact"/>
        <w:rPr>
          <w:rFonts w:ascii="Arial" w:cs="Arial" w:eastAsia="Arial" w:hAnsi="Arial"/>
          <w:sz w:val="18"/>
          <w:szCs w:val="18"/>
          <w:color w:val="auto"/>
        </w:rPr>
      </w:pPr>
    </w:p>
    <w:p>
      <w:pPr>
        <w:ind w:left="680" w:right="120" w:hanging="321"/>
        <w:spacing w:after="0" w:line="260"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2" w:lineRule="exact"/>
        <w:rPr>
          <w:rFonts w:ascii="Arial" w:cs="Arial" w:eastAsia="Arial" w:hAnsi="Arial"/>
          <w:sz w:val="18"/>
          <w:szCs w:val="18"/>
          <w:color w:val="auto"/>
        </w:rPr>
      </w:pPr>
    </w:p>
    <w:p>
      <w:pPr>
        <w:ind w:left="680" w:hanging="321"/>
        <w:spacing w:after="0" w:line="299" w:lineRule="auto"/>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While lifileucel has received Orphan Drug Designation, or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jc w:val="both"/>
        <w:ind w:left="680" w:right="280" w:hanging="321"/>
        <w:spacing w:after="0" w:line="263"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8" w:lineRule="exact"/>
        <w:rPr>
          <w:rFonts w:ascii="Arial" w:cs="Arial" w:eastAsia="Arial" w:hAnsi="Arial"/>
          <w:sz w:val="18"/>
          <w:szCs w:val="18"/>
          <w:color w:val="auto"/>
        </w:rPr>
      </w:pPr>
    </w:p>
    <w:p>
      <w:pPr>
        <w:ind w:left="680" w:right="220" w:hanging="321"/>
        <w:spacing w:after="0" w:line="299" w:lineRule="auto"/>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ind w:left="680" w:right="560" w:hanging="321"/>
        <w:spacing w:after="0" w:line="273"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our product candidates do not achieve broad market acceptance, the revenues that we generate from their sales will be limited;</w:t>
      </w:r>
    </w:p>
    <w:p>
      <w:pPr>
        <w:spacing w:after="0" w:line="1" w:lineRule="exact"/>
        <w:rPr>
          <w:rFonts w:ascii="Arial" w:cs="Arial" w:eastAsia="Arial" w:hAnsi="Arial"/>
          <w:sz w:val="18"/>
          <w:szCs w:val="18"/>
          <w:color w:val="auto"/>
        </w:rPr>
      </w:pPr>
    </w:p>
    <w:p>
      <w:pPr>
        <w:ind w:left="680" w:right="100" w:hanging="321"/>
        <w:spacing w:after="0" w:line="290" w:lineRule="auto"/>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business could be adversely affected by the effects of health epidemics, including the recent spread of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and at our manufacturing facility in Philadelphia, Pennsylvania, which are currently subject to state executive orders and shelter-in-place orders, and at our clinical trial sites, as well as the business or operations of our other manufacturers, CROs or other third parties with whom we conduct business;</w:t>
      </w:r>
    </w:p>
    <w:p>
      <w:pPr>
        <w:spacing w:after="0" w:line="2" w:lineRule="exact"/>
        <w:rPr>
          <w:rFonts w:ascii="Arial" w:cs="Arial" w:eastAsia="Arial" w:hAnsi="Arial"/>
          <w:sz w:val="16"/>
          <w:szCs w:val="16"/>
          <w:color w:val="auto"/>
        </w:rPr>
      </w:pPr>
    </w:p>
    <w:p>
      <w:pPr>
        <w:ind w:left="680" w:hanging="321"/>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will need to grow the size and capabilities of our organization, and we may experience difficulties in managing this growth;</w:t>
      </w:r>
    </w:p>
    <w:p>
      <w:pPr>
        <w:spacing w:after="0" w:line="59" w:lineRule="exact"/>
        <w:rPr>
          <w:rFonts w:ascii="Arial" w:cs="Arial" w:eastAsia="Arial" w:hAnsi="Arial"/>
          <w:sz w:val="16"/>
          <w:szCs w:val="16"/>
          <w:color w:val="auto"/>
        </w:rPr>
      </w:pPr>
    </w:p>
    <w:p>
      <w:pPr>
        <w:ind w:left="680" w:right="320" w:hanging="321"/>
        <w:spacing w:after="0" w:line="294" w:lineRule="auto"/>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currently operating in a period of economic uncertainty and capital markets disruption, which has been significantly impacted by geopolitical instability, an ongoing military conflict between Russia and Ukraine and record inflation. Our business, financial condition and results of operations could be materially adversely affected by any negative impact on the global economy and capital markets resulting from the conflict in Ukraine, geopolitical tensions or record inflation;</w:t>
      </w:r>
    </w:p>
    <w:p>
      <w:pPr>
        <w:spacing w:after="0" w:line="2" w:lineRule="exact"/>
        <w:rPr>
          <w:rFonts w:ascii="Arial" w:cs="Arial" w:eastAsia="Arial" w:hAnsi="Arial"/>
          <w:sz w:val="16"/>
          <w:szCs w:val="16"/>
          <w:color w:val="auto"/>
        </w:rPr>
      </w:pPr>
    </w:p>
    <w:p>
      <w:pPr>
        <w:ind w:left="680" w:right="20" w:hanging="321"/>
        <w:spacing w:after="0" w:line="273"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Climate change or legal, regulatory or market measures to address climate change may negatively affect our business, results of operations, cash flows and prospects;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Environmental, social and governance matters may impact our business and reputation; and</w:t>
      </w:r>
    </w:p>
    <w:p>
      <w:pPr>
        <w:spacing w:after="0" w:line="36" w:lineRule="exact"/>
        <w:rPr>
          <w:rFonts w:ascii="Arial" w:cs="Arial" w:eastAsia="Arial" w:hAnsi="Arial"/>
          <w:sz w:val="18"/>
          <w:szCs w:val="18"/>
          <w:color w:val="auto"/>
        </w:rPr>
      </w:pPr>
    </w:p>
    <w:p>
      <w:pPr>
        <w:ind w:left="680" w:right="180" w:hanging="321"/>
        <w:spacing w:after="0" w:line="25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Government Regulation:</w:t>
      </w:r>
    </w:p>
    <w:p>
      <w:pPr>
        <w:spacing w:after="0" w:line="185" w:lineRule="exact"/>
        <w:rPr>
          <w:sz w:val="20"/>
          <w:szCs w:val="20"/>
          <w:color w:val="auto"/>
        </w:rPr>
      </w:pPr>
    </w:p>
    <w:p>
      <w:pPr>
        <w:ind w:left="680" w:right="100" w:hanging="321"/>
        <w:spacing w:after="0" w:line="273"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regulatory approval process is lengthy and time-consuming, and we may experience significant delays in the clinical development and regulatory approval of our product candidates;</w:t>
      </w:r>
    </w:p>
    <w:p>
      <w:pPr>
        <w:spacing w:after="0" w:line="1" w:lineRule="exact"/>
        <w:rPr>
          <w:rFonts w:ascii="Arial" w:cs="Arial" w:eastAsia="Arial" w:hAnsi="Arial"/>
          <w:sz w:val="18"/>
          <w:szCs w:val="18"/>
          <w:color w:val="auto"/>
        </w:rPr>
      </w:pPr>
    </w:p>
    <w:p>
      <w:pPr>
        <w:ind w:left="680" w:right="400" w:hanging="321"/>
        <w:spacing w:after="0" w:line="266"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regulatory approval of our product candidates in one jurisdiction does not mean that we will be successful in obtaining regulatory approval of our product candidates in other jurisdictions;</w:t>
      </w:r>
    </w:p>
    <w:p>
      <w:pPr>
        <w:ind w:left="680" w:right="20" w:hanging="321"/>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Coverage and reimbursement may be limited or unavailable in certain market segments for our product candidates, which could make it difficult for us to sell our product candidates profitably; and</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Governments outside the U.S. tend to impose strict price controls, which may adversely affect our revenues, if any.</w:t>
      </w:r>
    </w:p>
    <w:p>
      <w:pPr>
        <w:spacing w:after="0" w:line="266" w:lineRule="exact"/>
        <w:rPr>
          <w:sz w:val="20"/>
          <w:szCs w:val="20"/>
          <w:color w:val="auto"/>
        </w:rPr>
      </w:pPr>
    </w:p>
    <w:p>
      <w:pPr>
        <w:ind w:firstLine="492"/>
        <w:spacing w:after="0" w:line="296" w:lineRule="auto"/>
        <w:rPr>
          <w:sz w:val="20"/>
          <w:szCs w:val="20"/>
          <w:color w:val="auto"/>
        </w:rPr>
      </w:pPr>
      <w:r>
        <w:rPr>
          <w:rFonts w:ascii="Arial" w:cs="Arial" w:eastAsia="Arial" w:hAnsi="Arial"/>
          <w:sz w:val="16"/>
          <w:szCs w:val="16"/>
          <w:color w:val="auto"/>
        </w:rPr>
        <w:t>The summary risk factors described above should be read together with the text of the full risk factors below in this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and the other information set forth in this Annual Report on Form 10-K,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 profitable.</w:t>
      </w:r>
    </w:p>
    <w:p>
      <w:pPr>
        <w:spacing w:after="0" w:line="171" w:lineRule="exact"/>
        <w:rPr>
          <w:sz w:val="20"/>
          <w:szCs w:val="20"/>
          <w:color w:val="auto"/>
        </w:rPr>
      </w:pPr>
    </w:p>
    <w:p>
      <w:pPr>
        <w:ind w:right="40" w:firstLine="492"/>
        <w:spacing w:after="0" w:line="254" w:lineRule="auto"/>
        <w:rPr>
          <w:sz w:val="20"/>
          <w:szCs w:val="20"/>
          <w:color w:val="auto"/>
        </w:rPr>
      </w:pPr>
      <w:r>
        <w:rPr>
          <w:rFonts w:ascii="Arial" w:cs="Arial" w:eastAsia="Arial" w:hAnsi="Arial"/>
          <w:sz w:val="18"/>
          <w:szCs w:val="18"/>
          <w:color w:val="auto"/>
        </w:rPr>
        <w:t>We are a clinical-stage biotechnology company focused on the development and commercialization of novel cancer immunotherapy products designed to harness the power of a patient's own immune system to eradicate cancer. We do not have products approved for commercial sale and have not generated revenue from operations. As of December 31, 2022, we had an accumulated deficit of $1.6 billion. In addition, during the year ended December 31, 2022, we incurred a net loss of $395.9 million. Since our inception we have not generated any revenues from operations. We are preparing for the commercial launch of our products, if approved, in 2023. We do not expect to generate any meaningful product sales or royalty revenues until we have a product approved. We expect to incur significant additional operating losses in the future as we expand our development and clinical trial activities in support of demonstrating the effectiveness of our products.</w:t>
      </w:r>
    </w:p>
    <w:p>
      <w:pPr>
        <w:spacing w:after="0" w:line="165" w:lineRule="exact"/>
        <w:rPr>
          <w:sz w:val="20"/>
          <w:szCs w:val="20"/>
          <w:color w:val="auto"/>
        </w:rPr>
      </w:pPr>
    </w:p>
    <w:p>
      <w:pPr>
        <w:ind w:right="160" w:firstLine="492"/>
        <w:spacing w:after="0" w:line="263" w:lineRule="auto"/>
        <w:rPr>
          <w:sz w:val="20"/>
          <w:szCs w:val="20"/>
          <w:color w:val="auto"/>
        </w:rPr>
      </w:pPr>
      <w:r>
        <w:rPr>
          <w:rFonts w:ascii="Arial" w:cs="Arial" w:eastAsia="Arial" w:hAnsi="Arial"/>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130"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b w:val="1"/>
          <w:bCs w:val="1"/>
          <w:i w:val="1"/>
          <w:iCs w:val="1"/>
          <w:color w:val="auto"/>
        </w:rPr>
        <w:t>Our current line of business, and the biotechnology industry in which we operate, makes it difficult to evaluate our business plan and our prospects.</w:t>
      </w:r>
    </w:p>
    <w:p>
      <w:pPr>
        <w:spacing w:after="0" w:line="116" w:lineRule="exact"/>
        <w:rPr>
          <w:sz w:val="20"/>
          <w:szCs w:val="20"/>
          <w:color w:val="auto"/>
        </w:rPr>
      </w:pPr>
    </w:p>
    <w:p>
      <w:pPr>
        <w:ind w:right="200" w:firstLine="492"/>
        <w:spacing w:after="0" w:line="275" w:lineRule="auto"/>
        <w:rPr>
          <w:sz w:val="20"/>
          <w:szCs w:val="20"/>
          <w:color w:val="auto"/>
        </w:rPr>
      </w:pPr>
      <w:r>
        <w:rPr>
          <w:rFonts w:ascii="Arial" w:cs="Arial" w:eastAsia="Arial" w:hAnsi="Arial"/>
          <w:sz w:val="17"/>
          <w:szCs w:val="17"/>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spacing w:after="0" w:line="122" w:lineRule="exact"/>
        <w:rPr>
          <w:sz w:val="20"/>
          <w:szCs w:val="20"/>
          <w:color w:val="auto"/>
        </w:rPr>
      </w:pPr>
    </w:p>
    <w:p>
      <w:pPr>
        <w:ind w:right="80" w:firstLine="492"/>
        <w:spacing w:after="0" w:line="271" w:lineRule="auto"/>
        <w:rPr>
          <w:sz w:val="20"/>
          <w:szCs w:val="20"/>
          <w:color w:val="auto"/>
        </w:rPr>
      </w:pPr>
      <w:r>
        <w:rPr>
          <w:rFonts w:ascii="Arial" w:cs="Arial" w:eastAsia="Arial" w:hAnsi="Arial"/>
          <w:sz w:val="17"/>
          <w:szCs w:val="17"/>
          <w:color w:val="auto"/>
        </w:rPr>
        <w:t>We face the problems, expenses, difficulties, complications and delays normally associated with a pre-commercial biotechnology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pre-commercial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business.</w:t>
      </w:r>
    </w:p>
    <w:p>
      <w:pPr>
        <w:spacing w:after="0" w:line="124" w:lineRule="exact"/>
        <w:rPr>
          <w:sz w:val="20"/>
          <w:szCs w:val="20"/>
          <w:color w:val="auto"/>
        </w:rPr>
      </w:pPr>
    </w:p>
    <w:p>
      <w:pPr>
        <w:ind w:right="180" w:firstLine="492"/>
        <w:spacing w:after="0" w:line="342" w:lineRule="auto"/>
        <w:rPr>
          <w:sz w:val="20"/>
          <w:szCs w:val="20"/>
          <w:color w:val="auto"/>
        </w:rPr>
      </w:pPr>
      <w:r>
        <w:rPr>
          <w:rFonts w:ascii="Arial" w:cs="Arial" w:eastAsia="Arial" w:hAnsi="Arial"/>
          <w:sz w:val="16"/>
          <w:szCs w:val="16"/>
          <w:b w:val="1"/>
          <w:bCs w:val="1"/>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spacing w:after="0" w:line="70"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We currently have no products approved for commercial sale. We have invested a significant portion of our efforts and financial resources in the development of our current product candidates, including lifileucel, LN-145, IOV-4001, IOV-2001, and IOV-3001,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 successfully commercialize our product candidates. We currently generate no revenue from the sale of any products, and we may never be able to develop or commercialize a marketable product.</w:t>
      </w:r>
    </w:p>
    <w:p>
      <w:pPr>
        <w:spacing w:after="0" w:line="123" w:lineRule="exact"/>
        <w:rPr>
          <w:sz w:val="20"/>
          <w:szCs w:val="20"/>
          <w:color w:val="auto"/>
        </w:rPr>
      </w:pPr>
    </w:p>
    <w:p>
      <w:pPr>
        <w:ind w:right="260" w:firstLine="492"/>
        <w:spacing w:after="0" w:line="342"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generate any revenue from product sales. We cannot assure you that we will meet our timelines for our current or future clinical trials, which may be delayed or not completed for a number of reasons, including the negative impact of the COVID-19 pandemic.</w:t>
      </w:r>
    </w:p>
    <w:p>
      <w:pPr>
        <w:spacing w:after="0" w:line="92" w:lineRule="exact"/>
        <w:rPr>
          <w:sz w:val="20"/>
          <w:szCs w:val="20"/>
          <w:color w:val="auto"/>
        </w:rPr>
      </w:pPr>
    </w:p>
    <w:p>
      <w:pPr>
        <w:ind w:right="60" w:firstLine="492"/>
        <w:spacing w:after="0" w:line="293" w:lineRule="auto"/>
        <w:rPr>
          <w:sz w:val="20"/>
          <w:szCs w:val="20"/>
          <w:color w:val="auto"/>
        </w:rPr>
      </w:pPr>
      <w:r>
        <w:rPr>
          <w:rFonts w:ascii="Arial" w:cs="Arial" w:eastAsia="Arial" w:hAnsi="Arial"/>
          <w:sz w:val="16"/>
          <w:szCs w:val="16"/>
          <w:color w:val="auto"/>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U.S. in the foreseeable future, or at all. Any significant delays in obtaining approval for and commercializing our product candidates will have a material adverse impact on our business and financial condition.</w:t>
      </w:r>
    </w:p>
    <w:p>
      <w:pPr>
        <w:spacing w:after="0" w:line="110" w:lineRule="exact"/>
        <w:rPr>
          <w:sz w:val="20"/>
          <w:szCs w:val="20"/>
          <w:color w:val="auto"/>
        </w:rPr>
      </w:pPr>
    </w:p>
    <w:p>
      <w:pPr>
        <w:ind w:firstLine="492"/>
        <w:spacing w:after="0" w:line="289" w:lineRule="auto"/>
        <w:rPr>
          <w:sz w:val="20"/>
          <w:szCs w:val="20"/>
          <w:color w:val="auto"/>
        </w:rPr>
      </w:pPr>
      <w:r>
        <w:rPr>
          <w:rFonts w:ascii="Arial" w:cs="Arial" w:eastAsia="Arial" w:hAnsi="Arial"/>
          <w:sz w:val="16"/>
          <w:szCs w:val="16"/>
          <w:color w:val="auto"/>
        </w:rPr>
        <w:t>Prior to our initiation of a rolling BLA for lifileucel, we have not previously submitted a BLA to the FDA, or similar marketing application to comparable foreign authorities, for any product candidate, and we cannot be certain that our current or any future product candidates will be successful in clinical trials or receive regulatory approval. Furthermore, although we have not submitted our BLA with comparisons to existing or more established therapies and likewise do not expect the FDA to base its determination with respect to product approval on such comparisons, the FDA may factor these comparisons into its decision whether to approve our TIL therapies, including lifileucel for metastatic melanoma. The FDA may also consider its approvals of competing products, which may alter the treatment landscape concurrently with their review of our BLA filings, and which may lead to changes in the FDA’s review requirements that have been previously communicated to us and our interpretation thereof, including changes to requirements for clinical data or clinical trial design. Such changes could delay approval or necessitate withdrawal of our BLA filings.</w:t>
      </w:r>
    </w:p>
    <w:p>
      <w:pPr>
        <w:spacing w:after="0" w:line="112" w:lineRule="exact"/>
        <w:rPr>
          <w:sz w:val="20"/>
          <w:szCs w:val="20"/>
          <w:color w:val="auto"/>
        </w:rPr>
      </w:pPr>
    </w:p>
    <w:p>
      <w:pPr>
        <w:ind w:right="220" w:firstLine="492"/>
        <w:spacing w:after="0" w:line="263" w:lineRule="auto"/>
        <w:rPr>
          <w:sz w:val="20"/>
          <w:szCs w:val="20"/>
          <w:color w:val="auto"/>
        </w:rPr>
      </w:pPr>
      <w:r>
        <w:rPr>
          <w:rFonts w:ascii="Arial" w:cs="Arial" w:eastAsia="Arial" w:hAnsi="Arial"/>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30"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will depend on our ability to:</w:t>
      </w:r>
    </w:p>
    <w:p>
      <w:pPr>
        <w:spacing w:after="0" w:line="130" w:lineRule="exact"/>
        <w:rPr>
          <w:sz w:val="20"/>
          <w:szCs w:val="20"/>
          <w:color w:val="auto"/>
        </w:rPr>
      </w:pPr>
    </w:p>
    <w:p>
      <w:pPr>
        <w:ind w:left="680" w:right="660" w:hanging="321"/>
        <w:spacing w:after="0" w:line="273"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our product candidates competitively such that third-party and government reimbursement leads to broad product adoption;</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prepare a broad network of clinical sites for administration of our product;</w:t>
      </w:r>
    </w:p>
    <w:p>
      <w:pPr>
        <w:spacing w:after="0" w:line="49" w:lineRule="exact"/>
        <w:rPr>
          <w:rFonts w:ascii="Arial" w:cs="Arial" w:eastAsia="Arial" w:hAnsi="Arial"/>
          <w:sz w:val="18"/>
          <w:szCs w:val="18"/>
          <w:color w:val="auto"/>
        </w:rPr>
      </w:pPr>
    </w:p>
    <w:p>
      <w:pPr>
        <w:ind w:left="680" w:hanging="321"/>
        <w:spacing w:after="0" w:line="266"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ind w:left="680" w:right="480" w:hanging="321"/>
        <w:spacing w:after="0" w:line="273"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receive regulatory approval for the targeted patient population(s) and claims that are necessary or desirable for successful marketing;</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effectively commercialize our products;</w:t>
      </w:r>
    </w:p>
    <w:p>
      <w:pPr>
        <w:spacing w:after="0" w:line="49" w:lineRule="exact"/>
        <w:rPr>
          <w:rFonts w:ascii="Arial" w:cs="Arial" w:eastAsia="Arial" w:hAnsi="Arial"/>
          <w:sz w:val="18"/>
          <w:szCs w:val="18"/>
          <w:color w:val="auto"/>
        </w:rPr>
      </w:pPr>
    </w:p>
    <w:p>
      <w:pPr>
        <w:ind w:left="680" w:right="180" w:hanging="321"/>
        <w:spacing w:after="0" w:line="266"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manufacture product candidates through CMOs or in our own manufacturing facility in sufficient quantities and at acceptable quality and manufacturing cost to meet commercial demand at launch and thereafter;</w:t>
      </w:r>
    </w:p>
    <w:p>
      <w:pPr>
        <w:ind w:left="680" w:right="780" w:hanging="321"/>
        <w:spacing w:after="0" w:line="273"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pharmacies, and group purchasing organizations on commercially reasonable terms;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49"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launch commercial sales of our product candidates;</w:t>
      </w:r>
    </w:p>
    <w:p>
      <w:pPr>
        <w:spacing w:after="0" w:line="36" w:lineRule="exact"/>
        <w:rPr>
          <w:rFonts w:ascii="Arial" w:cs="Arial" w:eastAsia="Arial" w:hAnsi="Arial"/>
          <w:sz w:val="18"/>
          <w:szCs w:val="18"/>
          <w:color w:val="auto"/>
        </w:rPr>
      </w:pPr>
    </w:p>
    <w:p>
      <w:pPr>
        <w:ind w:left="680" w:right="100" w:hanging="321"/>
        <w:spacing w:after="0" w:line="263"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compliance with applicable laws, regulations, and guidance specific to commercialization including interactions with health care professionals, patient advocacy groups, and communication of health care economic information to payors and formularies;</w:t>
      </w:r>
    </w:p>
    <w:p>
      <w:pPr>
        <w:spacing w:after="0" w:line="8"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third-party payors;</w:t>
      </w:r>
    </w:p>
    <w:p>
      <w:pPr>
        <w:spacing w:after="0" w:line="49"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36" w:lineRule="exact"/>
        <w:rPr>
          <w:rFonts w:ascii="Arial" w:cs="Arial" w:eastAsia="Arial" w:hAnsi="Arial"/>
          <w:sz w:val="18"/>
          <w:szCs w:val="18"/>
          <w:color w:val="auto"/>
        </w:rPr>
      </w:pPr>
    </w:p>
    <w:p>
      <w:pPr>
        <w:ind w:left="680" w:hanging="321"/>
        <w:spacing w:after="0" w:line="273"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a distribution and logistics network capable of product storage within our specifications and regulatory guidelines, and further capable of timely product delivery to commercial clinical sites;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effectively compete with other therapies or competitors; and</w:t>
      </w:r>
    </w:p>
    <w:p>
      <w:pPr>
        <w:spacing w:after="0" w:line="49"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following launch, assure that our product will be used as directed and that additional unexpected safety risks will not arise.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face risks due to the need to rely on third parties, including clinical trial sites.</w:t>
      </w:r>
    </w:p>
    <w:p>
      <w:pPr>
        <w:spacing w:after="0" w:line="18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are heavily reliant on third parties to conduct our clinical trials. We have a limited history of conducting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As a result of the COVID-19 pandemic, institutions and research sites that currently conduct clinical trials may not be able to return to normal clinical trial operations for some time or may no longer choose to participate in studies in the future. Furthermore, clinical trials may be delayed or otherwise may be more difficult to execute in the future.</w:t>
      </w:r>
    </w:p>
    <w:p>
      <w:pPr>
        <w:spacing w:after="0" w:line="158"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We have recruited a team that has experience with clinical trials and in the development of preclinical assets for translation into clinical trials; however, we as a company have limited experience completing pivotal clinical trials for cell therapy products or developing preclinical immunotherapy products. In part because of this lack of experience, we cannot be certain that our ongoing pivotal clinical trials will be completed on time, if at all, will progress according to our plans or expectations, or that our planned clinical trials will be initiated or initiated in a timely manner, progress according to our plans or expectations, or be completed on time, if they are completed at all.</w:t>
      </w:r>
    </w:p>
    <w:p>
      <w:pPr>
        <w:spacing w:after="0" w:line="152" w:lineRule="exact"/>
        <w:rPr>
          <w:sz w:val="20"/>
          <w:szCs w:val="20"/>
          <w:color w:val="auto"/>
        </w:rPr>
      </w:pPr>
    </w:p>
    <w:p>
      <w:pPr>
        <w:ind w:right="20" w:firstLine="492"/>
        <w:spacing w:after="0" w:line="253" w:lineRule="auto"/>
        <w:rPr>
          <w:sz w:val="20"/>
          <w:szCs w:val="20"/>
          <w:color w:val="auto"/>
        </w:rPr>
      </w:pPr>
      <w:r>
        <w:rPr>
          <w:rFonts w:ascii="Arial" w:cs="Arial" w:eastAsia="Arial" w:hAnsi="Arial"/>
          <w:sz w:val="18"/>
          <w:szCs w:val="18"/>
          <w:color w:val="auto"/>
        </w:rPr>
        <w:t xml:space="preserve">Large-scale clinical trials require significant financial and management resources, and reliance on third-party clinical investigators, Contract Research Organizations, or CROs, Contract Manufacturing Organizations, or CMOs, or consultants. Relying on third-party clinical investigators, CROs or CMOs may force us to encounter delays and challenges that are outside of our control. In addition to manufacturing TIL at the </w:t>
      </w:r>
      <w:r>
        <w:rPr>
          <w:rFonts w:ascii="Arial" w:cs="Arial" w:eastAsia="Arial" w:hAnsi="Arial"/>
          <w:sz w:val="18"/>
          <w:szCs w:val="18"/>
          <w:i w:val="1"/>
          <w:iCs w:val="1"/>
          <w:color w:val="auto"/>
        </w:rPr>
        <w:t>i</w:t>
      </w:r>
      <w:r>
        <w:rPr>
          <w:rFonts w:ascii="Arial" w:cs="Arial" w:eastAsia="Arial" w:hAnsi="Arial"/>
          <w:sz w:val="18"/>
          <w:szCs w:val="18"/>
          <w:color w:val="auto"/>
        </w:rPr>
        <w:t>CTC, we rely on CMOs in the U.S. and Europe to manufacture TIL for use in our clinical trials and commercial use upon approval. We may not be able to demonstrate sufficient comparability between products manufactured at different facilities to allow for inclusion of the clinical results from patients treated with products from these different facilities, or with our own manufacturing facility, in our product registrations. Further, our CMOs may not be able to manufacture TIL or otherwise fulfill their obligations to us because of interruptions to their business, including the loss of their key staff or interruptions to their raw material supply.</w:t>
      </w:r>
    </w:p>
    <w:p>
      <w:pPr>
        <w:spacing w:after="0" w:line="156" w:lineRule="exact"/>
        <w:rPr>
          <w:sz w:val="20"/>
          <w:szCs w:val="20"/>
          <w:color w:val="auto"/>
        </w:rPr>
      </w:pPr>
    </w:p>
    <w:p>
      <w:pPr>
        <w:ind w:right="20" w:firstLine="492"/>
        <w:spacing w:after="0" w:line="289" w:lineRule="auto"/>
        <w:rPr>
          <w:sz w:val="20"/>
          <w:szCs w:val="20"/>
          <w:color w:val="auto"/>
        </w:rPr>
      </w:pPr>
      <w:r>
        <w:rPr>
          <w:rFonts w:ascii="Arial" w:cs="Arial" w:eastAsia="Arial" w:hAnsi="Arial"/>
          <w:sz w:val="16"/>
          <w:szCs w:val="16"/>
          <w:color w:val="auto"/>
        </w:rPr>
        <w:t>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39"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 not relieve us of these oversight responsibilities. For example, we will remain responsible for ensuring that each of our clinical trials is conducted in accordance with the general investigational plan and protocols for the clinical trial and for ensuring that our preclinical studies are conducted in accordance with Good Laboratory Practices, or GLPs,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clinical trial participants are protected. Regulatory authorities enforce these requirements through periodic inspections (including pre-approval inspections once a BLA is filed with the FDA) of clinical trial sponsors, clinical investigators, clinical trial sites and certain third parties including CMOs. If we, our CROs, clinical trial sites, or other third parties fail to comply with Good Clinical Practices, or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w:t>
      </w:r>
    </w:p>
    <w:p>
      <w:pPr>
        <w:sectPr>
          <w:pgSz w:w="11900" w:h="16838" w:orient="portrait"/>
          <w:cols w:equalWidth="0" w:num="1">
            <w:col w:w="9920"/>
          </w:cols>
          <w:pgMar w:left="980" w:top="665"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492"/>
        <w:spacing w:after="0" w:line="286" w:lineRule="auto"/>
        <w:rPr>
          <w:sz w:val="20"/>
          <w:szCs w:val="20"/>
          <w:color w:val="auto"/>
        </w:rPr>
      </w:pPr>
      <w:r>
        <w:rPr>
          <w:rFonts w:ascii="Arial" w:cs="Arial" w:eastAsia="Arial" w:hAnsi="Arial"/>
          <w:sz w:val="17"/>
          <w:szCs w:val="17"/>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spacing w:after="0" w:line="125"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In addition, our clinical trials must be conducted with product candidates that were produced under cGMP regulations.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w:t>
      </w:r>
    </w:p>
    <w:p>
      <w:pPr>
        <w:spacing w:after="0" w:line="161"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clinical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46"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If any of our relationships with these third parties terminate, we may not be able to enter into alternative arrangements or do so on commercially reasonable terms. Switching or adding additional contractors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pacing w:after="0" w:line="124"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We also rely on other third parties to manufacture and ship our products for the clinical trials that we conduct. Any performance failure on the part of these third parties could delay clinical development or marketing approval of our product candidates or any additional product candidates or commercialization of our product candidates, if approved, producing additional losses and depriving us of potential product revenue.</w:t>
      </w:r>
    </w:p>
    <w:p>
      <w:pPr>
        <w:spacing w:after="0" w:line="160" w:lineRule="exact"/>
        <w:rPr>
          <w:sz w:val="20"/>
          <w:szCs w:val="20"/>
          <w:color w:val="auto"/>
        </w:rPr>
      </w:pPr>
    </w:p>
    <w:p>
      <w:pPr>
        <w:ind w:right="140" w:firstLine="492"/>
        <w:spacing w:after="0" w:line="263"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our clinical trials on the timelines we expect and we may be required to conduct additional clinical trials or modify current or future clinical trials based on feedback we receive from the FDA.</w:t>
      </w:r>
    </w:p>
    <w:p>
      <w:pPr>
        <w:spacing w:after="0" w:line="143" w:lineRule="exact"/>
        <w:rPr>
          <w:sz w:val="20"/>
          <w:szCs w:val="20"/>
          <w:color w:val="auto"/>
        </w:rPr>
      </w:pPr>
    </w:p>
    <w:p>
      <w:pPr>
        <w:ind w:right="160" w:firstLine="492"/>
        <w:spacing w:after="0" w:line="286" w:lineRule="auto"/>
        <w:rPr>
          <w:sz w:val="20"/>
          <w:szCs w:val="20"/>
          <w:color w:val="auto"/>
        </w:rPr>
      </w:pPr>
      <w:r>
        <w:rPr>
          <w:rFonts w:ascii="Arial" w:cs="Arial" w:eastAsia="Arial" w:hAnsi="Arial"/>
          <w:sz w:val="16"/>
          <w:szCs w:val="16"/>
          <w:color w:val="auto"/>
        </w:rPr>
        <w:t>Clinical testing is expensive, time consuming, and subject to uncertainty. We cannot guarantee that any current or future clinical trials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have completed enrollment in the pivotal clinical trial for melanoma, C-144-</w:t>
      </w:r>
    </w:p>
    <w:p>
      <w:pPr>
        <w:spacing w:after="0" w:line="1" w:lineRule="exact"/>
        <w:rPr>
          <w:sz w:val="20"/>
          <w:szCs w:val="20"/>
          <w:color w:val="auto"/>
        </w:rPr>
      </w:pPr>
    </w:p>
    <w:p>
      <w:pPr>
        <w:ind w:right="20" w:firstLine="8"/>
        <w:spacing w:after="0" w:line="288" w:lineRule="auto"/>
        <w:tabs>
          <w:tab w:leader="none" w:pos="27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June 2022, we announced that initial Cohort 4 data read by the independent review committee, or IRC, met the primary endpoint in this clinical trial. We plan to initiate clinical trials in new indications, and new cohorts in existing clinical trials. Even as these clinical trials progress, issues may arise that could require us to suspend or terminate such clinical trials or could cause the results of one cohort to differ from a prior cohort. For example, we may experience slower than anticipated enrollment in our pivotal clinical trials, which may consequently delay our BLA filing timelines or permit competitors to obtain approvals that may alter our BLA filing strategy. A failure of one or more clinical trials can occur at any stage of testing, and our future clinical studies may not be successful. Events that may prevent successful or timely initiation or completion of clinical development, or product approval include: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20" w:hanging="320"/>
        <w:spacing w:after="0" w:line="255"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conduct a clinical trial at a prospective clinical trial site, or amend clinical trial protocols, or regulators or IRBs may require that we modify or amend our clinical trial protocols;</w:t>
      </w:r>
    </w:p>
    <w:p>
      <w:pPr>
        <w:spacing w:after="0" w:line="2"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reaching a consensus or inability to obtain agreement with regulatory agencies on clinical trial design;</w:t>
      </w:r>
    </w:p>
    <w:p>
      <w:pPr>
        <w:spacing w:after="0" w:line="9" w:lineRule="exact"/>
        <w:rPr>
          <w:rFonts w:ascii="Arial" w:cs="Arial" w:eastAsia="Arial" w:hAnsi="Arial"/>
          <w:sz w:val="18"/>
          <w:szCs w:val="18"/>
          <w:color w:val="auto"/>
        </w:rPr>
      </w:pPr>
    </w:p>
    <w:p>
      <w:pPr>
        <w:jc w:val="both"/>
        <w:ind w:left="820" w:right="8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 clinical trial design or our interpretation of data from preclinical studies and clinical trials or find that a product candidate’s benefits do not outweigh its safety risks;</w:t>
      </w:r>
    </w:p>
    <w:p>
      <w:pPr>
        <w:spacing w:after="0" w:line="1" w:lineRule="exact"/>
        <w:rPr>
          <w:rFonts w:ascii="Arial" w:cs="Arial" w:eastAsia="Arial" w:hAnsi="Arial"/>
          <w:sz w:val="18"/>
          <w:szCs w:val="18"/>
          <w:color w:val="auto"/>
        </w:rPr>
      </w:pPr>
    </w:p>
    <w:p>
      <w:pPr>
        <w:ind w:left="820" w:right="42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jc w:val="both"/>
        <w:ind w:left="820" w:right="4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trials;</w:t>
      </w:r>
    </w:p>
    <w:p>
      <w:pPr>
        <w:spacing w:after="0" w:line="1" w:lineRule="exact"/>
        <w:rPr>
          <w:rFonts w:ascii="Arial" w:cs="Arial" w:eastAsia="Arial" w:hAnsi="Arial"/>
          <w:sz w:val="18"/>
          <w:szCs w:val="18"/>
          <w:color w:val="auto"/>
        </w:rPr>
      </w:pPr>
    </w:p>
    <w:p>
      <w:pPr>
        <w:ind w:left="820" w:right="380" w:hanging="320"/>
        <w:spacing w:after="0" w:line="281" w:lineRule="auto"/>
        <w:tabs>
          <w:tab w:leader="none" w:pos="814"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delays in or failure to reach an agreement on acceptable terms with prospective CROs and clinical trial sites, the terms of which can be subject to extensive negotiation and may vary significantly among different CROs and clinical trial sites;</w:t>
      </w:r>
    </w:p>
    <w:p>
      <w:pPr>
        <w:spacing w:after="0" w:line="1" w:lineRule="exact"/>
        <w:rPr>
          <w:rFonts w:ascii="Arial" w:cs="Arial" w:eastAsia="Arial" w:hAnsi="Arial"/>
          <w:sz w:val="16"/>
          <w:szCs w:val="16"/>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trial site;</w:t>
      </w:r>
    </w:p>
    <w:p>
      <w:pPr>
        <w:spacing w:after="0" w:line="9" w:lineRule="exact"/>
        <w:rPr>
          <w:rFonts w:ascii="Arial" w:cs="Arial" w:eastAsia="Arial" w:hAnsi="Arial"/>
          <w:sz w:val="18"/>
          <w:szCs w:val="18"/>
          <w:color w:val="auto"/>
        </w:rPr>
      </w:pPr>
    </w:p>
    <w:p>
      <w:pPr>
        <w:ind w:left="820" w:right="40" w:hanging="320"/>
        <w:spacing w:after="0" w:line="281" w:lineRule="auto"/>
        <w:tabs>
          <w:tab w:leader="none" w:pos="814"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spacing w:after="0" w:line="2" w:lineRule="exact"/>
        <w:rPr>
          <w:rFonts w:ascii="Arial" w:cs="Arial" w:eastAsia="Arial" w:hAnsi="Arial"/>
          <w:sz w:val="16"/>
          <w:szCs w:val="16"/>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trials;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in adding new investigators or clinical trial sites, or withdrawal of clinical trial sites from a clinical trial;</w:t>
      </w:r>
    </w:p>
    <w:p>
      <w:pPr>
        <w:spacing w:after="0" w:line="9" w:lineRule="exact"/>
        <w:rPr>
          <w:rFonts w:ascii="Arial" w:cs="Arial" w:eastAsia="Arial" w:hAnsi="Arial"/>
          <w:sz w:val="18"/>
          <w:szCs w:val="18"/>
          <w:color w:val="auto"/>
        </w:rPr>
      </w:pPr>
    </w:p>
    <w:p>
      <w:pPr>
        <w:ind w:left="820" w:right="10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or change in strategic direction for an indication resulting from differences in results between cohorts in a clinical trial, such as Cohort 2 and Cohort 4 of the C-144-01 clinical trial or the previously disclosed preliminary results for the C-145-04 clinical trial and the final patient population and results, including differences in patient population, such as differences that might arise due to the impact of the existing immunotherapy treatment landscape, or from different interpretations of investigator results by IRC;</w:t>
      </w:r>
    </w:p>
    <w:p>
      <w:pPr>
        <w:spacing w:after="0" w:line="1"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by our CROs, clinical trial sites, patients, or other third parties, or us to adhere to clinical trial requirements, including regulatory, contractual or protocol requirements;</w:t>
      </w:r>
    </w:p>
    <w:p>
      <w:pPr>
        <w:ind w:left="820" w:hanging="320"/>
        <w:spacing w:after="0"/>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failure to perform in accordance with the FDA’s cGCP requirements, or applicable regulatory guidelines in other countries;</w:t>
      </w:r>
    </w:p>
    <w:p>
      <w:pPr>
        <w:spacing w:after="0" w:line="32" w:lineRule="exact"/>
        <w:rPr>
          <w:rFonts w:ascii="Arial" w:cs="Arial" w:eastAsia="Arial" w:hAnsi="Arial"/>
          <w:sz w:val="16"/>
          <w:szCs w:val="16"/>
          <w:color w:val="auto"/>
        </w:rPr>
      </w:pPr>
    </w:p>
    <w:p>
      <w:pPr>
        <w:ind w:left="820" w:right="12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or enrollment in these clinical trials may be slower than we anticipate, potentially affecting our timelines for approval of our product candidates;</w:t>
      </w:r>
    </w:p>
    <w:p>
      <w:pPr>
        <w:spacing w:after="0" w:line="1"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patients that enroll in our studies may misrepresent their eligibility or may otherwise not comply with the clinical trial protocol, resulting in the need to drop such patients from the clinical trial, increase the needed enrollment size for the clinical trial or extend the clinical trial’s duration;</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patients dropping out of a clinical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occurrence of adverse events associated with the product candidate that are viewed to outweigh its potential benefits;</w:t>
      </w:r>
    </w:p>
    <w:p>
      <w:pPr>
        <w:spacing w:after="0" w:line="20" w:lineRule="exact"/>
        <w:rPr>
          <w:rFonts w:ascii="Arial" w:cs="Arial" w:eastAsia="Arial" w:hAnsi="Arial"/>
          <w:sz w:val="17"/>
          <w:szCs w:val="17"/>
          <w:color w:val="auto"/>
        </w:rPr>
      </w:pPr>
    </w:p>
    <w:p>
      <w:pPr>
        <w:ind w:left="820" w:right="320" w:hanging="320"/>
        <w:spacing w:after="0" w:line="281" w:lineRule="auto"/>
        <w:tabs>
          <w:tab w:leader="none" w:pos="814"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regulatory requirements and guidance that require amending or submitting new clinical protocols to regulatory authorities and IRBs, and which may cause delays in our development programs, or changes to regulatory review times;</w:t>
      </w:r>
    </w:p>
    <w:p>
      <w:pPr>
        <w:spacing w:after="0" w:line="1" w:lineRule="exact"/>
        <w:rPr>
          <w:rFonts w:ascii="Arial" w:cs="Arial" w:eastAsia="Arial" w:hAnsi="Arial"/>
          <w:sz w:val="16"/>
          <w:szCs w:val="16"/>
          <w:color w:val="auto"/>
        </w:rPr>
      </w:pPr>
    </w:p>
    <w:p>
      <w:pPr>
        <w:ind w:left="820" w:right="36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ind w:left="820" w:right="2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clinical trials;</w:t>
      </w:r>
    </w:p>
    <w:p>
      <w:pPr>
        <w:ind w:left="820" w:right="22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 or we may have insufficient funds for a clinical trial or to pay the substantial user fees required by the FDA upon the filing of a BLA;</w:t>
      </w:r>
    </w:p>
    <w:p>
      <w:pPr>
        <w:ind w:left="820" w:right="38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trials studies, or preclinical studies, or abandon product development programs;</w:t>
      </w:r>
    </w:p>
    <w:p>
      <w:pPr>
        <w:spacing w:after="0" w:line="1" w:lineRule="exact"/>
        <w:rPr>
          <w:rFonts w:ascii="Arial" w:cs="Arial" w:eastAsia="Arial" w:hAnsi="Arial"/>
          <w:sz w:val="18"/>
          <w:szCs w:val="18"/>
          <w:color w:val="auto"/>
        </w:rPr>
      </w:pPr>
    </w:p>
    <w:p>
      <w:pPr>
        <w:ind w:left="820" w:right="60" w:hanging="320"/>
        <w:spacing w:after="0" w:line="295" w:lineRule="auto"/>
        <w:tabs>
          <w:tab w:leader="none" w:pos="814"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early results from our clinical trials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sectPr>
          <w:pgSz w:w="11900" w:h="16838" w:orient="portrait"/>
          <w:cols w:equalWidth="0" w:num="1">
            <w:col w:w="9900"/>
          </w:cols>
          <w:pgMar w:left="980" w:top="665" w:right="1019"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20" w:right="40" w:hanging="320"/>
        <w:spacing w:after="0" w:line="258"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1" w:lineRule="exact"/>
        <w:rPr>
          <w:rFonts w:ascii="Arial" w:cs="Arial" w:eastAsia="Arial" w:hAnsi="Arial"/>
          <w:sz w:val="18"/>
          <w:szCs w:val="18"/>
          <w:color w:val="auto"/>
        </w:rPr>
      </w:pPr>
    </w:p>
    <w:p>
      <w:pPr>
        <w:ind w:left="820" w:right="560" w:hanging="320"/>
        <w:spacing w:after="0" w:line="250"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may be changes to the therapeutics or their regulatory status which we are administering in combination with our product candidates;</w:t>
      </w:r>
    </w:p>
    <w:p>
      <w:pPr>
        <w:ind w:left="840" w:hanging="319"/>
        <w:spacing w:after="0"/>
        <w:tabs>
          <w:tab w:leader="none" w:pos="8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delays in patient enrollment due to the ongoing COVID-19 pandemic;</w:t>
      </w:r>
    </w:p>
    <w:p>
      <w:pPr>
        <w:spacing w:after="0" w:line="9" w:lineRule="exact"/>
        <w:rPr>
          <w:rFonts w:ascii="Arial" w:cs="Arial" w:eastAsia="Arial" w:hAnsi="Arial"/>
          <w:sz w:val="18"/>
          <w:szCs w:val="18"/>
          <w:color w:val="auto"/>
        </w:rPr>
      </w:pPr>
    </w:p>
    <w:p>
      <w:pPr>
        <w:ind w:left="820" w:right="180" w:hanging="320"/>
        <w:spacing w:after="0" w:line="250"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manufacturing facilities for clinical and future commercial supplies;</w:t>
      </w:r>
    </w:p>
    <w:p>
      <w:pPr>
        <w:ind w:left="820" w:right="800" w:hanging="320"/>
        <w:spacing w:after="0" w:line="250"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comparable regulatory authorities may take longer than we anticipate making a decision on our product candidates;</w:t>
      </w:r>
    </w:p>
    <w:p>
      <w:pPr>
        <w:ind w:left="820" w:hanging="320"/>
        <w:spacing w:after="0" w:line="250"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transfer of our manufacturing processes to our CMOs or other larger-scale facilities operated by a CMO or by us and delays or failure by our CMOs or us to make any necessary changes to such manufacturing process;</w:t>
      </w:r>
    </w:p>
    <w:p>
      <w:pPr>
        <w:ind w:left="820" w:right="260" w:hanging="320"/>
        <w:spacing w:after="0" w:line="250"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spacing w:after="0" w:line="1" w:lineRule="exact"/>
        <w:rPr>
          <w:rFonts w:ascii="Arial" w:cs="Arial" w:eastAsia="Arial" w:hAnsi="Arial"/>
          <w:sz w:val="18"/>
          <w:szCs w:val="18"/>
          <w:color w:val="auto"/>
        </w:rPr>
      </w:pPr>
    </w:p>
    <w:p>
      <w:pPr>
        <w:jc w:val="both"/>
        <w:ind w:left="820" w:right="500" w:hanging="320"/>
        <w:spacing w:after="0" w:line="255"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 including as a result of any quality issues associated with the contract manufacturer.</w:t>
      </w:r>
    </w:p>
    <w:p>
      <w:pPr>
        <w:spacing w:after="0" w:line="149"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clinical trials, contract negotiations, the need to obtain agreement from multiple parties, and the necessity of obtaining additional approvals for therapeutics used in the combination clinical trials. These combination therapies will require additional testing and clinical trials will require additional FDA regulatory approval and will increase our future cost of expenses.</w:t>
      </w:r>
    </w:p>
    <w:p>
      <w:pPr>
        <w:spacing w:after="0" w:line="107" w:lineRule="exact"/>
        <w:rPr>
          <w:sz w:val="20"/>
          <w:szCs w:val="20"/>
          <w:color w:val="auto"/>
        </w:rPr>
      </w:pPr>
    </w:p>
    <w:p>
      <w:pPr>
        <w:ind w:right="60" w:firstLine="492"/>
        <w:spacing w:after="0" w:line="289"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FDA approval or notification, may not have their desired effect, or the FDA may not accept data from prior versions of the product to support an application, delaying our clinical trials or programs or necessitating additional clinical trials or preclinical studies. For example, while our first BLA submission includes our Gen 2 manufacturing process, in the future we may seek to commercialize other manufacturing processes, such as our Gen 3 manufacturing process or our PD-1 selected TIL manufacturing process. We may find that commercialization of these manufacturing processes has unintended consequences that necessitate additional development and manufacturing work or additional clinical trials and preclinical studies, or results in a refusal to file or non-approval of a BLA.</w:t>
      </w:r>
    </w:p>
    <w:p>
      <w:pPr>
        <w:spacing w:after="0" w:line="112" w:lineRule="exact"/>
        <w:rPr>
          <w:sz w:val="20"/>
          <w:szCs w:val="20"/>
          <w:color w:val="auto"/>
        </w:rPr>
      </w:pPr>
    </w:p>
    <w:p>
      <w:pPr>
        <w:ind w:right="60" w:firstLine="492"/>
        <w:spacing w:after="0" w:line="263" w:lineRule="auto"/>
        <w:rPr>
          <w:sz w:val="20"/>
          <w:szCs w:val="20"/>
          <w:color w:val="auto"/>
        </w:rPr>
      </w:pPr>
      <w:r>
        <w:rPr>
          <w:rFonts w:ascii="Arial" w:cs="Arial" w:eastAsia="Arial" w:hAnsi="Arial"/>
          <w:sz w:val="18"/>
          <w:szCs w:val="18"/>
          <w:color w:val="auto"/>
        </w:rPr>
        <w:t>Clinical trial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30"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never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It may take longer and cost more to complete our clinical trials than we project, or we may not be able to complete them at all.</w:t>
      </w:r>
    </w:p>
    <w:p>
      <w:pPr>
        <w:spacing w:after="0" w:line="206" w:lineRule="exact"/>
        <w:rPr>
          <w:sz w:val="20"/>
          <w:szCs w:val="20"/>
          <w:color w:val="auto"/>
        </w:rPr>
      </w:pPr>
    </w:p>
    <w:p>
      <w:pPr>
        <w:jc w:val="both"/>
        <w:ind w:right="80" w:firstLine="492"/>
        <w:spacing w:after="0" w:line="263" w:lineRule="auto"/>
        <w:rPr>
          <w:sz w:val="20"/>
          <w:szCs w:val="20"/>
          <w:color w:val="auto"/>
        </w:rPr>
      </w:pPr>
      <w:r>
        <w:rPr>
          <w:rFonts w:ascii="Arial" w:cs="Arial" w:eastAsia="Arial" w:hAnsi="Arial"/>
          <w:sz w:val="18"/>
          <w:szCs w:val="18"/>
          <w:color w:val="auto"/>
        </w:rPr>
        <w:t>For budgeting and planning purposes, we have projected the date for the commencement of future clinical trials, and continuation and completion of our ongoing clinical trials. However, a number of factors, including scheduling conflicts with participating clinicians and clinical institutions, difficulties in identifying and enrolling patients who meet clinical trial eligibility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criteria, and the ongoing COVID-19 pandemic, may cause significant delays. We may not commence or complete clinical trials involving any of our products as projected or may not conduct them successfully.</w:t>
      </w:r>
    </w:p>
    <w:p>
      <w:pPr>
        <w:spacing w:after="0" w:line="116" w:lineRule="exact"/>
        <w:rPr>
          <w:sz w:val="20"/>
          <w:szCs w:val="20"/>
          <w:color w:val="auto"/>
        </w:rPr>
      </w:pPr>
    </w:p>
    <w:p>
      <w:pPr>
        <w:ind w:right="120" w:firstLine="492"/>
        <w:spacing w:after="0" w:line="272" w:lineRule="auto"/>
        <w:rPr>
          <w:sz w:val="20"/>
          <w:szCs w:val="20"/>
          <w:color w:val="auto"/>
        </w:rPr>
      </w:pPr>
      <w:r>
        <w:rPr>
          <w:rFonts w:ascii="Arial" w:cs="Arial" w:eastAsia="Arial" w:hAnsi="Arial"/>
          <w:sz w:val="17"/>
          <w:szCs w:val="17"/>
          <w:color w:val="auto"/>
        </w:rPr>
        <w:t>We are currently enrolling six company-sponsored clinical trials to assess the overall safety and efficacy of Iovance TIL monotherapy and TIL combinations in patients with melanoma, cervical, head and neck and lung cancers across late-line and early treatment settings, as well as our genetically modified TIL therapy IOV-4001 and our peripheral blood lymphocyte, or PBL, technology for hematological malignancies. However, we may experience difficulties in patient enrollment in our clinical trials for a variety of reasons. Our ability to enroll or treat patients in our other studies, or the duration or costs of those studies, could be affected by multiple factors, including, preliminary clinical results, which may include efficacy and safety results from our ongoing Phase 2 studies, but may not be reflected in the final analyses of these clinical trials.</w:t>
      </w:r>
    </w:p>
    <w:p>
      <w:pPr>
        <w:spacing w:after="0" w:line="123" w:lineRule="exact"/>
        <w:rPr>
          <w:sz w:val="20"/>
          <w:szCs w:val="20"/>
          <w:color w:val="auto"/>
        </w:rPr>
      </w:pPr>
    </w:p>
    <w:p>
      <w:pPr>
        <w:ind w:right="60" w:firstLine="492"/>
        <w:spacing w:after="0" w:line="267" w:lineRule="auto"/>
        <w:rPr>
          <w:sz w:val="20"/>
          <w:szCs w:val="20"/>
          <w:color w:val="auto"/>
        </w:rPr>
      </w:pPr>
      <w:r>
        <w:rPr>
          <w:rFonts w:ascii="Arial" w:cs="Arial" w:eastAsia="Arial" w:hAnsi="Arial"/>
          <w:sz w:val="17"/>
          <w:szCs w:val="17"/>
          <w:color w:val="auto"/>
        </w:rPr>
        <w:t>For example, our current clinical trials utilize an “open-label” trial design. An open-label trial is one where both the patient and investigator know whether the patient is receiving the test article or either an existing approved drug or placebo, which has the potential to create selection bias in the investigators. In our Phase 2 open-label studies, the investigators have significant discretion over the selection of patient participants. Although preliminary data from certain clinical trials were generally positive, that data may not necessarily be representative of interim or final results, as new patients are cycled through the applicable treatment regimes. As the clinical trials continue, the investigators may prioritize patients with more progressed forms of cancer than the initial patient population, based on the success or perceived success of that initial population. Patients with more progressed forms of cancer may be less responsive to treatment, and accordingly, interim efficacy data may show a decline in patient response rate or other assessment metrics. As the trials continue, investigators 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clinical trials and replaced by patients with less advanced forms of cancer. This opportunity for investigator selection bias in our clinical trials as a result of open-label design may not be adequately handled and may cause a decline in or distortion of clinical trial data from our preliminary results. Depending on the outcome of our open-label studies, we may need to conduct one or more follow-up or supporting studies in order to successfully develop our products for FDA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spacing w:after="0" w:line="137"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Furthermore, the timely completion of clinical trials in accordance with their protocols depends, among other things, on our ability to enroll a sufficient number of patients who remain in the clinical trial until its conclusion, including the ability of us or our collaborators to conduct clinical trials under the constraints of the COVID-19 pandemic.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Accordingly, we cannot guarantee that the clinical trial will progress as planned or as scheduled. Delays in patient enrollment may result in increased costs or may affect the timing or outcome of our ongoing clinical trial and planned clinical trials, which could prevent completion of these clinical trials and adversely affect our ability to advance the development of our product candidates.</w:t>
      </w:r>
    </w:p>
    <w:p>
      <w:pPr>
        <w:spacing w:after="0" w:line="140"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60" w:lineRule="exact"/>
        <w:rPr>
          <w:sz w:val="20"/>
          <w:szCs w:val="20"/>
          <w:color w:val="auto"/>
        </w:rPr>
      </w:pPr>
    </w:p>
    <w:p>
      <w:pPr>
        <w:ind w:right="300" w:firstLine="492"/>
        <w:spacing w:after="0" w:line="279" w:lineRule="auto"/>
        <w:rPr>
          <w:sz w:val="20"/>
          <w:szCs w:val="20"/>
          <w:color w:val="auto"/>
        </w:rPr>
      </w:pPr>
      <w:r>
        <w:rPr>
          <w:rFonts w:ascii="Arial" w:cs="Arial" w:eastAsia="Arial" w:hAnsi="Arial"/>
          <w:sz w:val="17"/>
          <w:szCs w:val="17"/>
          <w:color w:val="auto"/>
        </w:rPr>
        <w:t xml:space="preserve">We currently anticipate that we will have to rely on our CMOs to supplement the manufacturing capacity at the </w:t>
      </w:r>
      <w:r>
        <w:rPr>
          <w:rFonts w:ascii="Arial" w:cs="Arial" w:eastAsia="Arial" w:hAnsi="Arial"/>
          <w:sz w:val="17"/>
          <w:szCs w:val="17"/>
          <w:i w:val="1"/>
          <w:iCs w:val="1"/>
          <w:color w:val="auto"/>
        </w:rPr>
        <w:t>i</w:t>
      </w:r>
      <w:r>
        <w:rPr>
          <w:rFonts w:ascii="Arial" w:cs="Arial" w:eastAsia="Arial" w:hAnsi="Arial"/>
          <w:sz w:val="17"/>
          <w:szCs w:val="17"/>
          <w:color w:val="auto"/>
        </w:rPr>
        <w:t>CTC in manufacturing our adoptive cell therapy and biologic products for clinical trials. If they fail to commence or complete, or experiences delays in, manufacturing our adoptive cell therapy and other biologic products, our planned clinical trials will be delayed, which will adversely affect our stock price and our ability to conduct our business as currently planned.</w:t>
      </w:r>
    </w:p>
    <w:p>
      <w:pPr>
        <w:spacing w:after="0" w:line="131"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30" w:lineRule="exact"/>
        <w:rPr>
          <w:sz w:val="20"/>
          <w:szCs w:val="20"/>
          <w:color w:val="auto"/>
        </w:rPr>
      </w:pPr>
    </w:p>
    <w:p>
      <w:pPr>
        <w:ind w:right="60" w:firstLine="492"/>
        <w:spacing w:after="0" w:line="275" w:lineRule="auto"/>
        <w:rPr>
          <w:sz w:val="20"/>
          <w:szCs w:val="20"/>
          <w:color w:val="auto"/>
        </w:rPr>
      </w:pPr>
      <w:r>
        <w:rPr>
          <w:rFonts w:ascii="Arial" w:cs="Arial" w:eastAsia="Arial" w:hAnsi="Arial"/>
          <w:sz w:val="17"/>
          <w:szCs w:val="17"/>
          <w:color w:val="auto"/>
        </w:rPr>
        <w:t>Clinical trials are expensive and difficult to design and implement, in part because they are subject to rigorous regulatory requirements. Because our product candidates include candidates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w:t>
      </w:r>
    </w:p>
    <w:p>
      <w:pPr>
        <w:sectPr>
          <w:pgSz w:w="11900" w:h="16838" w:orient="portrait"/>
          <w:cols w:equalWidth="0" w:num="1">
            <w:col w:w="9920"/>
          </w:cols>
          <w:pgMar w:left="980" w:top="665"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third-party payors for some or all of these costs for patients enrolled in our clinical trials, and we may be required by those clinical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clinical trials, and the number of clinical trials that we may need to conduct, our overall clinical trial costs may be higher than for more conventional treatments.</w:t>
      </w:r>
    </w:p>
    <w:p>
      <w:pPr>
        <w:spacing w:after="0" w:line="137"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43" w:lineRule="exact"/>
        <w:rPr>
          <w:sz w:val="20"/>
          <w:szCs w:val="20"/>
          <w:color w:val="auto"/>
        </w:rPr>
      </w:pPr>
    </w:p>
    <w:p>
      <w:pPr>
        <w:ind w:firstLine="492"/>
        <w:spacing w:after="0" w:line="284" w:lineRule="auto"/>
        <w:rPr>
          <w:sz w:val="20"/>
          <w:szCs w:val="20"/>
          <w:color w:val="auto"/>
        </w:rPr>
      </w:pPr>
      <w:r>
        <w:rPr>
          <w:rFonts w:ascii="Arial" w:cs="Arial" w:eastAsia="Arial" w:hAnsi="Arial"/>
          <w:sz w:val="16"/>
          <w:szCs w:val="16"/>
          <w:color w:val="auto"/>
        </w:rPr>
        <w:t>The clinical trials of our product candidates are, and the manufacturing and marketing of our products will be, subject to extensive and rigorous review and regulation by numerous government authorities in the U.S.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clinical trial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trials may not be representative of the final clinical trial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141"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clinical trials. Most product candidates that begin clinical trials are never approved by regulatory authorities for commercialization.</w:t>
      </w:r>
    </w:p>
    <w:p>
      <w:pPr>
        <w:spacing w:after="0" w:line="137"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test our product candidates for use with other oncology products, the design, implementation, and interpretation of the clinical trials necessary for marketing approval may be more complex than if we were developing our product candidates alone.</w:t>
      </w:r>
    </w:p>
    <w:p>
      <w:pPr>
        <w:spacing w:after="0" w:line="150" w:lineRule="exact"/>
        <w:rPr>
          <w:sz w:val="20"/>
          <w:szCs w:val="20"/>
          <w:color w:val="auto"/>
        </w:rPr>
      </w:pPr>
    </w:p>
    <w:p>
      <w:pPr>
        <w:ind w:right="80" w:firstLine="492"/>
        <w:spacing w:after="0" w:line="257" w:lineRule="auto"/>
        <w:rPr>
          <w:sz w:val="20"/>
          <w:szCs w:val="20"/>
          <w:color w:val="auto"/>
        </w:rPr>
      </w:pPr>
      <w:r>
        <w:rPr>
          <w:rFonts w:ascii="Arial" w:cs="Arial" w:eastAsia="Arial" w:hAnsi="Arial"/>
          <w:sz w:val="18"/>
          <w:szCs w:val="18"/>
          <w:color w:val="auto"/>
        </w:rPr>
        <w:t>In addition, even if such clinical trials are successfully completed, we cannot guarantee that the FDA or foreign regulatory authorities will interpret the results as we do, and more clinical trials could be required before we submit our product candidates for approval.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w:t>
      </w:r>
    </w:p>
    <w:p>
      <w:pPr>
        <w:spacing w:after="0" w:line="147" w:lineRule="exact"/>
        <w:rPr>
          <w:sz w:val="20"/>
          <w:szCs w:val="20"/>
          <w:color w:val="auto"/>
        </w:rPr>
      </w:pPr>
    </w:p>
    <w:p>
      <w:pPr>
        <w:ind w:right="340" w:firstLine="492"/>
        <w:spacing w:after="0" w:line="342" w:lineRule="auto"/>
        <w:rPr>
          <w:sz w:val="20"/>
          <w:szCs w:val="20"/>
          <w:color w:val="auto"/>
        </w:rPr>
      </w:pPr>
      <w:r>
        <w:rPr>
          <w:rFonts w:ascii="Arial" w:cs="Arial" w:eastAsia="Arial" w:hAnsi="Arial"/>
          <w:sz w:val="16"/>
          <w:szCs w:val="16"/>
          <w:color w:val="auto"/>
        </w:rPr>
        <w:t>We have reported preliminary results for clinical trials of our product candidates, including TIL for the treatment of metastatic melanoma, cervical cancer, and head and neck cancers. These preliminary results, which include assessments of efficacy such as</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trials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52" w:lineRule="exact"/>
        <w:rPr>
          <w:sz w:val="20"/>
          <w:szCs w:val="20"/>
          <w:color w:val="auto"/>
        </w:rPr>
      </w:pPr>
    </w:p>
    <w:p>
      <w:pPr>
        <w:ind w:right="440" w:firstLine="492"/>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43" w:lineRule="exact"/>
        <w:rPr>
          <w:sz w:val="20"/>
          <w:szCs w:val="20"/>
          <w:color w:val="auto"/>
        </w:rPr>
      </w:pPr>
    </w:p>
    <w:p>
      <w:pPr>
        <w:ind w:firstLine="492"/>
        <w:spacing w:after="0" w:line="311"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or similar patients from a Phase 2 clinical trial to a pivotal program, who remain in the clinical trial until its conclusion. We may experience difficulties or delays in patient enrollment in our clinical trials for a variety of reasons, including:</w:t>
      </w:r>
    </w:p>
    <w:p>
      <w:pPr>
        <w:spacing w:after="0" w:line="108" w:lineRule="exact"/>
        <w:rPr>
          <w:sz w:val="20"/>
          <w:szCs w:val="20"/>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03"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of the clinical trial population required for analysis of the clinical trial’s primary endpoints;</w:t>
      </w:r>
    </w:p>
    <w:p>
      <w:pPr>
        <w:spacing w:after="0" w:line="103"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proximity of patients to clinical trial sites;</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03"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 and the effectiveness of recruiting publicity;</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03"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cell-based immunotherapy;</w:t>
      </w:r>
    </w:p>
    <w:p>
      <w:pPr>
        <w:spacing w:after="0" w:line="90" w:lineRule="exact"/>
        <w:rPr>
          <w:rFonts w:ascii="Arial" w:cs="Arial" w:eastAsia="Arial" w:hAnsi="Arial"/>
          <w:sz w:val="18"/>
          <w:szCs w:val="18"/>
          <w:color w:val="auto"/>
        </w:rPr>
      </w:pPr>
    </w:p>
    <w:p>
      <w:pPr>
        <w:jc w:val="both"/>
        <w:ind w:left="820" w:right="180" w:hanging="320"/>
        <w:spacing w:after="0" w:line="263"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48" w:lineRule="exact"/>
        <w:rPr>
          <w:rFonts w:ascii="Arial" w:cs="Arial" w:eastAsia="Arial" w:hAnsi="Arial"/>
          <w:sz w:val="18"/>
          <w:szCs w:val="18"/>
          <w:color w:val="auto"/>
        </w:rPr>
      </w:pPr>
    </w:p>
    <w:p>
      <w:pPr>
        <w:ind w:left="820" w:right="120" w:hanging="320"/>
        <w:spacing w:after="0" w:line="277"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investigators enrolling patients who do not meet the enrollment criteria, requiring the inclusion of additional patients in the clinical trial;</w:t>
      </w:r>
    </w:p>
    <w:p>
      <w:pPr>
        <w:spacing w:after="0" w:line="48" w:lineRule="exact"/>
        <w:rPr>
          <w:rFonts w:ascii="Arial" w:cs="Arial" w:eastAsia="Arial" w:hAnsi="Arial"/>
          <w:sz w:val="18"/>
          <w:szCs w:val="18"/>
          <w:color w:val="auto"/>
        </w:rPr>
      </w:pPr>
    </w:p>
    <w:p>
      <w:pPr>
        <w:ind w:left="840" w:right="80" w:hanging="319"/>
        <w:spacing w:after="0" w:line="263" w:lineRule="auto"/>
        <w:tabs>
          <w:tab w:leader="none" w:pos="8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ongoing COVID-19 pandemic limiting our access to patients who would otherwise be eligible for enrollment, including treatment-naïve patients who may be more likely to seek standard of care therapies available at local treatment centers rather than enroll in a clinical trial at a larger hospital;</w:t>
      </w:r>
    </w:p>
    <w:p>
      <w:pPr>
        <w:spacing w:after="0" w:line="48"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approval of new indications for existing therapies or approval of new therapies in general;</w:t>
      </w:r>
    </w:p>
    <w:p>
      <w:pPr>
        <w:spacing w:after="0" w:line="90"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03" w:lineRule="exact"/>
        <w:rPr>
          <w:rFonts w:ascii="Arial" w:cs="Arial" w:eastAsia="Arial" w:hAnsi="Arial"/>
          <w:sz w:val="18"/>
          <w:szCs w:val="18"/>
          <w:color w:val="auto"/>
        </w:rPr>
      </w:pPr>
    </w:p>
    <w:p>
      <w:pPr>
        <w:ind w:left="820" w:right="100" w:hanging="320"/>
        <w:spacing w:after="0" w:line="259"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 return for post-treatment follow-up, or follow the required clinical trial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spacing w:after="0" w:line="52" w:lineRule="exact"/>
        <w:rPr>
          <w:sz w:val="20"/>
          <w:szCs w:val="20"/>
          <w:color w:val="auto"/>
        </w:rPr>
      </w:pPr>
    </w:p>
    <w:p>
      <w:pPr>
        <w:ind w:firstLine="492"/>
        <w:spacing w:after="0" w:line="289" w:lineRule="auto"/>
        <w:rPr>
          <w:sz w:val="20"/>
          <w:szCs w:val="20"/>
          <w:color w:val="auto"/>
        </w:rPr>
      </w:pPr>
      <w:r>
        <w:rPr>
          <w:rFonts w:ascii="Arial" w:cs="Arial" w:eastAsia="Arial" w:hAnsi="Arial"/>
          <w:sz w:val="16"/>
          <w:szCs w:val="16"/>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excised and the TIL is infused back into the patient.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Amendments to our clinical protocols may affect enrollment in, or results of, our trials, including amendments we have made to further define the patient population to be studied.</w:t>
      </w:r>
    </w:p>
    <w:p>
      <w:pPr>
        <w:spacing w:after="0" w:line="130" w:lineRule="exact"/>
        <w:rPr>
          <w:sz w:val="20"/>
          <w:szCs w:val="20"/>
          <w:color w:val="auto"/>
        </w:rPr>
      </w:pPr>
    </w:p>
    <w:p>
      <w:pPr>
        <w:jc w:val="both"/>
        <w:ind w:right="160" w:firstLine="492"/>
        <w:spacing w:after="0" w:line="286" w:lineRule="auto"/>
        <w:rPr>
          <w:sz w:val="20"/>
          <w:szCs w:val="20"/>
          <w:color w:val="auto"/>
        </w:rPr>
      </w:pPr>
      <w:r>
        <w:rPr>
          <w:rFonts w:ascii="Arial" w:cs="Arial" w:eastAsia="Arial" w:hAnsi="Arial"/>
          <w:sz w:val="17"/>
          <w:szCs w:val="17"/>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clinical trials and adversely affect our ability to advance the development of our product candidates.</w:t>
      </w:r>
    </w:p>
    <w:p>
      <w:pPr>
        <w:spacing w:after="0" w:line="138"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83"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Results of our clinical trials could reveal a high and unacceptable severity and prevalence of side effects or unexpected characteristics. Undesirable side effects caused by our product candidates could cause us, IRBs,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indications for use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a Risk Evaluation and Mitigations Strategy or REMS, to monitor the safety or efficacy of the products, and in turn prevent us from commercializing and generating revenues from the sale of our current or future product candidates.</w:t>
      </w:r>
    </w:p>
    <w:p>
      <w:pPr>
        <w:spacing w:after="0" w:line="154"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clinical trials and products may also negatively impact our ability to conduct clinical trials using TIL therapy in larger patient populations, such as in patients that have not yet been treated with other therapies or have not yet progressed on other therapies.</w:t>
      </w:r>
    </w:p>
    <w:p>
      <w:pPr>
        <w:spacing w:after="0" w:line="151"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Treatment-related side effects could also affect patient recruitment or the ability of enrolled subjects to complete our clinical trials or result in potential product liability claims. Such toxicities, which may arise from TIL therapy in general, including co-therapies, may include, for example, thrombocytopenia, chills, anemia, pyrexia, febrile neutropenia, diarrhea, neutropenia, vomiting, hypotension, and dyspnea. For example, the update in October 2018 from the C-144-01 clinical trial included two grade 5 treatment emergent adverse events. In addition, these side effects and deaths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spacing w:after="0" w:line="126" w:lineRule="exact"/>
        <w:rPr>
          <w:sz w:val="20"/>
          <w:szCs w:val="20"/>
          <w:color w:val="auto"/>
        </w:rPr>
      </w:pPr>
    </w:p>
    <w:p>
      <w:pPr>
        <w:ind w:right="200" w:firstLine="486"/>
        <w:spacing w:after="0" w:line="327" w:lineRule="auto"/>
        <w:rPr>
          <w:sz w:val="20"/>
          <w:szCs w:val="20"/>
          <w:color w:val="auto"/>
        </w:rPr>
      </w:pPr>
      <w:r>
        <w:rPr>
          <w:rFonts w:ascii="Arial" w:cs="Arial" w:eastAsia="Arial" w:hAnsi="Arial"/>
          <w:sz w:val="15"/>
          <w:szCs w:val="15"/>
          <w:b w:val="1"/>
          <w:bCs w:val="1"/>
          <w:i w:val="1"/>
          <w:iCs w:val="1"/>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99" w:lineRule="exact"/>
        <w:rPr>
          <w:sz w:val="20"/>
          <w:szCs w:val="20"/>
          <w:color w:val="auto"/>
        </w:rPr>
      </w:pPr>
    </w:p>
    <w:p>
      <w:pPr>
        <w:ind w:right="40" w:firstLine="492"/>
        <w:spacing w:after="0" w:line="286" w:lineRule="auto"/>
        <w:rPr>
          <w:sz w:val="20"/>
          <w:szCs w:val="20"/>
          <w:color w:val="auto"/>
        </w:rPr>
      </w:pPr>
      <w:r>
        <w:rPr>
          <w:rFonts w:ascii="Arial" w:cs="Arial" w:eastAsia="Arial" w:hAnsi="Arial"/>
          <w:sz w:val="16"/>
          <w:szCs w:val="16"/>
          <w:color w:val="auto"/>
        </w:rPr>
        <w:t>Our product candidates are biologics and the process of manufacturing our products is complex, highly regulated and subject to multiple risks. The manufacture of our product candidates involves complex processes, including harvesting tumor fragments from patients, isolating the T-cells from the tumor fragments, multiplying the T-cells to obtain the desired dose, and ultimately infusing the T-cells back into a patient.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meeting pre-specified release criteria,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w:t>
      </w:r>
    </w:p>
    <w:p>
      <w:pPr>
        <w:sectPr>
          <w:pgSz w:w="11900" w:h="16838" w:orient="portrait"/>
          <w:cols w:equalWidth="0" w:num="1">
            <w:col w:w="9920"/>
          </w:cols>
          <w:pgMar w:left="980" w:top="665" w:right="99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46" w:lineRule="exact"/>
        <w:rPr>
          <w:sz w:val="20"/>
          <w:szCs w:val="20"/>
          <w:color w:val="auto"/>
        </w:rPr>
      </w:pPr>
    </w:p>
    <w:p>
      <w:pPr>
        <w:ind w:right="60" w:firstLine="492"/>
        <w:spacing w:after="0" w:line="270" w:lineRule="auto"/>
        <w:rPr>
          <w:sz w:val="20"/>
          <w:szCs w:val="20"/>
          <w:color w:val="auto"/>
        </w:rPr>
      </w:pPr>
      <w:r>
        <w:rPr>
          <w:rFonts w:ascii="Arial" w:cs="Arial" w:eastAsia="Arial" w:hAnsi="Arial"/>
          <w:sz w:val="17"/>
          <w:szCs w:val="17"/>
          <w:color w:val="auto"/>
        </w:rPr>
        <w:t>Because our product candidates are manufactured specifically for each individual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studies to late-stage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154"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scale-up, process reproducibility, stability issues, lot consistency, and timely availability of raw materials. This includes potential risks associated with the FDA not agreeing with all of the details of our validation data or other aspects of our potency assay or assays for Cohort 4 of our C-144-01 clinical trial. For example, on October 5, 2020, we announced that we and the FDA were not able to agree on the required potency assays to fully define our TIL therapy, which is required as part of a BLA submission, and that as a result of these developments, our BLA submission was not expected by the end of 2020 and was anticipated instead to occur in 2021. Previously, we reported the submission of assay data to the FDA, and on May 18, 2021, we announced that we had received regulatory feedback from the FDA regarding our potency assays for lifileucel. Following FDA feedback regarding the potency assays for lifileucel, we continued work developing and validating our potency assays and engaged in discussions with the FDA during the second half of 2021 and first quarter of 2022. Based on feedback received from these discussions, we held a pre-BLA meeting in July 2022. We initiated a rolling BLA for lifileucel in metastatic melanoma in August 2022, which we plan to complete in the first quarter of 2023. In addition, as previously disclosed, we have begun a confirmatory Phase 3 clinical trial of lifileucel in combination with pembrolizumab in frontline metastatic melanoma in late 2022 which we expect to utilize significant manufacturing capacity.</w:t>
      </w:r>
    </w:p>
    <w:p>
      <w:pPr>
        <w:spacing w:after="0" w:line="352"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As a result of these challenges, we may experience delays in our clinical development and/or commercialization plans. Furthermore, we may ultimately be unable to reduce the cost of goods for our product candidates to levels that will allow for an attractive return on investment if and when those product candidates are commercialized.</w:t>
      </w:r>
    </w:p>
    <w:p>
      <w:pPr>
        <w:spacing w:after="0" w:line="143" w:lineRule="exact"/>
        <w:rPr>
          <w:sz w:val="20"/>
          <w:szCs w:val="20"/>
          <w:color w:val="auto"/>
        </w:rPr>
      </w:pPr>
    </w:p>
    <w:p>
      <w:pPr>
        <w:ind w:right="40" w:firstLine="492"/>
        <w:spacing w:after="0" w:line="268" w:lineRule="auto"/>
        <w:rPr>
          <w:sz w:val="20"/>
          <w:szCs w:val="20"/>
          <w:color w:val="auto"/>
        </w:rPr>
      </w:pPr>
      <w:r>
        <w:rPr>
          <w:rFonts w:ascii="Arial" w:cs="Arial" w:eastAsia="Arial" w:hAnsi="Arial"/>
          <w:sz w:val="17"/>
          <w:szCs w:val="17"/>
          <w:color w:val="auto"/>
        </w:rPr>
        <w:t xml:space="preserve">In May 2019 we entered into a lease agreement to build a commercial-scale manufacturing facility, the </w:t>
      </w:r>
      <w:r>
        <w:rPr>
          <w:rFonts w:ascii="Arial" w:cs="Arial" w:eastAsia="Arial" w:hAnsi="Arial"/>
          <w:sz w:val="17"/>
          <w:szCs w:val="17"/>
          <w:i w:val="1"/>
          <w:iCs w:val="1"/>
          <w:color w:val="auto"/>
        </w:rPr>
        <w:t>i</w:t>
      </w:r>
      <w:r>
        <w:rPr>
          <w:rFonts w:ascii="Arial" w:cs="Arial" w:eastAsia="Arial" w:hAnsi="Arial"/>
          <w:sz w:val="17"/>
          <w:szCs w:val="17"/>
          <w:color w:val="auto"/>
        </w:rPr>
        <w:t xml:space="preserve">CTC, in Philadelphia, Pennsylvania for commercial and clinical production of autologous TIL products, including our product candidate lifileucel. The </w:t>
      </w:r>
      <w:r>
        <w:rPr>
          <w:rFonts w:ascii="Arial" w:cs="Arial" w:eastAsia="Arial" w:hAnsi="Arial"/>
          <w:sz w:val="17"/>
          <w:szCs w:val="17"/>
          <w:i w:val="1"/>
          <w:iCs w:val="1"/>
          <w:color w:val="auto"/>
        </w:rPr>
        <w:t>i</w:t>
      </w:r>
      <w:r>
        <w:rPr>
          <w:rFonts w:ascii="Arial" w:cs="Arial" w:eastAsia="Arial" w:hAnsi="Arial"/>
          <w:sz w:val="17"/>
          <w:szCs w:val="17"/>
          <w:color w:val="auto"/>
        </w:rPr>
        <w:t xml:space="preserve">CTC is currently manufacturing TIL for our ongoing clinical trials and preparing to provide commercial supply upon potential BLA approval; as of the end of 2021, we had completed the commissioning activities at the </w:t>
      </w:r>
      <w:r>
        <w:rPr>
          <w:rFonts w:ascii="Arial" w:cs="Arial" w:eastAsia="Arial" w:hAnsi="Arial"/>
          <w:sz w:val="17"/>
          <w:szCs w:val="17"/>
          <w:i w:val="1"/>
          <w:iCs w:val="1"/>
          <w:color w:val="auto"/>
        </w:rPr>
        <w:t>i</w:t>
      </w:r>
      <w:r>
        <w:rPr>
          <w:rFonts w:ascii="Arial" w:cs="Arial" w:eastAsia="Arial" w:hAnsi="Arial"/>
          <w:sz w:val="17"/>
          <w:szCs w:val="17"/>
          <w:color w:val="auto"/>
        </w:rPr>
        <w:t>CTC and successfully initiated manufacturing of clinical batches of lifileucel and LN-145, representing our first internally manufactured TIL product, as we continue our launch readiness activities to supply commercial TIL upon potential BLA approval. We expect our manufacturing facility will provide us with enhanced control of material supply for both clinical trials and the commercial market, enable the more rapid implementation of process changes, and allow for better long-term margins. We are building capacity to treat thousands of cancer patients annually. However, we may not be successful in finalizing the development of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59" w:lineRule="exact"/>
        <w:rPr>
          <w:sz w:val="20"/>
          <w:szCs w:val="20"/>
          <w:color w:val="auto"/>
        </w:rPr>
      </w:pPr>
    </w:p>
    <w:p>
      <w:pPr>
        <w:ind w:right="120" w:firstLine="492"/>
        <w:spacing w:after="0" w:line="257" w:lineRule="auto"/>
        <w:rPr>
          <w:sz w:val="20"/>
          <w:szCs w:val="20"/>
          <w:color w:val="auto"/>
        </w:rPr>
      </w:pPr>
      <w:r>
        <w:rPr>
          <w:rFonts w:ascii="Arial" w:cs="Arial" w:eastAsia="Arial" w:hAnsi="Arial"/>
          <w:sz w:val="18"/>
          <w:szCs w:val="18"/>
          <w:color w:val="auto"/>
        </w:rPr>
        <w:t>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492"/>
        <w:spacing w:after="0" w:line="254" w:lineRule="auto"/>
        <w:rPr>
          <w:sz w:val="20"/>
          <w:szCs w:val="20"/>
          <w:color w:val="auto"/>
        </w:rPr>
      </w:pPr>
      <w:r>
        <w:rPr>
          <w:rFonts w:ascii="Arial" w:cs="Arial" w:eastAsia="Arial" w:hAnsi="Arial"/>
          <w:sz w:val="18"/>
          <w:szCs w:val="18"/>
          <w:color w:val="auto"/>
        </w:rPr>
        <w:t xml:space="preserve">Our current manufacturing strategy involves the use of CMOs to supplement the manufacturing capacity at the </w:t>
      </w:r>
      <w:r>
        <w:rPr>
          <w:rFonts w:ascii="Arial" w:cs="Arial" w:eastAsia="Arial" w:hAnsi="Arial"/>
          <w:sz w:val="18"/>
          <w:szCs w:val="18"/>
          <w:i w:val="1"/>
          <w:iCs w:val="1"/>
          <w:color w:val="auto"/>
        </w:rPr>
        <w:t>i</w:t>
      </w:r>
      <w:r>
        <w:rPr>
          <w:rFonts w:ascii="Arial" w:cs="Arial" w:eastAsia="Arial" w:hAnsi="Arial"/>
          <w:sz w:val="18"/>
          <w:szCs w:val="18"/>
          <w:color w:val="auto"/>
        </w:rPr>
        <w:t>CTC. Currently our product candidates are also manufactured by WuXi and Moffitt. Any problems or delays we or our CMOs experience in preparing for commercial scale manufacturing of a product candidate or component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51" w:lineRule="exact"/>
        <w:rPr>
          <w:sz w:val="20"/>
          <w:szCs w:val="20"/>
          <w:color w:val="auto"/>
        </w:rPr>
      </w:pPr>
    </w:p>
    <w:p>
      <w:pPr>
        <w:ind w:right="40" w:firstLine="492"/>
        <w:spacing w:after="0" w:line="270" w:lineRule="auto"/>
        <w:rPr>
          <w:sz w:val="20"/>
          <w:szCs w:val="20"/>
          <w:color w:val="auto"/>
        </w:rPr>
      </w:pPr>
      <w:r>
        <w:rPr>
          <w:rFonts w:ascii="Arial" w:cs="Arial" w:eastAsia="Arial" w:hAnsi="Arial"/>
          <w:sz w:val="17"/>
          <w:szCs w:val="17"/>
          <w:color w:val="auto"/>
        </w:rPr>
        <w:t>Moreover, 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54" w:lineRule="exact"/>
        <w:rPr>
          <w:sz w:val="20"/>
          <w:szCs w:val="20"/>
          <w:color w:val="auto"/>
        </w:rPr>
      </w:pPr>
    </w:p>
    <w:p>
      <w:pPr>
        <w:ind w:right="140" w:firstLine="492"/>
        <w:spacing w:after="0" w:line="277" w:lineRule="auto"/>
        <w:rPr>
          <w:sz w:val="20"/>
          <w:szCs w:val="20"/>
          <w:color w:val="auto"/>
        </w:rPr>
      </w:pPr>
      <w:r>
        <w:rPr>
          <w:rFonts w:ascii="Arial" w:cs="Arial" w:eastAsia="Arial" w:hAnsi="Arial"/>
          <w:sz w:val="18"/>
          <w:szCs w:val="18"/>
          <w:color w:val="auto"/>
        </w:rPr>
        <w:t>Reliance on third-party manufacturers entails exposure to risks to which we would not be subject if we manufactured the product candidate ourselves, including:</w:t>
      </w:r>
    </w:p>
    <w:p>
      <w:pPr>
        <w:spacing w:after="0" w:line="130" w:lineRule="exact"/>
        <w:rPr>
          <w:sz w:val="20"/>
          <w:szCs w:val="20"/>
          <w:color w:val="auto"/>
        </w:rPr>
      </w:pPr>
    </w:p>
    <w:p>
      <w:pPr>
        <w:ind w:left="820" w:hanging="320"/>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inability to negotiate manufacturing and quality agreements with third parties under commercially reasonable terms;</w:t>
      </w:r>
    </w:p>
    <w:p>
      <w:pPr>
        <w:spacing w:after="0" w:line="34" w:lineRule="exact"/>
        <w:rPr>
          <w:rFonts w:ascii="Arial" w:cs="Arial" w:eastAsia="Arial" w:hAnsi="Arial"/>
          <w:sz w:val="17"/>
          <w:szCs w:val="17"/>
          <w:color w:val="auto"/>
        </w:rPr>
      </w:pPr>
    </w:p>
    <w:p>
      <w:pPr>
        <w:ind w:left="820" w:right="700" w:hanging="320"/>
        <w:spacing w:after="0" w:line="260"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day-to-day control over the manufacturing process for our product candidates as a result of using third-party manufacturers for all aspects of manufacturing activities;</w:t>
      </w:r>
    </w:p>
    <w:p>
      <w:pPr>
        <w:spacing w:after="0" w:line="50"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reduced control over the protection of our trade secrets and know-how from misappropriation or inadvertent disclosure;</w:t>
      </w:r>
    </w:p>
    <w:p>
      <w:pPr>
        <w:spacing w:after="0" w:line="115" w:lineRule="exact"/>
        <w:rPr>
          <w:rFonts w:ascii="Arial" w:cs="Arial" w:eastAsia="Arial" w:hAnsi="Arial"/>
          <w:sz w:val="17"/>
          <w:szCs w:val="17"/>
          <w:color w:val="auto"/>
        </w:rPr>
      </w:pPr>
    </w:p>
    <w:p>
      <w:pPr>
        <w:ind w:left="820" w:right="460" w:hanging="320"/>
        <w:spacing w:after="0" w:line="334" w:lineRule="auto"/>
        <w:tabs>
          <w:tab w:leader="none" w:pos="814" w:val="left"/>
        </w:tabs>
        <w:numPr>
          <w:ilvl w:val="0"/>
          <w:numId w:val="23"/>
        </w:numPr>
        <w:rPr>
          <w:rFonts w:ascii="Arial" w:cs="Arial" w:eastAsia="Arial" w:hAnsi="Arial"/>
          <w:sz w:val="16"/>
          <w:szCs w:val="16"/>
          <w:color w:val="auto"/>
        </w:rPr>
      </w:pPr>
      <w:r>
        <w:rPr>
          <w:rFonts w:ascii="Arial" w:cs="Arial" w:eastAsia="Arial" w:hAnsi="Arial"/>
          <w:sz w:val="16"/>
          <w:szCs w:val="16"/>
          <w:color w:val="auto"/>
        </w:rPr>
        <w:t>termination or nonrenewal of manufacturing agreements with third parties in a manner or at a time that may be costly or damaging to us or result in delays in the development or commercialization of our product candidates; and</w:t>
      </w:r>
    </w:p>
    <w:p>
      <w:pPr>
        <w:ind w:left="820" w:right="220" w:hanging="320"/>
        <w:spacing w:after="0" w:line="277" w:lineRule="auto"/>
        <w:tabs>
          <w:tab w:leader="none" w:pos="8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4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 xml:space="preserve">In addition, the manufacturing process and facilities for any products that we may develop at the </w:t>
      </w:r>
      <w:r>
        <w:rPr>
          <w:rFonts w:ascii="Arial" w:cs="Arial" w:eastAsia="Arial" w:hAnsi="Arial"/>
          <w:sz w:val="17"/>
          <w:szCs w:val="17"/>
          <w:i w:val="1"/>
          <w:iCs w:val="1"/>
          <w:color w:val="auto"/>
        </w:rPr>
        <w:t>i</w:t>
      </w:r>
      <w:r>
        <w:rPr>
          <w:rFonts w:ascii="Arial" w:cs="Arial" w:eastAsia="Arial" w:hAnsi="Arial"/>
          <w:sz w:val="17"/>
          <w:szCs w:val="17"/>
          <w:color w:val="auto"/>
        </w:rPr>
        <w:t>CTC and or our CMOs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our BLAs, to the FDA. Manufacturers are also subject to continuing regulatory oversight by FDA and other regulatory authorities, including inspections following marketing approval. Further, we, in cooperation with our CMOs, must supply all necessary chemistry, manufacturing, and control documentation for a pre-approval inspection in support of a BLA on a timely basis. There is no guarantee that we or our CMOs will be able to successfully pass all aspects of a pre-approval inspection by the FDA or other foreign regulatory authorities.</w:t>
      </w:r>
    </w:p>
    <w:p>
      <w:pPr>
        <w:spacing w:after="0" w:line="145"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Our, or our CMOs’, manufacturing facilities may be unable to comply with our specifications, cGMPs,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ectPr>
          <w:pgSz w:w="11900" w:h="16838" w:orient="portrait"/>
          <w:cols w:equalWidth="0" w:num="1">
            <w:col w:w="9920"/>
          </w:cols>
          <w:pgMar w:left="980" w:top="665" w:right="99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137"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38" w:lineRule="exact"/>
        <w:rPr>
          <w:sz w:val="20"/>
          <w:szCs w:val="20"/>
          <w:color w:val="auto"/>
        </w:rPr>
      </w:pPr>
    </w:p>
    <w:p>
      <w:pPr>
        <w:ind w:right="100" w:firstLine="492"/>
        <w:spacing w:after="0" w:line="340" w:lineRule="auto"/>
        <w:rPr>
          <w:sz w:val="20"/>
          <w:szCs w:val="20"/>
          <w:color w:val="auto"/>
        </w:rPr>
      </w:pPr>
      <w:r>
        <w:rPr>
          <w:rFonts w:ascii="Arial" w:cs="Arial" w:eastAsia="Arial" w:hAnsi="Arial"/>
          <w:sz w:val="15"/>
          <w:szCs w:val="15"/>
          <w:b w:val="1"/>
          <w:bCs w:val="1"/>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90"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Manufacturing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38"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For some of these reagents, equipment, and materials, we rely and may in the future rely on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51"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comparability studies and to collect additional data from patients prior to undertaking more advanced clinical trials.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185" w:lineRule="exact"/>
        <w:rPr>
          <w:sz w:val="20"/>
          <w:szCs w:val="20"/>
          <w:color w:val="auto"/>
        </w:rPr>
      </w:pPr>
    </w:p>
    <w:p>
      <w:pPr>
        <w:ind w:right="40" w:firstLine="492"/>
        <w:spacing w:after="0" w:line="257" w:lineRule="auto"/>
        <w:rPr>
          <w:sz w:val="20"/>
          <w:szCs w:val="20"/>
          <w:color w:val="auto"/>
        </w:rPr>
      </w:pPr>
      <w:r>
        <w:rPr>
          <w:rFonts w:ascii="Arial" w:cs="Arial" w:eastAsia="Arial" w:hAnsi="Arial"/>
          <w:sz w:val="18"/>
          <w:szCs w:val="18"/>
          <w:color w:val="auto"/>
        </w:rPr>
        <w:t>With the exception of lifileucel currently undergoing human clinical trials for advanced melanoma, cervical cancer and metastatic non-small cell lung cancer, or NSCLC, our research and development programs are at various stages of clinical development, including several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61" w:lineRule="exact"/>
        <w:rPr>
          <w:sz w:val="20"/>
          <w:szCs w:val="20"/>
          <w:color w:val="auto"/>
        </w:rPr>
      </w:pPr>
    </w:p>
    <w:p>
      <w:pPr>
        <w:ind w:left="820" w:hanging="320"/>
        <w:spacing w:after="0" w:line="258"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 w:lineRule="exact"/>
        <w:rPr>
          <w:rFonts w:ascii="Arial" w:cs="Arial" w:eastAsia="Arial" w:hAnsi="Arial"/>
          <w:sz w:val="18"/>
          <w:szCs w:val="18"/>
          <w:color w:val="auto"/>
        </w:rPr>
      </w:pPr>
    </w:p>
    <w:p>
      <w:pPr>
        <w:ind w:left="820" w:right="520" w:hanging="320"/>
        <w:spacing w:after="0" w:line="25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after reviewing test results, we or our collaborators may abandon projects that we might previously have believed to be promising;</w:t>
      </w:r>
    </w:p>
    <w:p>
      <w:pPr>
        <w:ind w:left="820" w:right="160" w:hanging="320"/>
        <w:spacing w:after="0" w:line="260"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20" w:right="700" w:hanging="320"/>
        <w:spacing w:after="0" w:line="258"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spacing w:after="0" w:line="1"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 and</w:t>
      </w:r>
    </w:p>
    <w:p>
      <w:pPr>
        <w:ind w:left="820" w:hanging="320"/>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regulatory authorities may find that our clinical trial design or conduct does not meet the applicable approval requirements.</w:t>
      </w:r>
    </w:p>
    <w:p>
      <w:pPr>
        <w:spacing w:after="0" w:line="193"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Clinical testing is very expensive, can take many years, and the outcome is uncertain. It could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Even if our lead product lifileucel is approved and commercialized, we may not become profitable.</w:t>
      </w:r>
    </w:p>
    <w:p>
      <w:pPr>
        <w:spacing w:after="0" w:line="185"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lead product, lifileucel, is initially targeting a small population of refractory patients that suffer from metastatic melanoma and metastatic cervical cancer. Even if the FDA approves these new therapies, and even if we obtain significant market share for each product candidate, because the potential target population for lifileucel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conducting clinical trials on these patient populations.</w:t>
      </w:r>
    </w:p>
    <w:p>
      <w:pPr>
        <w:spacing w:after="0" w:line="137"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b w:val="1"/>
          <w:bCs w:val="1"/>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38"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In addition to our own research and process development efforts, we seek to collaborate with government, academic research institutions and corporate partners to improve TIL manufacturing and to develop TIL therapies for new indications. In 2017-2020, we announced our continued collaborations with Moffitt, MDACC, and The Ohio State University to evaluate several new solid tumor and hematologic indications for TIL therapy in clinical trials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products or proposed indications, even if such imputation is improper. For example, we have entered into collaborations with Moffitt, and MDACC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w:t>
      </w:r>
    </w:p>
    <w:p>
      <w:pPr>
        <w:spacing w:after="0" w:line="141"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b w:val="1"/>
          <w:bCs w:val="1"/>
          <w:i w:val="1"/>
          <w:iCs w:val="1"/>
          <w:color w:val="auto"/>
        </w:rPr>
        <w:t>We may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spacing w:after="0" w:line="131"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Our operations have consumed substantial amounts of cash since inception. From our inception to December 31, 2022, we have an accumulated deficit of $1.6 billion. In addition, our research and development and our operating costs have also been substantial and are expected to increase. For example, in October 2018, we closed an underwritten public offering of our common stock. The net proceeds from the offering, after deducting the underwriting discounts and commissions and other offering expenses payable by us, were $236.7 million. In June 2020, we closed another underwritten offering of our common stock. The net proceeds from the offering, after deducting the underwriting discounts and commissions and other offering expenses payable by us, were $567.0 million. In February 2021 we entered into an open market sale agreement, or the First Sales Agreement, with Jefferies LLC, which provided for the sale of up to $350.0 million of our common stock from time to time, which was subsequently increased to $500.0 million in</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November 2022 upon the execution of an updated open market sale agreement, or the Second Sales Agreement, with Jefferies LLC. As of December 31, 2022, we had $478.3 million in cash, cash equivalents and investments ($231.7 million of cash and cash equivalents, $240.1 million in short-term investments, and restricted cash of $6.4 million).</w:t>
      </w:r>
    </w:p>
    <w:p>
      <w:pPr>
        <w:spacing w:after="0" w:line="143" w:lineRule="exact"/>
        <w:rPr>
          <w:sz w:val="20"/>
          <w:szCs w:val="20"/>
          <w:color w:val="auto"/>
        </w:rPr>
      </w:pPr>
    </w:p>
    <w:p>
      <w:pPr>
        <w:ind w:right="20" w:firstLine="492"/>
        <w:spacing w:after="0" w:line="290" w:lineRule="auto"/>
        <w:rPr>
          <w:sz w:val="20"/>
          <w:szCs w:val="20"/>
          <w:color w:val="auto"/>
        </w:rPr>
      </w:pPr>
      <w:r>
        <w:rPr>
          <w:rFonts w:ascii="Arial" w:cs="Arial" w:eastAsia="Arial" w:hAnsi="Arial"/>
          <w:sz w:val="16"/>
          <w:szCs w:val="16"/>
          <w:color w:val="auto"/>
        </w:rPr>
        <w:t>Accordingly, we believe that our existing cash, cash equivalents and investments will be sufficient to fund our operations for at least the next twelve months from the date this Annual Report on Form 10-K is issued. However, in order to complete the development of our current product candidates, and in order to affect our business plan, including establishing our own manufacturing facility, we anticipate that we will have to spend more than the funds currently available to us. Furthermore,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38"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83" w:lineRule="exact"/>
        <w:rPr>
          <w:sz w:val="20"/>
          <w:szCs w:val="20"/>
          <w:color w:val="auto"/>
        </w:rPr>
      </w:pPr>
    </w:p>
    <w:p>
      <w:pPr>
        <w:ind w:left="820" w:right="120" w:hanging="320"/>
        <w:spacing w:after="0" w:line="258"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spacing w:after="0" w:line="1"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time and cost necessary to obtain regulatory approvals that may be required by regulatory authorities to execute clinical trials or commercialize our product;</w:t>
      </w: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9" w:lineRule="exact"/>
        <w:rPr>
          <w:rFonts w:ascii="Arial" w:cs="Arial" w:eastAsia="Arial" w:hAnsi="Arial"/>
          <w:sz w:val="18"/>
          <w:szCs w:val="18"/>
          <w:color w:val="auto"/>
        </w:rPr>
      </w:pPr>
    </w:p>
    <w:p>
      <w:pPr>
        <w:ind w:left="820" w:right="10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have clinical and commercial product successfully manufactured consistent with FDA and European Medicines Agency, or EMA, regulations;</w:t>
      </w:r>
    </w:p>
    <w:p>
      <w:pPr>
        <w:ind w:left="820" w:right="220" w:hanging="320"/>
        <w:spacing w:after="0" w:line="281" w:lineRule="auto"/>
        <w:tabs>
          <w:tab w:leader="none" w:pos="814"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 of sales and other revenues from product candidates that we may commercialize, if any, including the selling prices for such potential products and the availability of adequate third-party coverage and reimbursement for patients;</w:t>
      </w:r>
    </w:p>
    <w:p>
      <w:pPr>
        <w:spacing w:after="0" w:line="1" w:lineRule="exact"/>
        <w:rPr>
          <w:rFonts w:ascii="Arial" w:cs="Arial" w:eastAsia="Arial" w:hAnsi="Arial"/>
          <w:sz w:val="16"/>
          <w:szCs w:val="16"/>
          <w:color w:val="auto"/>
        </w:rPr>
      </w:pPr>
    </w:p>
    <w:p>
      <w:pPr>
        <w:ind w:left="820" w:right="62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our products, if approved, including the cost and timing of building our marketing and sales capabilities;</w:t>
      </w: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 of building, staffing and validating our own manufacturing facility in the U.S.;</w:t>
      </w:r>
    </w:p>
    <w:p>
      <w:pPr>
        <w:spacing w:after="0" w:line="9" w:lineRule="exact"/>
        <w:rPr>
          <w:rFonts w:ascii="Arial" w:cs="Arial" w:eastAsia="Arial" w:hAnsi="Arial"/>
          <w:sz w:val="18"/>
          <w:szCs w:val="18"/>
          <w:color w:val="auto"/>
        </w:rPr>
      </w:pPr>
    </w:p>
    <w:p>
      <w:pPr>
        <w:ind w:left="820" w:right="70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terms and timing of our current and any potential future collaborations, licensing or other arrangements that we have established or may establish;</w:t>
      </w: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9" w:lineRule="exact"/>
        <w:rPr>
          <w:rFonts w:ascii="Arial" w:cs="Arial" w:eastAsia="Arial" w:hAnsi="Arial"/>
          <w:sz w:val="18"/>
          <w:szCs w:val="18"/>
          <w:color w:val="auto"/>
        </w:rPr>
      </w:pPr>
    </w:p>
    <w:p>
      <w:pPr>
        <w:ind w:left="820" w:right="520" w:hanging="320"/>
        <w:spacing w:after="0" w:line="26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associated with any potential business or product acquisitions (such as the anticipated acquisition of Proleukin®), strategic collaborations, licensing agreements or other arrangements that we may establish.</w:t>
      </w:r>
    </w:p>
    <w:p>
      <w:pPr>
        <w:spacing w:after="0" w:line="145"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5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486"/>
        <w:spacing w:after="0" w:line="311" w:lineRule="auto"/>
        <w:rPr>
          <w:sz w:val="20"/>
          <w:szCs w:val="20"/>
          <w:color w:val="auto"/>
        </w:rPr>
      </w:pPr>
      <w:r>
        <w:rPr>
          <w:rFonts w:ascii="Arial" w:cs="Arial" w:eastAsia="Arial" w:hAnsi="Arial"/>
          <w:sz w:val="16"/>
          <w:szCs w:val="16"/>
          <w:b w:val="1"/>
          <w:bCs w:val="1"/>
          <w:i w:val="1"/>
          <w:iCs w:val="1"/>
          <w:color w:val="auto"/>
        </w:rPr>
        <w:t>Subject to various spending levels approved by our Board of Directors, our management will have broad discretion in the use of the net proceeds from our capital raises, including our June 2020, October 2018 and January 2018 public offerings and the proceeds from sales pursuant to our “at-the-market” sales agreement with Jefferies LLC, and may not use them effectively.</w:t>
      </w:r>
    </w:p>
    <w:p>
      <w:pPr>
        <w:spacing w:after="0" w:line="108"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Our management will have discretion in the application of the net proceeds from our capital raises, including our June 2020, October 2018, and January 2018 public offerings, and the proceeds from sales pursuant to the First Sales Agreement with Jefferies LLC, which provided for the sale of up to $350.0 million of our common stock from time to time, which was subsequently increased to $500.0 million in November 2022 upon the execution of the Second Sales Agreement with Jefferies LLC, and our stockholders will not have the opportunity as part of their investment decision to assess whether the net proceeds from our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our capital raises. Pending their use, we may invest the net proceeds from our capital raises in interest and non-interest-bearing cash accounts, short-term, investment-grade, interest-bearing instruments and U.S. government securities. These temporary investments are not likely to yield a significant return.</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185"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Our net operating loss carryforwards and any future research and development tax credits may expire and not be used. As of December 31, 2022, we had U.S. federal net operating loss carryforwards of approximately $1.0 billion.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3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Prior to December 31, 2022, we have experienced multiple ownership changes.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spacing w:after="0" w:line="168"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b w:val="1"/>
          <w:bCs w:val="1"/>
          <w:i w:val="1"/>
          <w:iCs w:val="1"/>
          <w:color w:val="auto"/>
        </w:rPr>
        <w:t>Recently enacted tax reform legislation in the U.S., changes to existing tax laws, or challenges to our tax positions could adversely affect our business and financial condition.</w:t>
      </w:r>
    </w:p>
    <w:p>
      <w:pPr>
        <w:spacing w:after="0" w:line="130"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In recent years, various tax legislations were signed into law. On December 22, 2017, the Tax Cuts and Jobs Act of 2017, or the Tax Act, was signed into law, making significant changes to the Internal Revenue Code.</w:t>
      </w:r>
    </w:p>
    <w:p>
      <w:pPr>
        <w:spacing w:after="0" w:line="130"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On March 27, 2020, the Coronavirus Aid, Relief, and Economic Security Act, or the CARES Act, was enacted in response to the COVID-19 pandemic. Certain provisions of the CARES Act amend or suspend certain provisions of the Tax Act. For example,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On June 15, 2020, Assembly Bill 85 was passed in California which suspended the use of net operating losses and limited the use of credits for certain corporations. Changes to existing federal and state tax laws could adversely impact our business, results of operations and financial position as the impact of recent tax legislation is uncertain.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 xml:space="preserve">In addition, U.S. federal, state and local tax laws are extremely complex and subject to various interpretations. Although we believe that our tax estimates and positions are reasonable, including our decision to build our </w:t>
      </w:r>
      <w:r>
        <w:rPr>
          <w:rFonts w:ascii="Arial" w:cs="Arial" w:eastAsia="Arial" w:hAnsi="Arial"/>
          <w:sz w:val="16"/>
          <w:szCs w:val="16"/>
          <w:i w:val="1"/>
          <w:iCs w:val="1"/>
          <w:color w:val="auto"/>
        </w:rPr>
        <w:t>i</w:t>
      </w:r>
      <w:r>
        <w:rPr>
          <w:rFonts w:ascii="Arial" w:cs="Arial" w:eastAsia="Arial" w:hAnsi="Arial"/>
          <w:sz w:val="16"/>
          <w:szCs w:val="16"/>
          <w:color w:val="auto"/>
        </w:rPr>
        <w:t>CTC facility at the Navy Yard in Philadelphia in order to take advantage of the site's designation as a Keystone Opportunity Zone, Keystone Opportunity Expansion Zone, or Keystone Opportunity Improvement Zone, or collectively KOZ, which allows incentives for business development, as well as certain other financial incentives provided by the Commonwealth of Pennsylvania, the City of Philadelphia and the Philadelphia Industrial Development Corporation, there can be no assurance that our tax positions will not be challenged by relevant tax authorities or that we would be successful in any such challenge. Further, challenges to the site's designation as a KOZ or broader challenges to Pennsylvania's KOZ program could result in the revocation of the site's designation as a KOZ and the attendant tax advantages associated with such designation. If we are unsuccessful in such a challenge, or if the site's status as a KOZ is revoked, the relevant tax authorities may assess additional taxes, which could result in adjustments to, or impact the timing or amount of, taxable income, deductions or other tax allocations, which may adversely affect our results of operations and financial position.</w:t>
      </w:r>
    </w:p>
    <w:p>
      <w:pPr>
        <w:spacing w:after="0" w:line="131" w:lineRule="exact"/>
        <w:rPr>
          <w:sz w:val="20"/>
          <w:szCs w:val="20"/>
          <w:color w:val="auto"/>
        </w:rPr>
      </w:pPr>
    </w:p>
    <w:p>
      <w:pPr>
        <w:ind w:right="4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97" w:lineRule="exact"/>
        <w:rPr>
          <w:sz w:val="20"/>
          <w:szCs w:val="20"/>
          <w:color w:val="auto"/>
        </w:rPr>
      </w:pPr>
    </w:p>
    <w:p>
      <w:pPr>
        <w:ind w:right="20" w:firstLine="492"/>
        <w:spacing w:after="0" w:line="275" w:lineRule="auto"/>
        <w:rPr>
          <w:sz w:val="20"/>
          <w:szCs w:val="20"/>
          <w:color w:val="auto"/>
        </w:rPr>
      </w:pPr>
      <w:r>
        <w:rPr>
          <w:rFonts w:ascii="Arial" w:cs="Arial" w:eastAsia="Arial" w:hAnsi="Arial"/>
          <w:sz w:val="17"/>
          <w:szCs w:val="17"/>
          <w:color w:val="auto"/>
        </w:rPr>
        <w:t>Our potential products, cell processing and manufacturing activities, are subject to comprehensive regulation by the FDA in the U.S.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36"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No adoptive cell therapy using TIL has been approved for marketing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initiated the process for FDA approval for one adoptive cell therapy product. We will not be able to commercialize any of our potential products until we obtain FDA approval, and so any delay in obtaining, or inability to obtain, FDA approval would harm our business.</w:t>
      </w:r>
    </w:p>
    <w:p>
      <w:pPr>
        <w:spacing w:after="0" w:line="152"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If we fail to comply with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license new technology from third parties.</w:t>
      </w:r>
    </w:p>
    <w:p>
      <w:pPr>
        <w:spacing w:after="0" w:line="185"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An element of our intellectual property portfolio is to license additional rights and technologies from third parties, including the NIH and others.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third parties, including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Our projections regarding the market opportunities for our product candidates may not be accurate, and the actual market for our products may be smaller than we estimate.</w:t>
      </w:r>
    </w:p>
    <w:p>
      <w:pPr>
        <w:spacing w:after="0" w:line="130" w:lineRule="exact"/>
        <w:rPr>
          <w:sz w:val="20"/>
          <w:szCs w:val="20"/>
          <w:color w:val="auto"/>
        </w:rPr>
      </w:pPr>
    </w:p>
    <w:p>
      <w:pPr>
        <w:ind w:right="40" w:firstLine="492"/>
        <w:spacing w:after="0" w:line="253" w:lineRule="auto"/>
        <w:rPr>
          <w:sz w:val="20"/>
          <w:szCs w:val="20"/>
          <w:color w:val="auto"/>
        </w:rPr>
      </w:pPr>
      <w:r>
        <w:rPr>
          <w:rFonts w:ascii="Arial" w:cs="Arial" w:eastAsia="Arial" w:hAnsi="Arial"/>
          <w:sz w:val="18"/>
          <w:szCs w:val="18"/>
          <w:color w:val="auto"/>
        </w:rPr>
        <w:t>Our projections of both the number of people who have the cancers we are targeting, as well as the subset of people with these cancers who are in a position to receive second- or third-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lifileucel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spacing w:after="0" w:line="165"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b w:val="1"/>
          <w:bCs w:val="1"/>
          <w:i w:val="1"/>
          <w:iCs w:val="1"/>
          <w:color w:val="auto"/>
        </w:rPr>
        <w:t>We are required to pay substantial royalties and lump sum benchmark payments under our license agreements with the NIH, Moffitt, Novartis, and Cellectis, and we must meet certain milestones to maintain our license rights.</w:t>
      </w:r>
    </w:p>
    <w:p>
      <w:pPr>
        <w:spacing w:after="0" w:line="10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Under our license agreements with the NIH, Moffitt, Novartis, and Cellectis for our adoptive cell therapy and immunotherapy technologies, we are currently required to pay both substantial benchmark payments and royalties to that institution based on our revenues from sales of our products utilizing the licensed technologies. These payments could adversely affect the overall profitability for us of any products that we may seek to commercialize under these license agreements. In order to maintain our license rights under the NIH, Moffitt, Novartis, and Cellectis license agreements, we will need to meet certain specified milestones, subject to certain cure provisions, in the development of our product candidates. There is no assurance that we will be successful in meeting these milestones on a timely basis, or at all.</w:t>
      </w:r>
    </w:p>
    <w:p>
      <w:pPr>
        <w:spacing w:after="0" w:line="154"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57"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clinical trial period, the number of patients the FDA will require to be enrolled in the clinical trials in order to establish the safety, efficacy, purity and potency of immunotherapy products, or that the data generated in these clinical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28"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36"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486"/>
        <w:spacing w:after="0" w:line="293" w:lineRule="auto"/>
        <w:rPr>
          <w:sz w:val="20"/>
          <w:szCs w:val="20"/>
          <w:color w:val="auto"/>
        </w:rPr>
      </w:pPr>
      <w:r>
        <w:rPr>
          <w:rFonts w:ascii="Arial" w:cs="Arial" w:eastAsia="Arial" w:hAnsi="Arial"/>
          <w:sz w:val="16"/>
          <w:szCs w:val="16"/>
          <w:color w:val="auto"/>
        </w:rPr>
        <w:t>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2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TIL therapies and our other therapies may be provided to patients in combination with other agents provided by third parties.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third-party medical insurers.</w:t>
      </w:r>
    </w:p>
    <w:p>
      <w:pPr>
        <w:spacing w:after="0" w:line="160"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b w:val="1"/>
          <w:bCs w:val="1"/>
          <w:i w:val="1"/>
          <w:iCs w:val="1"/>
          <w:color w:val="auto"/>
        </w:rPr>
        <w:t>No assurance can be given that the Gen 2 manufacturing process we have selected will be FDA-compliant, more efficient and lower the cost to manufacture TIL products.</w:t>
      </w:r>
    </w:p>
    <w:p>
      <w:pPr>
        <w:spacing w:after="0" w:line="130"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Pursuant to the CRADA, and in cooperation with our contract manufacturers and potentially other manufacturers, we have developed and are developing improved methods for the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we and our third-party manufacturers will have to continually adhere to current cGMP regulations enforced by the FDA through its facilities inspection program. If our facilities or any of the facilities of these manufacturers cannot demonstrate adequate assurance of compliance with FDA standards during a pre-approval inspection, the FDA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136"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43"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40" w:lineRule="exact"/>
        <w:rPr>
          <w:sz w:val="20"/>
          <w:szCs w:val="20"/>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withdrawal of clinical trial participants or sites and potential termination of clinical trial sites or entire clinical programs;</w:t>
      </w:r>
    </w:p>
    <w:p>
      <w:pPr>
        <w:spacing w:after="0" w:line="20" w:lineRule="exact"/>
        <w:rPr>
          <w:rFonts w:ascii="Arial" w:cs="Arial" w:eastAsia="Arial" w:hAnsi="Arial"/>
          <w:sz w:val="17"/>
          <w:szCs w:val="17"/>
          <w:color w:val="auto"/>
        </w:rPr>
      </w:pPr>
    </w:p>
    <w:p>
      <w:pPr>
        <w:ind w:left="820" w:right="580" w:hanging="320"/>
        <w:spacing w:after="0" w:line="250" w:lineRule="auto"/>
        <w:tabs>
          <w:tab w:leader="none" w:pos="8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initiation of investigations by regulators, refusal to approve marketing applications or supplements, and withdrawal or limitation of product approvals;</w:t>
      </w: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clinical trial participants or patients;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 in the price of our stock and overall value of our company;</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exhaustion of our available insurance coverage and our capital resources;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70" w:lineRule="exact"/>
        <w:rPr>
          <w:sz w:val="20"/>
          <w:szCs w:val="20"/>
          <w:color w:val="auto"/>
        </w:rPr>
      </w:pPr>
    </w:p>
    <w:p>
      <w:pPr>
        <w:ind w:right="120" w:firstLine="492"/>
        <w:spacing w:after="0" w:line="272"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face significant competition from other biotechnology and pharmaceutical companies and from non-profit institutions.</w:t>
      </w:r>
    </w:p>
    <w:p>
      <w:pPr>
        <w:spacing w:after="0" w:line="208" w:lineRule="exact"/>
        <w:rPr>
          <w:sz w:val="20"/>
          <w:szCs w:val="20"/>
          <w:color w:val="auto"/>
        </w:rPr>
      </w:pPr>
    </w:p>
    <w:p>
      <w:pPr>
        <w:ind w:right="80" w:firstLine="492"/>
        <w:spacing w:after="0" w:line="296" w:lineRule="auto"/>
        <w:rPr>
          <w:sz w:val="20"/>
          <w:szCs w:val="20"/>
          <w:color w:val="auto"/>
        </w:rPr>
      </w:pPr>
      <w:r>
        <w:rPr>
          <w:rFonts w:ascii="Arial" w:cs="Arial" w:eastAsia="Arial" w:hAnsi="Arial"/>
          <w:sz w:val="16"/>
          <w:szCs w:val="16"/>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21" w:lineRule="exact"/>
        <w:rPr>
          <w:sz w:val="20"/>
          <w:szCs w:val="20"/>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 safer, more convenient or more effective immunotherapies and other therapeutic products;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 therapies that are less expensive or have better reimbursement from private or public payors;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184"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Due to the promising clinical therapeutic effect of competitor therapies in clinical exploratory trials, we anticipate substantial direct competition from other organizations developing advanced T-cell therapies targeting patients who have received prior anti-PD-1/PD-L1 therapies. In particular, we expect to compete with other new therapies for our lead indications developed by companies such as Agenus, BeyondSpring, Bristol-Myers Squibb, Merck, Nektar Therapeutics, Checkmate Pharmaceuticals, Daiichi Sankyo, Eisai, Exelixis, Moderna, Mirati Therapeutics, OncoSec Medical, Replimune, Regeneron Pharmaceuticals, Seagen, and Genmab. We also may compete with other TIL therapies in development by companies such as Instil Bio, Achilles Therapeutics, KSQ Therapeutics, Obsidian Therapeutics, Immatics, TILT Biotherapeutics, WindMIL Therapeutics, GRIT Biotechnology, Lyell Immunopharma, Cellular Biomedicine Group, and others. We also may compete with therapies based on genetically engineered T-cell receptors rendered reactive against tumor-associated antigens prior to their administration to patients, as well as TIL therapies that are designed to be specific to neoantigens, including products developed by Adaptimmune Therapeutics, Alaunos Therapeutics, Intima Bioscience, Marker Therapeutics, Turnstone Biologics, Neogene, and others. To date, these technologies have been primarily applicable to hematologic malignancies, but their application in solid tumor indications may create competition with us. We may also face competition from immunotherapy treatments offered by companies such as Amgen, AstraZeneca, Bristol-Myers Squibb, Merck, Pfizer, Regeneron Pharmaceuticals, Roche, and BioNTech. We may also face competition from novel IL-2 treatments in development by Alkermes, Werewolf, Nektar Therapeutics, Merck, Sanofi, Neoleukin Therapeutics and others.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4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Universities and public and private research institutions in the U.S. and Europe are also potential competitors. For example, a Phase 3 M14TIL clinical trial comparing TIL to standard ipilimumab in patients with metastatic melanoma is currently being conducted in Europe by the Netherlands Cancer Institute, the Copenhagen County Herlev University Hospital, and the University of Manchester. Results from the M14TIL clinical trial were presented at the European Society for Medical Oncology Congress in September 2022.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492"/>
        <w:spacing w:after="0" w:line="271" w:lineRule="auto"/>
        <w:rPr>
          <w:sz w:val="20"/>
          <w:szCs w:val="20"/>
          <w:color w:val="auto"/>
        </w:rPr>
      </w:pPr>
      <w:r>
        <w:rPr>
          <w:rFonts w:ascii="Arial" w:cs="Arial" w:eastAsia="Arial" w:hAnsi="Arial"/>
          <w:sz w:val="17"/>
          <w:szCs w:val="17"/>
          <w:color w:val="auto"/>
        </w:rPr>
        <w:t>Our lead product candidate lifileucel is a therapy for the treatment of metastatic melanoma and metastatic cervical cancer. Currently, there are numerous companies that are developing various alternate treatments for melanoma and cervical cancer, including patients that have progressed after prior treatment with checkpoint inhibitors and chemotherapy. Accordingly, lifileucel faces significant competition in the melanoma and cervical cancer treatment space from multiple companies. Even if we obtain regulatory approval for lifileucel,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138" w:lineRule="exact"/>
        <w:rPr>
          <w:sz w:val="20"/>
          <w:szCs w:val="20"/>
          <w:color w:val="auto"/>
        </w:rPr>
      </w:pPr>
    </w:p>
    <w:p>
      <w:pPr>
        <w:ind w:right="60" w:firstLine="492"/>
        <w:spacing w:after="0" w:line="275"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49" w:lineRule="exact"/>
        <w:rPr>
          <w:sz w:val="20"/>
          <w:szCs w:val="20"/>
          <w:color w:val="auto"/>
        </w:rPr>
      </w:pPr>
    </w:p>
    <w:p>
      <w:pPr>
        <w:ind w:right="480" w:firstLine="492"/>
        <w:spacing w:after="0" w:line="342" w:lineRule="auto"/>
        <w:rPr>
          <w:sz w:val="20"/>
          <w:szCs w:val="20"/>
          <w:color w:val="auto"/>
        </w:rPr>
      </w:pPr>
      <w:r>
        <w:rPr>
          <w:rFonts w:ascii="Arial" w:cs="Arial" w:eastAsia="Arial" w:hAnsi="Arial"/>
          <w:sz w:val="16"/>
          <w:szCs w:val="16"/>
          <w:b w:val="1"/>
          <w:bCs w:val="1"/>
          <w:i w:val="1"/>
          <w:iCs w:val="1"/>
          <w:color w:val="auto"/>
        </w:rPr>
        <w:t>We are dependent on third parties to support our research, development and manufacturing activities and, therefore, are subject to the efforts of these parties and our ability to successfully collaborate with these third parties.</w:t>
      </w:r>
    </w:p>
    <w:p>
      <w:pPr>
        <w:spacing w:after="0" w:line="83" w:lineRule="exact"/>
        <w:rPr>
          <w:sz w:val="20"/>
          <w:szCs w:val="20"/>
          <w:color w:val="auto"/>
        </w:rPr>
      </w:pPr>
    </w:p>
    <w:p>
      <w:pPr>
        <w:jc w:val="both"/>
        <w:ind w:right="60" w:firstLine="492"/>
        <w:spacing w:after="0" w:line="287" w:lineRule="auto"/>
        <w:rPr>
          <w:sz w:val="20"/>
          <w:szCs w:val="20"/>
          <w:color w:val="auto"/>
        </w:rPr>
      </w:pPr>
      <w:r>
        <w:rPr>
          <w:rFonts w:ascii="Arial" w:cs="Arial" w:eastAsia="Arial" w:hAnsi="Arial"/>
          <w:sz w:val="16"/>
          <w:szCs w:val="16"/>
          <w:color w:val="auto"/>
        </w:rPr>
        <w:t>As a result of our current strategy to outsource most of our manufacturing, we rely very heavily on third parties to perform for us the manufacturing of our products for our clinical trials. We also license a portion of our technology from others. We intend to rely upon our contract manufacturers to produce large quantities of materials needed for clinical trials and potentially product commercialization.</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36"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Cellectis, Yale University, the Ohio State University, and Novartis.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or may be unable to enroll patients, which has occurred in one of our prior collaborations.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under the collaboration agreement.</w:t>
      </w:r>
    </w:p>
    <w:p>
      <w:pPr>
        <w:spacing w:after="0" w:line="141"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146" w:lineRule="exact"/>
        <w:rPr>
          <w:sz w:val="20"/>
          <w:szCs w:val="20"/>
          <w:color w:val="auto"/>
        </w:rPr>
      </w:pPr>
    </w:p>
    <w:p>
      <w:pPr>
        <w:ind w:right="260" w:firstLine="492"/>
        <w:spacing w:after="0" w:line="263" w:lineRule="auto"/>
        <w:rPr>
          <w:sz w:val="20"/>
          <w:szCs w:val="20"/>
          <w:color w:val="auto"/>
        </w:rPr>
      </w:pPr>
      <w:r>
        <w:rPr>
          <w:rFonts w:ascii="Arial" w:cs="Arial" w:eastAsia="Arial" w:hAnsi="Arial"/>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43" w:lineRule="exact"/>
        <w:rPr>
          <w:sz w:val="20"/>
          <w:szCs w:val="20"/>
          <w:color w:val="auto"/>
        </w:rPr>
      </w:pPr>
    </w:p>
    <w:p>
      <w:pPr>
        <w:ind w:left="820" w:hanging="32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 w:lineRule="exact"/>
        <w:rPr>
          <w:rFonts w:ascii="Arial" w:cs="Arial" w:eastAsia="Arial" w:hAnsi="Arial"/>
          <w:sz w:val="18"/>
          <w:szCs w:val="18"/>
          <w:color w:val="auto"/>
        </w:rPr>
      </w:pPr>
    </w:p>
    <w:p>
      <w:pPr>
        <w:ind w:left="820" w:right="40" w:hanging="320"/>
        <w:spacing w:after="0" w:line="253" w:lineRule="auto"/>
        <w:tabs>
          <w:tab w:leader="none" w:pos="8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20" w:right="20" w:hanging="320"/>
        <w:spacing w:after="0" w:line="255" w:lineRule="auto"/>
        <w:tabs>
          <w:tab w:leader="none" w:pos="8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 w:lineRule="exact"/>
        <w:rPr>
          <w:rFonts w:ascii="Arial" w:cs="Arial" w:eastAsia="Arial" w:hAnsi="Arial"/>
          <w:sz w:val="18"/>
          <w:szCs w:val="18"/>
          <w:color w:val="auto"/>
        </w:rPr>
      </w:pPr>
    </w:p>
    <w:p>
      <w:pPr>
        <w:ind w:left="820" w:hanging="32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9"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ind w:left="820" w:hanging="320"/>
        <w:spacing w:after="0" w:line="265" w:lineRule="auto"/>
        <w:tabs>
          <w:tab w:leader="none" w:pos="814"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ind w:left="820" w:right="140" w:hanging="320"/>
        <w:spacing w:after="0" w:line="250" w:lineRule="auto"/>
        <w:tabs>
          <w:tab w:leader="none" w:pos="8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 w:lineRule="exact"/>
        <w:rPr>
          <w:rFonts w:ascii="Arial" w:cs="Arial" w:eastAsia="Arial" w:hAnsi="Arial"/>
          <w:sz w:val="18"/>
          <w:szCs w:val="18"/>
          <w:color w:val="auto"/>
        </w:rPr>
      </w:pPr>
    </w:p>
    <w:p>
      <w:pPr>
        <w:jc w:val="both"/>
        <w:ind w:left="820" w:right="600" w:hanging="320"/>
        <w:spacing w:after="0" w:line="281" w:lineRule="auto"/>
        <w:tabs>
          <w:tab w:leader="none" w:pos="814"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 w:lineRule="exact"/>
        <w:rPr>
          <w:rFonts w:ascii="Arial" w:cs="Arial" w:eastAsia="Arial" w:hAnsi="Arial"/>
          <w:sz w:val="16"/>
          <w:szCs w:val="16"/>
          <w:color w:val="auto"/>
        </w:rPr>
      </w:pPr>
    </w:p>
    <w:p>
      <w:pPr>
        <w:ind w:left="820" w:right="160" w:hanging="320"/>
        <w:spacing w:after="0" w:line="250" w:lineRule="auto"/>
        <w:tabs>
          <w:tab w:leader="none" w:pos="8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 w:lineRule="exact"/>
        <w:rPr>
          <w:rFonts w:ascii="Arial" w:cs="Arial" w:eastAsia="Arial" w:hAnsi="Arial"/>
          <w:sz w:val="18"/>
          <w:szCs w:val="18"/>
          <w:color w:val="auto"/>
        </w:rPr>
      </w:pPr>
    </w:p>
    <w:p>
      <w:pPr>
        <w:ind w:left="820" w:right="140" w:hanging="320"/>
        <w:spacing w:after="0" w:line="250" w:lineRule="auto"/>
        <w:tabs>
          <w:tab w:leader="none" w:pos="8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ind w:left="820" w:right="80" w:hanging="320"/>
        <w:spacing w:after="0" w:line="250" w:lineRule="auto"/>
        <w:tabs>
          <w:tab w:leader="none" w:pos="8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resulting in the decreased emphasis or termination of development or commercialization of any product candidate subject to the collaboration agreement; and</w:t>
      </w:r>
    </w:p>
    <w:p>
      <w:pPr>
        <w:ind w:left="820" w:right="20" w:hanging="320"/>
        <w:spacing w:after="0" w:line="323" w:lineRule="auto"/>
        <w:tabs>
          <w:tab w:leader="none" w:pos="81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98"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If any third-party collaborator breaches or terminates its agreement with us or fails to conduct its activities in a timely manner, the commercialization of our products under development could be delayed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149"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pacing w:after="0" w:line="146"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 studies may not be seen in our current or future studies that employ our manufacturing processes and the results generated from their studies may not support approval of our product candidates.</w:t>
      </w:r>
    </w:p>
    <w:p>
      <w:pPr>
        <w:spacing w:after="0" w:line="152"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30" w:lineRule="exact"/>
        <w:rPr>
          <w:sz w:val="20"/>
          <w:szCs w:val="20"/>
          <w:color w:val="auto"/>
        </w:rPr>
      </w:pPr>
    </w:p>
    <w:p>
      <w:pPr>
        <w:ind w:right="40" w:firstLine="492"/>
        <w:spacing w:after="0" w:line="287" w:lineRule="auto"/>
        <w:rPr>
          <w:sz w:val="20"/>
          <w:szCs w:val="20"/>
          <w:color w:val="auto"/>
        </w:rPr>
      </w:pPr>
      <w:r>
        <w:rPr>
          <w:rFonts w:ascii="Arial" w:cs="Arial" w:eastAsia="Arial" w:hAnsi="Arial"/>
          <w:sz w:val="16"/>
          <w:szCs w:val="16"/>
          <w:color w:val="auto"/>
        </w:rPr>
        <w:t>We are currently developing lifileucel as part of a regimen which uses IL-2. We and our collaborators are also clinical trialing TIL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clinical trials could show that any positive results are attributable to the already approved product. Moreover, following product approval, the FDA may require that products used in conjunction with each other be cross labeled for combined use. Additionally, the FDA review process can be more complicated for combination products, and may result in delays, particularly if complex therapeutics are involved.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145" w:lineRule="exact"/>
        <w:rPr>
          <w:sz w:val="20"/>
          <w:szCs w:val="20"/>
          <w:color w:val="auto"/>
        </w:rPr>
      </w:pPr>
    </w:p>
    <w:p>
      <w:pPr>
        <w:ind w:right="420" w:firstLine="492"/>
        <w:spacing w:after="0" w:line="263" w:lineRule="auto"/>
        <w:rPr>
          <w:sz w:val="20"/>
          <w:szCs w:val="20"/>
          <w:color w:val="auto"/>
        </w:rPr>
      </w:pPr>
      <w:r>
        <w:rPr>
          <w:rFonts w:ascii="Arial" w:cs="Arial" w:eastAsia="Arial" w:hAnsi="Arial"/>
          <w:sz w:val="18"/>
          <w:szCs w:val="18"/>
          <w:b w:val="1"/>
          <w:bCs w:val="1"/>
          <w:i w:val="1"/>
          <w:iCs w:val="1"/>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43" w:lineRule="exact"/>
        <w:rPr>
          <w:sz w:val="20"/>
          <w:szCs w:val="20"/>
          <w:color w:val="auto"/>
        </w:rPr>
      </w:pPr>
    </w:p>
    <w:p>
      <w:pPr>
        <w:ind w:right="80" w:firstLine="492"/>
        <w:spacing w:after="0" w:line="270" w:lineRule="auto"/>
        <w:rPr>
          <w:sz w:val="20"/>
          <w:szCs w:val="20"/>
          <w:color w:val="auto"/>
        </w:rPr>
      </w:pPr>
      <w:r>
        <w:rPr>
          <w:rFonts w:ascii="Arial" w:cs="Arial" w:eastAsia="Arial" w:hAnsi="Arial"/>
          <w:sz w:val="17"/>
          <w:szCs w:val="17"/>
          <w:color w:val="auto"/>
        </w:rPr>
        <w:t>We were granted Fast Track designation by the FDA for lifileucel in metastatic melanoma and metastatic cervical cancer, as well as for lifileucel in combination with pembrolizumab in advanced melanoma. We were granted BTD, for lifileucel for metastatic cervical cancer and Regenerative Medicine Advanced Therapy, or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spacing w:after="0" w:line="140" w:lineRule="exact"/>
        <w:rPr>
          <w:sz w:val="20"/>
          <w:szCs w:val="20"/>
          <w:color w:val="auto"/>
        </w:rPr>
      </w:pPr>
    </w:p>
    <w:p>
      <w:pPr>
        <w:jc w:val="both"/>
        <w:ind w:right="60" w:firstLine="492"/>
        <w:spacing w:after="0" w:line="311" w:lineRule="auto"/>
        <w:rPr>
          <w:sz w:val="20"/>
          <w:szCs w:val="20"/>
          <w:color w:val="auto"/>
        </w:rPr>
      </w:pPr>
      <w:r>
        <w:rPr>
          <w:rFonts w:ascii="Arial" w:cs="Arial" w:eastAsia="Arial" w:hAnsi="Arial"/>
          <w:sz w:val="16"/>
          <w:szCs w:val="16"/>
          <w:b w:val="1"/>
          <w:bCs w:val="1"/>
          <w:i w:val="1"/>
          <w:iCs w:val="1"/>
          <w:color w:val="auto"/>
        </w:rPr>
        <w:t>While lifileucel has received Orphan Drug Designation, or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22"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received ODD in the U.S. for lifileucel to treat malignant melanoma stages IIB-IV and cervical cancer patients with tumors greater than 2 cm. We may also seek ODD for our other product candidates, as appropriate. ODD, however, may be lost if the indication for which we develop our designated product candidates does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45" w:lineRule="exact"/>
        <w:rPr>
          <w:sz w:val="20"/>
          <w:szCs w:val="20"/>
          <w:color w:val="auto"/>
        </w:rPr>
      </w:pPr>
    </w:p>
    <w:p>
      <w:pPr>
        <w:jc w:val="both"/>
        <w:ind w:right="220" w:firstLine="492"/>
        <w:spacing w:after="0" w:line="286" w:lineRule="auto"/>
        <w:rPr>
          <w:sz w:val="20"/>
          <w:szCs w:val="20"/>
          <w:color w:val="auto"/>
        </w:rPr>
      </w:pPr>
      <w:r>
        <w:rPr>
          <w:rFonts w:ascii="Arial" w:cs="Arial" w:eastAsia="Arial" w:hAnsi="Arial"/>
          <w:sz w:val="17"/>
          <w:szCs w:val="17"/>
          <w:color w:val="auto"/>
        </w:rPr>
        <w:t>Moreover, the FDA may grant ODDs to multiple of the same products for the same indication. If another sponsor receives FDA approval for an ODD-designated product that is the same as our product candidates and intended for the same indication before we do, we would be prevented from launching our product in the U.S. for this indication for a period of at least 7 years.</w:t>
      </w:r>
    </w:p>
    <w:p>
      <w:pPr>
        <w:spacing w:after="0" w:line="125" w:lineRule="exact"/>
        <w:rPr>
          <w:sz w:val="20"/>
          <w:szCs w:val="20"/>
          <w:color w:val="auto"/>
        </w:rPr>
      </w:pPr>
    </w:p>
    <w:p>
      <w:pPr>
        <w:ind w:right="120" w:firstLine="492"/>
        <w:spacing w:after="0" w:line="257" w:lineRule="auto"/>
        <w:rPr>
          <w:sz w:val="20"/>
          <w:szCs w:val="20"/>
          <w:color w:val="auto"/>
        </w:rPr>
      </w:pPr>
      <w:r>
        <w:rPr>
          <w:rFonts w:ascii="Arial" w:cs="Arial" w:eastAsia="Arial" w:hAnsi="Arial"/>
          <w:sz w:val="18"/>
          <w:szCs w:val="18"/>
          <w:color w:val="auto"/>
        </w:rPr>
        <w:t>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43"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As a condition of biologic licensing, the FDA is authorized to require that sponsors of approved BLAs implement various post-market requirements, including REMS and Phase 4 studies. For example, we reached an agreement with the FDA regarding a confirmatory trial to support full approval of lifileucel in post-anti-PD-1 advanced melanoma, which we refer to as TILVANCE-301. We began startup activities for the randomized Phase 3 TILVANCE-301 trial in the fourth quarter of 2022.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151" w:lineRule="exact"/>
        <w:rPr>
          <w:sz w:val="20"/>
          <w:szCs w:val="20"/>
          <w:color w:val="auto"/>
        </w:rPr>
      </w:pPr>
    </w:p>
    <w:p>
      <w:pPr>
        <w:ind w:right="180" w:firstLine="492"/>
        <w:spacing w:after="0" w:line="342" w:lineRule="auto"/>
        <w:rPr>
          <w:sz w:val="20"/>
          <w:szCs w:val="20"/>
          <w:color w:val="auto"/>
        </w:rPr>
      </w:pPr>
      <w:r>
        <w:rPr>
          <w:rFonts w:ascii="Arial" w:cs="Arial" w:eastAsia="Arial" w:hAnsi="Arial"/>
          <w:sz w:val="16"/>
          <w:szCs w:val="16"/>
          <w:b w:val="1"/>
          <w:bCs w:val="1"/>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spacing w:after="0" w:line="83" w:lineRule="exact"/>
        <w:rPr>
          <w:sz w:val="20"/>
          <w:szCs w:val="20"/>
          <w:color w:val="auto"/>
        </w:rPr>
      </w:pPr>
    </w:p>
    <w:p>
      <w:pPr>
        <w:ind w:right="60" w:firstLine="492"/>
        <w:spacing w:after="0" w:line="271" w:lineRule="auto"/>
        <w:rPr>
          <w:sz w:val="20"/>
          <w:szCs w:val="20"/>
          <w:color w:val="auto"/>
        </w:rPr>
      </w:pPr>
      <w:r>
        <w:rPr>
          <w:rFonts w:ascii="Arial" w:cs="Arial" w:eastAsia="Arial" w:hAnsi="Arial"/>
          <w:sz w:val="17"/>
          <w:szCs w:val="17"/>
          <w:color w:val="auto"/>
        </w:rPr>
        <w:t>We currently have a small commercial team focused on our commercial strategy, but we do not have a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38" w:lineRule="exact"/>
        <w:rPr>
          <w:sz w:val="20"/>
          <w:szCs w:val="20"/>
          <w:color w:val="auto"/>
        </w:rPr>
      </w:pPr>
    </w:p>
    <w:p>
      <w:pPr>
        <w:ind w:right="60" w:firstLine="492"/>
        <w:spacing w:after="0" w:line="290" w:lineRule="auto"/>
        <w:rPr>
          <w:sz w:val="20"/>
          <w:szCs w:val="20"/>
          <w:color w:val="auto"/>
        </w:rPr>
      </w:pPr>
      <w:r>
        <w:rPr>
          <w:rFonts w:ascii="Arial" w:cs="Arial" w:eastAsia="Arial" w:hAnsi="Arial"/>
          <w:sz w:val="16"/>
          <w:szCs w:val="16"/>
          <w:color w:val="auto"/>
        </w:rPr>
        <w:t>We have no prior experience in the marketing, sale, and distribution of biopharmaceutical products, and there are significant risks involved in the building and managing of a commercial infrastructure. The establishment and development of commercial capabilities, including a comprehensive healthcare compliance program,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sales and commercial support personnel. In the event we are unable to develop a commercial infrastructure, we may not be able to commercialize our current or future product candidates, which would limit our ability to generate product revenues. Factors that may inhibit our efforts to commercialize our current or future product candidates and generate product revenues include:</w:t>
      </w:r>
    </w:p>
    <w:p>
      <w:pPr>
        <w:spacing w:after="0" w:line="138" w:lineRule="exact"/>
        <w:rPr>
          <w:sz w:val="20"/>
          <w:szCs w:val="20"/>
          <w:color w:val="auto"/>
        </w:rPr>
      </w:pPr>
    </w:p>
    <w:p>
      <w:pPr>
        <w:ind w:left="820" w:right="340" w:hanging="320"/>
        <w:spacing w:after="0" w:line="291" w:lineRule="auto"/>
        <w:tabs>
          <w:tab w:leader="none" w:pos="814"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the COVID-19 pandemic continues or reoccurs it may negatively impact our ability to establish commercial operations, educate and interact with healthcare professionals, and successfully launch our product on a timely basis;</w:t>
      </w:r>
    </w:p>
    <w:p>
      <w:pPr>
        <w:ind w:left="820" w:right="320" w:hanging="320"/>
        <w:spacing w:after="0" w:line="250" w:lineRule="auto"/>
        <w:tabs>
          <w:tab w:leader="none" w:pos="8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current or future product candidates;</w:t>
      </w: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9" w:lineRule="exact"/>
        <w:rPr>
          <w:rFonts w:ascii="Arial" w:cs="Arial" w:eastAsia="Arial" w:hAnsi="Arial"/>
          <w:sz w:val="18"/>
          <w:szCs w:val="18"/>
          <w:color w:val="auto"/>
        </w:rPr>
      </w:pPr>
    </w:p>
    <w:p>
      <w:pPr>
        <w:ind w:left="820" w:right="260" w:hanging="320"/>
        <w:spacing w:after="0" w:line="250" w:lineRule="auto"/>
        <w:tabs>
          <w:tab w:leader="none" w:pos="8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and time associated with the initial and ongoing training of sales and marketing personnel on legal and regulatory compliance matters and monitoring their actions;</w:t>
      </w: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claims that we may make for the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9"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9" w:lineRule="exact"/>
        <w:rPr>
          <w:rFonts w:ascii="Arial" w:cs="Arial" w:eastAsia="Arial" w:hAnsi="Arial"/>
          <w:sz w:val="18"/>
          <w:szCs w:val="18"/>
          <w:color w:val="auto"/>
        </w:rPr>
      </w:pPr>
    </w:p>
    <w:p>
      <w:pPr>
        <w:ind w:left="820" w:right="60" w:hanging="320"/>
        <w:spacing w:after="0" w:line="250" w:lineRule="auto"/>
        <w:tabs>
          <w:tab w:leader="none" w:pos="8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820" w:right="560" w:hanging="320"/>
        <w:spacing w:after="0" w:line="260" w:lineRule="auto"/>
        <w:tabs>
          <w:tab w:leader="none" w:pos="8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80" w:firstLine="492"/>
        <w:spacing w:after="0" w:line="277" w:lineRule="auto"/>
        <w:rPr>
          <w:sz w:val="20"/>
          <w:szCs w:val="20"/>
          <w:color w:val="auto"/>
        </w:rPr>
      </w:pPr>
      <w:r>
        <w:rPr>
          <w:rFonts w:ascii="Arial" w:cs="Arial" w:eastAsia="Arial" w:hAnsi="Arial"/>
          <w:sz w:val="18"/>
          <w:szCs w:val="18"/>
          <w:b w:val="1"/>
          <w:bCs w:val="1"/>
          <w:i w:val="1"/>
          <w:iCs w:val="1"/>
          <w:color w:val="auto"/>
        </w:rPr>
        <w:t>If our product candidates do not achieve broad market acceptance, the revenues that we generate from their sales will be limited.</w:t>
      </w:r>
    </w:p>
    <w:p>
      <w:pPr>
        <w:spacing w:after="0" w:line="130"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50"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46" w:lineRule="exact"/>
        <w:rPr>
          <w:sz w:val="20"/>
          <w:szCs w:val="20"/>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clinical indications for which the products are approved and the approved claims that we may make for the products;</w:t>
      </w:r>
    </w:p>
    <w:p>
      <w:pPr>
        <w:spacing w:after="0" w:line="20" w:lineRule="exact"/>
        <w:rPr>
          <w:rFonts w:ascii="Arial" w:cs="Arial" w:eastAsia="Arial" w:hAnsi="Arial"/>
          <w:sz w:val="17"/>
          <w:szCs w:val="17"/>
          <w:color w:val="auto"/>
        </w:rPr>
      </w:pPr>
    </w:p>
    <w:p>
      <w:pPr>
        <w:ind w:left="820" w:right="640" w:hanging="320"/>
        <w:spacing w:after="0" w:line="250" w:lineRule="auto"/>
        <w:tabs>
          <w:tab w:leader="none" w:pos="8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or warnings contained in the approved product’s FDA-required labeling, including potential limitations or warnings for such products that may be more restrictive than other competitive products;</w:t>
      </w: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relative difficulty of administration of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9"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parties, such as insurance companies and other healthcare payors, and by government healthcare programs, including Medicare and Medicaid;</w:t>
      </w: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candidates;</w:t>
      </w:r>
    </w:p>
    <w:p>
      <w:pPr>
        <w:spacing w:after="0" w:line="9" w:lineRule="exact"/>
        <w:rPr>
          <w:rFonts w:ascii="Arial" w:cs="Arial" w:eastAsia="Arial" w:hAnsi="Arial"/>
          <w:sz w:val="18"/>
          <w:szCs w:val="18"/>
          <w:color w:val="auto"/>
        </w:rPr>
      </w:pPr>
    </w:p>
    <w:p>
      <w:pPr>
        <w:ind w:left="820" w:right="240" w:hanging="320"/>
        <w:spacing w:after="0" w:line="250" w:lineRule="auto"/>
        <w:tabs>
          <w:tab w:leader="none" w:pos="8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ind w:left="820" w:hanging="320"/>
        <w:spacing w:after="0" w:line="250" w:lineRule="auto"/>
        <w:tabs>
          <w:tab w:leader="none" w:pos="8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with respect to such product candidates or to which we agree as part of a mandatory risk evaluation and mitigation strategy or voluntary risk management plan;</w:t>
      </w: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candidates, as well as competitive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offer such product candidates for sale at competitive prices;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7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w:t>
      </w:r>
    </w:p>
    <w:p>
      <w:pPr>
        <w:spacing w:after="0" w:line="18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enactment of the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12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proprietary branded product names, and any failure or delay associated with such approval may adversely affect our business.</w:t>
      </w:r>
    </w:p>
    <w:p>
      <w:pPr>
        <w:spacing w:after="0" w:line="143"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proprietary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26"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30"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Despite the implementation of security measures, our internal computer systems and those of our contract research organizations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dependent on information technology, systems, infrastructure and data.</w:t>
      </w:r>
    </w:p>
    <w:p>
      <w:pPr>
        <w:spacing w:after="0" w:line="185" w:lineRule="exact"/>
        <w:rPr>
          <w:sz w:val="20"/>
          <w:szCs w:val="20"/>
          <w:color w:val="auto"/>
        </w:rPr>
      </w:pPr>
    </w:p>
    <w:p>
      <w:pPr>
        <w:ind w:right="80" w:firstLine="486"/>
        <w:spacing w:after="0" w:line="268" w:lineRule="auto"/>
        <w:rPr>
          <w:sz w:val="20"/>
          <w:szCs w:val="20"/>
          <w:color w:val="auto"/>
        </w:rPr>
      </w:pPr>
      <w:r>
        <w:rPr>
          <w:rFonts w:ascii="Arial" w:cs="Arial" w:eastAsia="Arial" w:hAnsi="Arial"/>
          <w:sz w:val="17"/>
          <w:szCs w:val="17"/>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cybersecurity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The Russia-Ukraine conflict may also increase cybersecurity risks on a global basis. Cyberattacks could include the deployment of harmful malware, denial-of-service, ransomware, social engineering and other means to affect service reliability and threaten data confidentiality, privacy,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cybersecurity related breaches.</w:t>
      </w:r>
    </w:p>
    <w:p>
      <w:pPr>
        <w:sectPr>
          <w:pgSz w:w="11900" w:h="16838" w:orient="portrait"/>
          <w:cols w:equalWidth="0" w:num="1">
            <w:col w:w="9880"/>
          </w:cols>
          <w:pgMar w:left="980" w:top="665" w:right="1039" w:bottom="1440" w:gutter="0" w:footer="0" w:header="0"/>
        </w:sect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492"/>
        <w:spacing w:after="0" w:line="296" w:lineRule="auto"/>
        <w:rPr>
          <w:sz w:val="20"/>
          <w:szCs w:val="20"/>
          <w:color w:val="auto"/>
        </w:rPr>
      </w:pPr>
      <w:r>
        <w:rPr>
          <w:rFonts w:ascii="Arial" w:cs="Arial" w:eastAsia="Arial" w:hAnsi="Arial"/>
          <w:sz w:val="16"/>
          <w:szCs w:val="16"/>
          <w:b w:val="1"/>
          <w:bCs w:val="1"/>
          <w:i w:val="1"/>
          <w:iCs w:val="1"/>
          <w:color w:val="auto"/>
        </w:rPr>
        <w:t>Our business could be adversely affected by the effects of health epidemics, including the continued spread of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at our manufacturing facility in Philadelphia, Pennsylvania, and at our clinical trial sites, as well as the business or operations of our other manufacturers, CROs or other third parties with whom we conduct business.</w:t>
      </w:r>
    </w:p>
    <w:p>
      <w:pPr>
        <w:spacing w:after="0" w:line="121"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Our business could be adversely affected by health epidemics in regions where we have offices, manufacturing facilities, concentrations of clinical trial sites or other business operations, and could cause significant disruption in the operations of clinical trial sites, third party manufacturers and CROs upon whom we rely. For example, starting in December 2019, a novel strain of coronavirus (“COVID-19”) was reported to have surfaced in Wuhan, China and has spread to multiple countries, including the U.S. and several European countries. In March 2020, the World Health Organization declared COVID-19 a global pandemic and the U.S. declared the COVID-19 pandemic a national emergency. Similarly, during that time, the State of California declared a state of emergency related to the spread of the COVID-19 pandemic and the health officers of six San Francisco Bay Area counties, including San Mateo County where our headquarters in San Carlos is located, issued shelter-in-place orders.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Throughout 2020 and 2021, similar executive orders were issued by state and local governments, and states of emergency had been declared at the state and local level in most jurisdictions throughout the U.S. As recently as April 2022, ports and airports in Shanghai, China have been closed due to another outbreak of COVID-19, resulting in a lockdown of the city and disruption to export and import activities. In the U.S., many of these executive orders have been rescinded, however, the Company remains vigilant and continues to monitor the ongoing COVID-19 pandemic closely to determine if additional actions are required.</w:t>
      </w:r>
    </w:p>
    <w:p>
      <w:pPr>
        <w:spacing w:after="0" w:line="153"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the COVID-19 pandemic or other infectious diseases could impact personnel at third-party manufacturing facilities in the U.S. and other countries, or the availability or cost of materials, which would disrupt our supply chain. In addition, our clinical trials may be affected by the COVID-19 pandemic. Clinical site initiation, patient enrollment and patient monitoring may be delayed due to prioritization of hospital resources toward the COVID-19 pandemic. Some sites may no longer be available to see patients for clinical trials. Some patients may not be able to comply with clinical trial protocols if quarantines impede patient movement or interrupt healthcare services. Patients may also miss follow-up visits after receiving our therapies during our clinical trials, which may or may not be rectified by future patient visits and which may result in the exclusion of data from such patients from the clinical trial data. Similarly, our ability to recruit and retain patients and principal investigators and site staff who, as healthcare providers, may have heightened exposure to the virus that causes the COVID-19 pandemic and adversely impact our clinical trial operations. The COVID-19 pandemic may also affect our ability to recruit treatment-naïve patients into our clinical trials, because those patients may be more likely to seek standard of care therapies available at local treatment centers rather than enroll in a clinical trial at a larger hospital.</w:t>
      </w:r>
    </w:p>
    <w:p>
      <w:pPr>
        <w:spacing w:after="0" w:line="146" w:lineRule="exact"/>
        <w:rPr>
          <w:sz w:val="20"/>
          <w:szCs w:val="20"/>
          <w:color w:val="auto"/>
        </w:rPr>
      </w:pPr>
    </w:p>
    <w:p>
      <w:pPr>
        <w:ind w:right="140" w:firstLine="492"/>
        <w:spacing w:after="0" w:line="269" w:lineRule="auto"/>
        <w:rPr>
          <w:sz w:val="20"/>
          <w:szCs w:val="20"/>
          <w:color w:val="auto"/>
        </w:rPr>
      </w:pPr>
      <w:r>
        <w:rPr>
          <w:rFonts w:ascii="Arial" w:cs="Arial" w:eastAsia="Arial" w:hAnsi="Arial"/>
          <w:sz w:val="17"/>
          <w:szCs w:val="17"/>
          <w:color w:val="auto"/>
        </w:rPr>
        <w:t>We continue to monitor the impact, if any, of the COVID-19 pandemic on our current and future operations, including our regulatory filing timelines and strategy as well as our preparation for commercial launch. Despite the wide-spread availability of COVID-19 vaccines, it is unclear the extent to which the COVID-19 pandemic (including future variants) will impact our business, results of operations, financial condition and our future strategic plans as future developments of the outbreak are highly uncertain and cannot be predicted. New information is constantly emerging concerning the severity of COVID-19 and the actions to contain COVID-19 or treat its impact, among others. As the COVID-19 pandemic continues for an extended period of time, and with travel, face to face interactions, and resources are not allowed or are severely limited, either by us or our contractors, including our CMOs, our regulatory strategy, BLA filing timelines, or commercial launch preparations may be negatively impacted. The COVID-19 pandemic may also impact the FDA and their ability to timely review our regulatory filings and conduct the pre-approval inspections necessary for ultimate approval of BLA. We cannot predict at this time whether and how FDA operations may be impacted at relevant times for our planned regulatory submissions.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30" w:lineRule="exact"/>
        <w:rPr>
          <w:sz w:val="20"/>
          <w:szCs w:val="20"/>
          <w:color w:val="auto"/>
        </w:rPr>
      </w:pPr>
    </w:p>
    <w:p>
      <w:pPr>
        <w:ind w:right="60" w:firstLine="492"/>
        <w:spacing w:after="0" w:line="254" w:lineRule="auto"/>
        <w:rPr>
          <w:sz w:val="20"/>
          <w:szCs w:val="20"/>
          <w:color w:val="auto"/>
        </w:rPr>
      </w:pPr>
      <w:r>
        <w:rPr>
          <w:rFonts w:ascii="Arial" w:cs="Arial" w:eastAsia="Arial" w:hAnsi="Arial"/>
          <w:sz w:val="18"/>
          <w:szCs w:val="18"/>
          <w:color w:val="auto"/>
        </w:rPr>
        <w:t>European Union, or EU, member states and other foreign jurisdictions, including Switzerland, the United Kingdom and Canada,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w:t>
      </w:r>
    </w:p>
    <w:p>
      <w:pPr>
        <w:spacing w:after="0" w:line="168" w:lineRule="exact"/>
        <w:rPr>
          <w:sz w:val="20"/>
          <w:szCs w:val="20"/>
          <w:color w:val="auto"/>
        </w:rPr>
      </w:pPr>
    </w:p>
    <w:p>
      <w:pPr>
        <w:ind w:right="20" w:firstLine="492"/>
        <w:spacing w:after="0" w:line="285" w:lineRule="auto"/>
        <w:rPr>
          <w:sz w:val="20"/>
          <w:szCs w:val="20"/>
          <w:color w:val="auto"/>
        </w:rPr>
      </w:pPr>
      <w:r>
        <w:rPr>
          <w:rFonts w:ascii="Arial" w:cs="Arial" w:eastAsia="Arial" w:hAnsi="Arial"/>
          <w:sz w:val="16"/>
          <w:szCs w:val="16"/>
          <w:color w:val="auto"/>
        </w:rPr>
        <w:t>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The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If we fail to comply with the data protection laws in any EU member country or other jurisdiction, the data protection authority of such country or other jurisdiction may, in addition to fines, impose sanctions on us, which may include a prohibition that prevents us from transferring and/or processing personal data of data subjects from such country or other jurisdiction for a duration determined by the sanctioning authority. Our inability to transfer and/or process personal data of data subjects could preclude us from conducting clinical trials of our products in the EU member country or other jurisdiction for the duration of the sanction. Our inability to conduct clinical trials in the EU member country or other jurisdiction for the duration of the sanction may delay and increase the cost of development of our products, with a material adverse effect on our business. In this regard, we expect that there will continue to be new proposed laws, regulations and industry standards relating to privacy and data protection in the U.S., the EU and other jurisdictions, and we cannot determine the impact such future laws, regulations and standards may have on our business.</w:t>
      </w:r>
    </w:p>
    <w:p>
      <w:pPr>
        <w:spacing w:after="0" w:line="136"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30"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There are numerous other laws and legislative and regulatory initiatives at the federal and state levels addressing privacy and security concerns, and some state privacy laws apply more broadly than the Health Insurance Portability and Accountability Act, or HIPAA, and associated regulations. For example, California recently enacted legislation, the California Consumer Privacy Act, or CCPA, which went into effect January 1, 2020, and was recently amended and expanded by the California Privacy Rights Act, or CPRA, which will take effect on January 1, 2023. The CCPA and CPRA, among other things, create new data privacy obligations for covered companies and provides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w:t>
      </w:r>
    </w:p>
    <w:p>
      <w:pPr>
        <w:spacing w:after="0" w:line="165"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Although the law includes limited exceptions, including for certain information collected as part of clinical trials as specified in the law, it may regulate or impact our processing of personal information depending on the context.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will need to grow the size and capabilities of our organization, and we may experience difficulties in managing this growth.</w:t>
      </w:r>
    </w:p>
    <w:p>
      <w:pPr>
        <w:spacing w:after="0" w:line="219" w:lineRule="exact"/>
        <w:rPr>
          <w:sz w:val="20"/>
          <w:szCs w:val="20"/>
          <w:color w:val="auto"/>
        </w:rPr>
      </w:pPr>
    </w:p>
    <w:p>
      <w:pPr>
        <w:ind w:right="80" w:firstLine="492"/>
        <w:spacing w:after="0" w:line="255" w:lineRule="auto"/>
        <w:rPr>
          <w:sz w:val="20"/>
          <w:szCs w:val="20"/>
          <w:color w:val="auto"/>
        </w:rPr>
      </w:pPr>
      <w:r>
        <w:rPr>
          <w:rFonts w:ascii="Arial" w:cs="Arial" w:eastAsia="Arial" w:hAnsi="Arial"/>
          <w:sz w:val="18"/>
          <w:szCs w:val="18"/>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20" w:firstLine="492"/>
        <w:spacing w:after="0" w:line="259" w:lineRule="auto"/>
        <w:rPr>
          <w:sz w:val="20"/>
          <w:szCs w:val="20"/>
          <w:color w:val="auto"/>
        </w:rPr>
      </w:pPr>
      <w:r>
        <w:rPr>
          <w:rFonts w:ascii="Arial" w:cs="Arial" w:eastAsia="Arial" w:hAnsi="Arial"/>
          <w:sz w:val="18"/>
          <w:szCs w:val="18"/>
          <w:color w:val="auto"/>
        </w:rPr>
        <w:t>For example, we continue to recruit for a new Chief Executive Officer.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46" w:lineRule="exact"/>
        <w:rPr>
          <w:sz w:val="20"/>
          <w:szCs w:val="20"/>
          <w:color w:val="auto"/>
        </w:rPr>
      </w:pPr>
    </w:p>
    <w:p>
      <w:pPr>
        <w:ind w:left="820" w:hanging="320"/>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3" w:lineRule="exact"/>
        <w:rPr>
          <w:rFonts w:ascii="Arial" w:cs="Arial" w:eastAsia="Arial" w:hAnsi="Arial"/>
          <w:sz w:val="18"/>
          <w:szCs w:val="18"/>
          <w:color w:val="auto"/>
        </w:rPr>
      </w:pPr>
    </w:p>
    <w:p>
      <w:pPr>
        <w:ind w:left="820" w:right="660" w:hanging="320"/>
        <w:spacing w:after="0" w:line="265" w:lineRule="auto"/>
        <w:tabs>
          <w:tab w:leader="none" w:pos="814"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our product candidates, while complying with our contractual obligations to contractors and other third parties; and</w:t>
      </w:r>
    </w:p>
    <w:p>
      <w:pPr>
        <w:ind w:left="820" w:hanging="320"/>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84" w:lineRule="exact"/>
        <w:rPr>
          <w:sz w:val="20"/>
          <w:szCs w:val="20"/>
          <w:color w:val="auto"/>
        </w:rPr>
      </w:pPr>
    </w:p>
    <w:p>
      <w:pPr>
        <w:ind w:right="40" w:firstLine="492"/>
        <w:spacing w:after="0" w:line="286" w:lineRule="auto"/>
        <w:rPr>
          <w:sz w:val="20"/>
          <w:szCs w:val="20"/>
          <w:color w:val="auto"/>
        </w:rPr>
      </w:pPr>
      <w:r>
        <w:rPr>
          <w:rFonts w:ascii="Arial" w:cs="Arial" w:eastAsia="Arial" w:hAnsi="Arial"/>
          <w:sz w:val="17"/>
          <w:szCs w:val="17"/>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25"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51" w:lineRule="exact"/>
        <w:rPr>
          <w:sz w:val="20"/>
          <w:szCs w:val="20"/>
          <w:color w:val="auto"/>
        </w:rPr>
      </w:pPr>
    </w:p>
    <w:p>
      <w:pPr>
        <w:ind w:right="240" w:firstLine="492"/>
        <w:spacing w:after="0" w:line="311" w:lineRule="auto"/>
        <w:rPr>
          <w:sz w:val="20"/>
          <w:szCs w:val="20"/>
          <w:color w:val="auto"/>
        </w:rPr>
      </w:pPr>
      <w:r>
        <w:rPr>
          <w:rFonts w:ascii="Arial" w:cs="Arial" w:eastAsia="Arial" w:hAnsi="Arial"/>
          <w:sz w:val="16"/>
          <w:szCs w:val="16"/>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122" w:lineRule="exact"/>
        <w:rPr>
          <w:sz w:val="20"/>
          <w:szCs w:val="20"/>
          <w:color w:val="auto"/>
        </w:rPr>
      </w:pPr>
    </w:p>
    <w:p>
      <w:pPr>
        <w:ind w:right="920" w:firstLine="492"/>
        <w:spacing w:after="0" w:line="308" w:lineRule="auto"/>
        <w:rPr>
          <w:sz w:val="20"/>
          <w:szCs w:val="20"/>
          <w:color w:val="auto"/>
        </w:rPr>
      </w:pPr>
      <w:r>
        <w:rPr>
          <w:rFonts w:ascii="Arial" w:cs="Arial" w:eastAsia="Arial" w:hAnsi="Arial"/>
          <w:sz w:val="17"/>
          <w:szCs w:val="17"/>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06" w:lineRule="exact"/>
        <w:rPr>
          <w:sz w:val="20"/>
          <w:szCs w:val="20"/>
          <w:color w:val="auto"/>
        </w:rPr>
      </w:pPr>
    </w:p>
    <w:p>
      <w:pPr>
        <w:ind w:right="360" w:firstLine="492"/>
        <w:spacing w:after="0" w:line="263"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43" w:lineRule="exact"/>
        <w:rPr>
          <w:sz w:val="20"/>
          <w:szCs w:val="20"/>
          <w:color w:val="auto"/>
        </w:rPr>
      </w:pPr>
    </w:p>
    <w:p>
      <w:pPr>
        <w:ind w:left="820" w:hanging="320"/>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9" w:lineRule="exact"/>
        <w:rPr>
          <w:rFonts w:ascii="Arial" w:cs="Arial" w:eastAsia="Arial" w:hAnsi="Arial"/>
          <w:sz w:val="18"/>
          <w:szCs w:val="18"/>
          <w:color w:val="auto"/>
        </w:rPr>
      </w:pPr>
    </w:p>
    <w:p>
      <w:pPr>
        <w:ind w:left="820" w:right="580" w:hanging="320"/>
        <w:spacing w:after="0" w:line="250" w:lineRule="auto"/>
        <w:tabs>
          <w:tab w:leader="none" w:pos="81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or product, including difficulties associated with integrating new personnel;</w:t>
      </w:r>
    </w:p>
    <w:p>
      <w:pPr>
        <w:ind w:left="820" w:right="240" w:hanging="320"/>
        <w:spacing w:after="0" w:line="250" w:lineRule="auto"/>
        <w:tabs>
          <w:tab w:leader="none" w:pos="81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ind w:left="820" w:hanging="320"/>
        <w:spacing w:after="0"/>
        <w:tabs>
          <w:tab w:leader="none" w:pos="8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retention of key employees, the loss of key personnel, and uncertainties in our ability to maintain key business relationships;</w:t>
      </w:r>
    </w:p>
    <w:p>
      <w:pPr>
        <w:spacing w:after="0" w:line="32" w:lineRule="exact"/>
        <w:rPr>
          <w:rFonts w:ascii="Arial" w:cs="Arial" w:eastAsia="Arial" w:hAnsi="Arial"/>
          <w:sz w:val="16"/>
          <w:szCs w:val="16"/>
          <w:color w:val="auto"/>
        </w:rPr>
      </w:pPr>
    </w:p>
    <w:p>
      <w:pPr>
        <w:ind w:left="820" w:right="360" w:hanging="320"/>
        <w:spacing w:after="0" w:line="250" w:lineRule="auto"/>
        <w:tabs>
          <w:tab w:leader="none" w:pos="814"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ind w:left="820" w:right="240" w:hanging="320"/>
        <w:spacing w:after="0" w:line="260" w:lineRule="auto"/>
        <w:tabs>
          <w:tab w:leader="none" w:pos="814"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58" w:lineRule="exact"/>
        <w:rPr>
          <w:sz w:val="20"/>
          <w:szCs w:val="20"/>
          <w:color w:val="auto"/>
        </w:rPr>
      </w:pPr>
    </w:p>
    <w:p>
      <w:pPr>
        <w:ind w:right="100" w:firstLine="486"/>
        <w:spacing w:after="0" w:line="290" w:lineRule="auto"/>
        <w:rPr>
          <w:sz w:val="20"/>
          <w:szCs w:val="20"/>
          <w:color w:val="auto"/>
        </w:rPr>
      </w:pPr>
      <w:r>
        <w:rPr>
          <w:rFonts w:ascii="Arial" w:cs="Arial" w:eastAsia="Arial" w:hAnsi="Arial"/>
          <w:sz w:val="16"/>
          <w:szCs w:val="16"/>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 In addition, even if we are able to pursue certain strategic acquisition opportunities,</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such as the anticipated acquisition of Proleukin®, we cannot guarantee that such acquisitions may completed in a timely manner, if at all, or that all conditions necessary to consummate such transactions will be satisfied, including the receipt of all required regulatory approvals.</w:t>
      </w:r>
    </w:p>
    <w:p>
      <w:pPr>
        <w:spacing w:after="0" w:line="143" w:lineRule="exact"/>
        <w:rPr>
          <w:sz w:val="20"/>
          <w:szCs w:val="20"/>
          <w:color w:val="auto"/>
        </w:rPr>
      </w:pPr>
    </w:p>
    <w:p>
      <w:pPr>
        <w:ind w:firstLine="492"/>
        <w:spacing w:after="0" w:line="301" w:lineRule="auto"/>
        <w:rPr>
          <w:sz w:val="20"/>
          <w:szCs w:val="20"/>
          <w:color w:val="auto"/>
        </w:rPr>
      </w:pPr>
      <w:r>
        <w:rPr>
          <w:rFonts w:ascii="Arial" w:cs="Arial" w:eastAsia="Arial" w:hAnsi="Arial"/>
          <w:sz w:val="16"/>
          <w:szCs w:val="16"/>
          <w:b w:val="1"/>
          <w:bCs w:val="1"/>
          <w:i w:val="1"/>
          <w:iCs w:val="1"/>
          <w:color w:val="auto"/>
        </w:rPr>
        <w:t>We are currently operating in a period of economic uncertainty and capital markets disruption, which has been significantly impacted by geopolitical instability, an ongoing military conflict between Russia and Ukraine, and record inflation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Our business, financial condition and results of operations could be materially adversely affected by any negative impact on the global economy and capital markets resulting from the conflict in Ukraine, geopolitical tensions or record inflation.</w:t>
      </w:r>
    </w:p>
    <w:p>
      <w:pPr>
        <w:spacing w:after="0" w:line="130"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which has led to record inflation globally. We are continuing to monitor inflation, the situation in Ukraine and global capital markets and assessing the potential impacts on our business.</w:t>
      </w:r>
    </w:p>
    <w:p>
      <w:pPr>
        <w:spacing w:after="0" w:line="152" w:lineRule="exact"/>
        <w:rPr>
          <w:sz w:val="20"/>
          <w:szCs w:val="20"/>
          <w:color w:val="auto"/>
        </w:rPr>
      </w:pPr>
    </w:p>
    <w:p>
      <w:pPr>
        <w:ind w:right="160" w:firstLine="486"/>
        <w:spacing w:after="0" w:line="268" w:lineRule="auto"/>
        <w:rPr>
          <w:sz w:val="20"/>
          <w:szCs w:val="20"/>
          <w:color w:val="auto"/>
        </w:rPr>
      </w:pPr>
      <w:r>
        <w:rPr>
          <w:rFonts w:ascii="Arial" w:cs="Arial" w:eastAsia="Arial" w:hAnsi="Arial"/>
          <w:sz w:val="17"/>
          <w:szCs w:val="17"/>
          <w:color w:val="auto"/>
        </w:rPr>
        <w:t>The global economy has been, and may continue to be, negatively impacted by Russia’s invasion of Ukraine. As a result of Russia's invasion of Ukraine, the U.S., the European Union, the United Kingdom, and other G7 countries, among other countries, have imposed substantial financial and economic sanctions on certain industry sectors and parties in Russia. Broad restrictions on exports to Russia have also been imposed. These measures include: (i) comprehensive financial sanctions against major Russian banks; (ii) additional designations of Russian individuals with significant business interests and government connections; (iii) designations of individuals and entities involved in Russian military activities; and (iv) enhanced export controls and trade sanctions limiting Russia's ability to import various goods. Russian military actions and the resulting sanctions could continue to adversely affect the global economy and financial markets and lead to instability and lack of liquidity in capital markets, potentially making it more difficult for us to obtain additional funds. Further, there are current geopolitical tensions with China. Recently, the Biden administration has signed multiple executive orders regarding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Any additional executive orders or potential sanctions with China could materially impact our current manufacturing partners.</w:t>
      </w:r>
    </w:p>
    <w:p>
      <w:pPr>
        <w:spacing w:after="0" w:line="146" w:lineRule="exact"/>
        <w:rPr>
          <w:sz w:val="20"/>
          <w:szCs w:val="20"/>
          <w:color w:val="auto"/>
        </w:rPr>
      </w:pPr>
    </w:p>
    <w:p>
      <w:pPr>
        <w:ind w:right="140" w:firstLine="486"/>
        <w:spacing w:after="0" w:line="296" w:lineRule="auto"/>
        <w:rPr>
          <w:sz w:val="20"/>
          <w:szCs w:val="20"/>
          <w:color w:val="auto"/>
        </w:rPr>
      </w:pPr>
      <w:r>
        <w:rPr>
          <w:rFonts w:ascii="Arial" w:cs="Arial" w:eastAsia="Arial" w:hAnsi="Arial"/>
          <w:sz w:val="16"/>
          <w:szCs w:val="16"/>
          <w:color w:val="auto"/>
        </w:rPr>
        <w:t>Although our business has not been materially impacted by the ongoing military conflict between Russian and Ukraine, geopolitical tensions, or record inflation to date, it is impossible to predict the extent to which our operations, or those of our suppliers and manufacturers, will be impacted in the short and long term, or the ways in which the conflict may impact our business. The extent and duration of the conflict in Ukraine, geopolitical tensions, record inflation, sanctions and resulting market disruptions are impossible to predict, but could be substantial. Any such disruptions may also magnify the impact of other risks described herein.</w:t>
      </w:r>
    </w:p>
    <w:p>
      <w:pPr>
        <w:spacing w:after="0" w:line="134" w:lineRule="exact"/>
        <w:rPr>
          <w:sz w:val="20"/>
          <w:szCs w:val="20"/>
          <w:color w:val="auto"/>
        </w:rPr>
      </w:pPr>
    </w:p>
    <w:p>
      <w:pPr>
        <w:ind w:right="80" w:firstLine="486"/>
        <w:spacing w:after="0" w:line="327" w:lineRule="auto"/>
        <w:rPr>
          <w:sz w:val="20"/>
          <w:szCs w:val="20"/>
          <w:color w:val="auto"/>
        </w:rPr>
      </w:pPr>
      <w:r>
        <w:rPr>
          <w:rFonts w:ascii="Arial" w:cs="Arial" w:eastAsia="Arial" w:hAnsi="Arial"/>
          <w:sz w:val="15"/>
          <w:szCs w:val="15"/>
          <w:b w:val="1"/>
          <w:bCs w:val="1"/>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9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51"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pacing w:after="0" w:line="14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Climate change or legal, regulatory or market measures to address climate change may negatively affect our business, results of operations, cash flows and prospects.</w:t>
      </w:r>
    </w:p>
    <w:p>
      <w:pPr>
        <w:spacing w:after="0" w:line="14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pacing w:after="0" w:line="1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its supply chain, which may result in increased costs.</w:t>
      </w:r>
    </w:p>
    <w:p>
      <w:pPr>
        <w:spacing w:after="0" w:line="15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Environmental, social and governance matters may impact our business and reputation.</w:t>
      </w:r>
    </w:p>
    <w:p>
      <w:pPr>
        <w:spacing w:after="0" w:line="18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our ESG performance, we risk negative stockholder reaction, including from proxy advisory services, as well as damage to our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our investors, customers and other stakeholders, we could experience reduced demand for our products, loss of customers, and other negative impacts on our business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02" w:lineRule="exact"/>
        <w:rPr>
          <w:sz w:val="20"/>
          <w:szCs w:val="20"/>
          <w:color w:val="auto"/>
        </w:rPr>
      </w:pPr>
    </w:p>
    <w:p>
      <w:pPr>
        <w:ind w:right="60" w:firstLine="492"/>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30"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We have recently commenced our first submission of a rolling BLA to the FDA for lifileucel in August 2022 and expect to complete the BLA submission in the first quarter of 2023. A BLA must include extensive preclinical and clinical data and supporting information to establish the product candidate’s safety and effectiveness for each desired indication. Our BLA submission and current expected timelines for our lifileucel product candidate for the treatment of metastatic melanoma are based on our interpretation of communications received from the FDA to date regarding this product candidate and are subject to revision if additional communications are received from the FDA.</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492"/>
        <w:spacing w:after="0" w:line="285" w:lineRule="auto"/>
        <w:rPr>
          <w:sz w:val="20"/>
          <w:szCs w:val="20"/>
          <w:color w:val="auto"/>
        </w:rPr>
      </w:pPr>
      <w:r>
        <w:rPr>
          <w:rFonts w:ascii="Arial" w:cs="Arial" w:eastAsia="Arial" w:hAnsi="Arial"/>
          <w:sz w:val="16"/>
          <w:szCs w:val="16"/>
          <w:color w:val="auto"/>
        </w:rPr>
        <w:t>Following our End of Phase 2 meeting with the FDA in June 2019, we increased enrollment in Cohort 1 of our ongoing C-145-04 clinical trial of TIL therapy lifileucel to at least 75 patients of the appropriate population to address the expected sample size in anticipation of a BLA submission in 2021. Additionally, the patient population was defined per the discussion with FDA as patients who have progressed following initial systemic therapy for recurrent or metastatic disease which include many of the more advanced patients enrolled to date. In January 2021, we announced that Cohort 2 of the C-145-04 clinical trial had completed enrollment and that the landscape of care for cervical cancer patients had changed because of a recent FDA approval for pembrolizumab in the frontline cervical cancer setting. In August 2022 we announced that following FDA discussions and feedback on a registration strategy to address the shift in frontline standard of care, we reopened Cohort 2 of the ongoing C-145-04 clinical trial to enroll additional patients. The expanded Cohort 2 is intended to support a BLA submission in cervical cancer following progression on or after chemotherapy and PD-1 therapy. Our current beliefs regarding the registration pathway for the lifileucel product candidate in metastatic cervical cancer are based on our interpretation of communications with the FDA to date and our efforts to address such communications, which may be incorrect. Our statements that the clinical trial may support a BLA submission also assume that our as-adjusted clinical trial has addressed the additional requests and feedback by the FDA. Further, enrollment in this clinical trial may need to be further adjusted based on future feedback from the FDA, changes in the competitive environment, or other regulatory agency input. Protocol revisions may have an adverse effect on the results reported to date. Changes to implement an independent review committee and assay validation and implementation, and the data within this clinical trial may not ultimately be supportive of product approval, all of which could result in significant delays to our currently anticipated timeline for development and approval of lifileucel product candidate or prevent its approval for the treatment of cervical cancer.</w:t>
      </w:r>
    </w:p>
    <w:p>
      <w:pPr>
        <w:spacing w:after="0" w:line="349"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A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We may also not be able to successfully utilize the BTD or RMAT designations we have received for metastatic cervical cancer and advanced melanoma, respectively, to successfully complete the development and commercialization of lifileucel. We may not be able to reach agreement with FDA on an interpretation of outcomes from our meetings, including meetings we have held with FDA in relation to our C-145-04 and C-144-01 clinical trials and future meetings. For example, on October 5, 2020, we reported the submission of additional potency assay data to the FDA, and at the same time, we also announced that we had reached agreement with the FDA on the minimum duration of follow up for Cohort 4 to support our BLA submission for lifileucel in the treatment of metastatic melanoma. In May 2021, we announced that we had received regulatory feedback from the FDA regarding our potency assays for lifileucel. Following FDA feedback, we continued our work developing and validating our potency assays and engaged in discussions with the FDA during the second half of 2021 and the first quarter of 2022. Based on the FDA feedback we received from these discussions, we held a pre-BLA meeting in July 2022, and initiated a rolling BLA for lifileucel in metastatic melanoma in August 2022, which we plan to complete in the first quarter of 2023. In addition, as previously disclosed, Iovance plans to open a confirmatory Phase 3 clinical trial of lifileucel in combination with pembrolizumab in frontline metastatic melanoma in late 2022. The FDA previously granted Fast Track Designation for lifileucel in combination with pembrolizumab for the treatment of immune checkpoint inhibitor naïve metastatic melanoma. However, the regulatory approval pathway for our product candidates may be uncertain, complex, expensive and lengthy, and approval may not be obtained.</w:t>
      </w:r>
    </w:p>
    <w:p>
      <w:pPr>
        <w:spacing w:after="0" w:line="147" w:lineRule="exact"/>
        <w:rPr>
          <w:sz w:val="20"/>
          <w:szCs w:val="20"/>
          <w:color w:val="auto"/>
        </w:rPr>
      </w:pPr>
    </w:p>
    <w:p>
      <w:pPr>
        <w:ind w:right="400" w:firstLine="492"/>
        <w:spacing w:after="0" w:line="277" w:lineRule="auto"/>
        <w:rPr>
          <w:sz w:val="20"/>
          <w:szCs w:val="20"/>
          <w:color w:val="auto"/>
        </w:rPr>
      </w:pPr>
      <w:r>
        <w:rPr>
          <w:rFonts w:ascii="Arial" w:cs="Arial" w:eastAsia="Arial" w:hAnsi="Arial"/>
          <w:sz w:val="18"/>
          <w:szCs w:val="18"/>
          <w:color w:val="auto"/>
        </w:rPr>
        <w:t>We may also experience delays, including delays arising from the need to increase enrollment, in completing planned clinical trials for a variety of reasons, including delays related to:</w:t>
      </w:r>
    </w:p>
    <w:p>
      <w:pPr>
        <w:spacing w:after="0" w:line="130" w:lineRule="exact"/>
        <w:rPr>
          <w:sz w:val="20"/>
          <w:szCs w:val="20"/>
          <w:color w:val="auto"/>
        </w:rPr>
      </w:pPr>
    </w:p>
    <w:p>
      <w:pPr>
        <w:ind w:left="820" w:hanging="320"/>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clinical trials;</w:t>
      </w:r>
    </w:p>
    <w:p>
      <w:pPr>
        <w:spacing w:after="0" w:line="23" w:lineRule="exact"/>
        <w:rPr>
          <w:rFonts w:ascii="Arial" w:cs="Arial" w:eastAsia="Arial" w:hAnsi="Arial"/>
          <w:sz w:val="18"/>
          <w:szCs w:val="18"/>
          <w:color w:val="auto"/>
        </w:rPr>
      </w:pPr>
    </w:p>
    <w:p>
      <w:pPr>
        <w:ind w:left="820" w:right="340" w:hanging="320"/>
        <w:spacing w:after="0" w:line="265" w:lineRule="auto"/>
        <w:tabs>
          <w:tab w:leader="none" w:pos="814"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reaching agreement on acceptable contract terms with prospective CROs and clinical trial sites, the terms of which can be subject to extensive negotiation and may vary significantly among different CROs and clinical trial sites;</w:t>
      </w:r>
    </w:p>
    <w:p>
      <w:pPr>
        <w:ind w:left="820" w:hanging="320"/>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IRB, or central IRB;</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9" w:lineRule="exact"/>
        <w:rPr>
          <w:rFonts w:ascii="Arial" w:cs="Arial" w:eastAsia="Arial" w:hAnsi="Arial"/>
          <w:sz w:val="18"/>
          <w:szCs w:val="18"/>
          <w:color w:val="auto"/>
        </w:rPr>
      </w:pPr>
    </w:p>
    <w:p>
      <w:pPr>
        <w:ind w:left="820" w:right="200" w:hanging="320"/>
        <w:spacing w:after="0" w:line="250" w:lineRule="auto"/>
        <w:tabs>
          <w:tab w:leader="none" w:pos="814"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subject-by-subject basis for use in clinical trials; or</w:t>
      </w:r>
    </w:p>
    <w:p>
      <w:pPr>
        <w:ind w:left="820" w:right="140" w:hanging="320"/>
        <w:spacing w:after="0" w:line="260" w:lineRule="auto"/>
        <w:tabs>
          <w:tab w:leader="none" w:pos="81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timely implementing or validating changes to our manufacturing or quality control processes and methods needed to address FDA feedback.</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could also encounter delays if there are unresolved ethical issues associated with physicians enrolling patients in clinical trials of our product candidates in lieu of prescribing existing treatments that have established safety and efficacy profiles. Further, a clinical trial may be suspended or terminated by us, the IRBs for the institutions in which such clinical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clinical trial site by the FDA or other regulatory authorities resulting in the imposition of a clinical hold, including as a result of genetic editing methods,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38" w:lineRule="exact"/>
        <w:rPr>
          <w:sz w:val="20"/>
          <w:szCs w:val="20"/>
          <w:color w:val="auto"/>
        </w:rPr>
      </w:pPr>
    </w:p>
    <w:p>
      <w:pPr>
        <w:ind w:right="260" w:firstLine="492"/>
        <w:spacing w:after="0" w:line="308"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19"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In order to market and sell our products outside the U.S., we or our third-party collaborators may be required to obtain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U.S., including additional preclinical studies or clinical trials as clinical studies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U.S. on a timely basis, if at all.</w:t>
      </w:r>
    </w:p>
    <w:p>
      <w:pPr>
        <w:spacing w:after="0" w:line="146" w:lineRule="exact"/>
        <w:rPr>
          <w:sz w:val="20"/>
          <w:szCs w:val="20"/>
          <w:color w:val="auto"/>
        </w:rPr>
      </w:pPr>
    </w:p>
    <w:p>
      <w:pPr>
        <w:ind w:right="60" w:firstLine="492"/>
        <w:spacing w:after="0" w:line="273" w:lineRule="auto"/>
        <w:rPr>
          <w:sz w:val="20"/>
          <w:szCs w:val="20"/>
          <w:color w:val="auto"/>
        </w:rPr>
      </w:pPr>
      <w:r>
        <w:rPr>
          <w:rFonts w:ascii="Arial" w:cs="Arial" w:eastAsia="Arial" w:hAnsi="Arial"/>
          <w:sz w:val="17"/>
          <w:szCs w:val="17"/>
          <w:color w:val="auto"/>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37" w:lineRule="exact"/>
        <w:rPr>
          <w:sz w:val="20"/>
          <w:szCs w:val="20"/>
          <w:color w:val="auto"/>
        </w:rPr>
      </w:pPr>
    </w:p>
    <w:p>
      <w:pPr>
        <w:ind w:right="40" w:firstLine="492"/>
        <w:spacing w:after="0" w:line="311" w:lineRule="auto"/>
        <w:rPr>
          <w:sz w:val="20"/>
          <w:szCs w:val="20"/>
          <w:color w:val="auto"/>
        </w:rPr>
      </w:pPr>
      <w:r>
        <w:rPr>
          <w:rFonts w:ascii="Arial" w:cs="Arial" w:eastAsia="Arial" w:hAnsi="Arial"/>
          <w:sz w:val="16"/>
          <w:szCs w:val="16"/>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22"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Any regulatory approvals that we receive for our product candidates will require ongoing surveillance to monitor the safety and efficacy of the product candidate.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40" w:lineRule="exact"/>
        <w:rPr>
          <w:sz w:val="20"/>
          <w:szCs w:val="20"/>
          <w:color w:val="auto"/>
        </w:rPr>
      </w:pPr>
    </w:p>
    <w:p>
      <w:pPr>
        <w:ind w:right="60" w:firstLine="492"/>
        <w:spacing w:after="0" w:line="257" w:lineRule="auto"/>
        <w:rPr>
          <w:sz w:val="20"/>
          <w:szCs w:val="20"/>
          <w:color w:val="auto"/>
        </w:rPr>
      </w:pPr>
      <w:r>
        <w:rPr>
          <w:rFonts w:ascii="Arial" w:cs="Arial" w:eastAsia="Arial" w:hAnsi="Arial"/>
          <w:sz w:val="18"/>
          <w:szCs w:val="18"/>
          <w:color w:val="auto"/>
        </w:rPr>
        <w:t>In addition, we, our contractors, and our collaborators are and will remain responsible for FDA compliance, including requirements related to product design, testing, clinical trials and preclinical studies approval, manufacturing processes and quality, labeling, packaging, distribution, adverse event and deviation reporting, storage, advertising, marketing, promotion, sale, import, export, submissions of safety and other post-marketing information and reports such as deviation reports, establishment registration, product listing, annual user fees, and recordkeeping for our product candidates.</w:t>
      </w:r>
    </w:p>
    <w:p>
      <w:pPr>
        <w:sectPr>
          <w:pgSz w:w="11900" w:h="16838" w:orient="portrait"/>
          <w:cols w:equalWidth="0" w:num="1">
            <w:col w:w="9880"/>
          </w:cols>
          <w:pgMar w:left="980" w:top="665" w:right="10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492"/>
        <w:spacing w:after="0" w:line="279" w:lineRule="auto"/>
        <w:rPr>
          <w:sz w:val="20"/>
          <w:szCs w:val="20"/>
          <w:color w:val="auto"/>
        </w:rPr>
      </w:pPr>
      <w:r>
        <w:rPr>
          <w:rFonts w:ascii="Arial" w:cs="Arial" w:eastAsia="Arial" w:hAnsi="Arial"/>
          <w:sz w:val="17"/>
          <w:szCs w:val="17"/>
          <w:color w:val="auto"/>
        </w:rPr>
        <w:t>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131" w:lineRule="exact"/>
        <w:rPr>
          <w:sz w:val="20"/>
          <w:szCs w:val="20"/>
          <w:color w:val="auto"/>
        </w:rPr>
      </w:pPr>
    </w:p>
    <w:p>
      <w:pPr>
        <w:ind w:right="100" w:firstLine="492"/>
        <w:spacing w:after="0" w:line="286" w:lineRule="auto"/>
        <w:rPr>
          <w:sz w:val="20"/>
          <w:szCs w:val="20"/>
          <w:color w:val="auto"/>
        </w:rPr>
      </w:pPr>
      <w:r>
        <w:rPr>
          <w:rFonts w:ascii="Arial" w:cs="Arial" w:eastAsia="Arial" w:hAnsi="Arial"/>
          <w:sz w:val="17"/>
          <w:szCs w:val="17"/>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38" w:lineRule="exact"/>
        <w:rPr>
          <w:sz w:val="20"/>
          <w:szCs w:val="20"/>
          <w:color w:val="auto"/>
        </w:rPr>
      </w:pPr>
    </w:p>
    <w:p>
      <w:pPr>
        <w:ind w:left="820" w:right="280" w:hanging="320"/>
        <w:spacing w:after="0" w:line="258" w:lineRule="auto"/>
        <w:tabs>
          <w:tab w:leader="none" w:pos="8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marketing, distribution, or manufacturing of our product candidates, withdrawal of the product from the market, or voluntary or mandatory product recalls;</w:t>
      </w:r>
    </w:p>
    <w:p>
      <w:pPr>
        <w:spacing w:after="0" w:line="1" w:lineRule="exact"/>
        <w:rPr>
          <w:rFonts w:ascii="Arial" w:cs="Arial" w:eastAsia="Arial" w:hAnsi="Arial"/>
          <w:sz w:val="18"/>
          <w:szCs w:val="18"/>
          <w:color w:val="auto"/>
        </w:rPr>
      </w:pPr>
    </w:p>
    <w:p>
      <w:pPr>
        <w:ind w:left="820" w:right="300" w:hanging="320"/>
        <w:spacing w:after="0" w:line="250" w:lineRule="auto"/>
        <w:tabs>
          <w:tab w:leader="none" w:pos="8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labeling of our product candidates, including required additional warnings, such as black box warnings, contraindications, precautions, and restrictions on the approved indication or use;</w:t>
      </w:r>
    </w:p>
    <w:p>
      <w:pPr>
        <w:ind w:left="820" w:hanging="320"/>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to product labeling or the way the product is administered;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fines, restitution, disgorgement, warning letters, untitled letters, or holds on or termination of clinical trials;</w:t>
      </w:r>
    </w:p>
    <w:p>
      <w:pPr>
        <w:spacing w:after="0" w:line="9" w:lineRule="exact"/>
        <w:rPr>
          <w:rFonts w:ascii="Arial" w:cs="Arial" w:eastAsia="Arial" w:hAnsi="Arial"/>
          <w:sz w:val="18"/>
          <w:szCs w:val="18"/>
          <w:color w:val="auto"/>
        </w:rPr>
      </w:pPr>
    </w:p>
    <w:p>
      <w:pPr>
        <w:ind w:left="820" w:right="360" w:hanging="320"/>
        <w:spacing w:after="0" w:line="250" w:lineRule="auto"/>
        <w:tabs>
          <w:tab w:leader="none" w:pos="8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ind w:left="820" w:hanging="320"/>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FDA debarment, debarment from government contracts, and refusal of future orders under existing contracts, exclusion from federal healthcare programs, consent decrees, or corporate integrity agreements;</w:t>
      </w:r>
    </w:p>
    <w:p>
      <w:pPr>
        <w:ind w:left="820" w:right="520" w:hanging="320"/>
        <w:spacing w:after="0" w:line="250" w:lineRule="auto"/>
        <w:tabs>
          <w:tab w:leader="none" w:pos="8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biologic;</w:t>
      </w:r>
    </w:p>
    <w:p>
      <w:pPr>
        <w:ind w:left="820" w:hanging="320"/>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reputational harm;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170" w:lineRule="exact"/>
        <w:rPr>
          <w:sz w:val="20"/>
          <w:szCs w:val="20"/>
          <w:color w:val="auto"/>
        </w:rPr>
      </w:pPr>
    </w:p>
    <w:p>
      <w:pPr>
        <w:ind w:right="400" w:firstLine="492"/>
        <w:spacing w:after="0" w:line="342" w:lineRule="auto"/>
        <w:rPr>
          <w:sz w:val="20"/>
          <w:szCs w:val="20"/>
          <w:color w:val="auto"/>
        </w:rPr>
      </w:pPr>
      <w:r>
        <w:rPr>
          <w:rFonts w:ascii="Arial" w:cs="Arial" w:eastAsia="Arial" w:hAnsi="Arial"/>
          <w:sz w:val="16"/>
          <w:szCs w:val="16"/>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83" w:lineRule="exact"/>
        <w:rPr>
          <w:sz w:val="20"/>
          <w:szCs w:val="20"/>
          <w:color w:val="auto"/>
        </w:rPr>
      </w:pPr>
    </w:p>
    <w:p>
      <w:pPr>
        <w:ind w:right="340" w:firstLine="492"/>
        <w:spacing w:after="0" w:line="273"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51" w:lineRule="exact"/>
        <w:rPr>
          <w:sz w:val="20"/>
          <w:szCs w:val="20"/>
          <w:color w:val="auto"/>
        </w:rPr>
      </w:pPr>
    </w:p>
    <w:p>
      <w:pPr>
        <w:jc w:val="both"/>
        <w:ind w:right="520" w:firstLine="492"/>
        <w:spacing w:after="0" w:line="263" w:lineRule="auto"/>
        <w:rPr>
          <w:sz w:val="20"/>
          <w:szCs w:val="20"/>
          <w:color w:val="auto"/>
        </w:rPr>
      </w:pPr>
      <w:r>
        <w:rPr>
          <w:rFonts w:ascii="Arial" w:cs="Arial" w:eastAsia="Arial" w:hAnsi="Arial"/>
          <w:sz w:val="18"/>
          <w:szCs w:val="18"/>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43"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As a biopharmaceutical company, we are subject to many federal and state healthcare laws, including the federal AKS, the federal civil and criminal FCA,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enforcement by both the federal government and the states in which we conduct our business.</w:t>
      </w:r>
    </w:p>
    <w:p>
      <w:pPr>
        <w:spacing w:after="0" w:line="125" w:lineRule="exact"/>
        <w:rPr>
          <w:sz w:val="20"/>
          <w:szCs w:val="20"/>
          <w:color w:val="auto"/>
        </w:rPr>
      </w:pPr>
    </w:p>
    <w:p>
      <w:pPr>
        <w:ind w:firstLine="492"/>
        <w:spacing w:after="0" w:line="279" w:lineRule="auto"/>
        <w:rPr>
          <w:sz w:val="20"/>
          <w:szCs w:val="20"/>
          <w:color w:val="auto"/>
        </w:rPr>
      </w:pPr>
      <w:r>
        <w:rPr>
          <w:rFonts w:ascii="Arial" w:cs="Arial" w:eastAsia="Arial" w:hAnsi="Arial"/>
          <w:sz w:val="17"/>
          <w:szCs w:val="17"/>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ectPr>
          <w:pgSz w:w="11900" w:h="16838" w:orient="portrait"/>
          <w:cols w:equalWidth="0" w:num="1">
            <w:col w:w="9900"/>
          </w:cols>
          <w:pgMar w:left="980" w:top="665" w:right="101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492"/>
        <w:spacing w:after="0" w:line="271"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138"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55" w:lineRule="exact"/>
        <w:rPr>
          <w:sz w:val="20"/>
          <w:szCs w:val="20"/>
          <w:color w:val="auto"/>
        </w:rPr>
      </w:pPr>
    </w:p>
    <w:p>
      <w:pPr>
        <w:ind w:right="40" w:firstLine="492"/>
        <w:spacing w:after="0" w:line="273" w:lineRule="auto"/>
        <w:rPr>
          <w:sz w:val="20"/>
          <w:szCs w:val="20"/>
          <w:color w:val="auto"/>
        </w:rPr>
      </w:pPr>
      <w:r>
        <w:rPr>
          <w:rFonts w:ascii="Arial" w:cs="Arial" w:eastAsia="Arial" w:hAnsi="Arial"/>
          <w:sz w:val="17"/>
          <w:szCs w:val="17"/>
          <w:color w:val="auto"/>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37"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24"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In the U.S.,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492"/>
        <w:spacing w:after="0" w:line="279"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31" w:lineRule="exact"/>
        <w:rPr>
          <w:sz w:val="20"/>
          <w:szCs w:val="20"/>
          <w:color w:val="auto"/>
        </w:rPr>
      </w:pPr>
    </w:p>
    <w:p>
      <w:pPr>
        <w:ind w:right="380" w:firstLine="492"/>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43" w:lineRule="exact"/>
        <w:rPr>
          <w:sz w:val="20"/>
          <w:szCs w:val="20"/>
          <w:color w:val="auto"/>
        </w:rPr>
      </w:pPr>
    </w:p>
    <w:p>
      <w:pPr>
        <w:ind w:right="40" w:firstLine="492"/>
        <w:spacing w:after="0" w:line="301" w:lineRule="auto"/>
        <w:rPr>
          <w:sz w:val="20"/>
          <w:szCs w:val="20"/>
          <w:color w:val="auto"/>
        </w:rPr>
      </w:pPr>
      <w:r>
        <w:rPr>
          <w:rFonts w:ascii="Arial" w:cs="Arial" w:eastAsia="Arial" w:hAnsi="Arial"/>
          <w:sz w:val="16"/>
          <w:szCs w:val="16"/>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spacing w:after="0" w:line="117"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43"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54" w:lineRule="exact"/>
        <w:rPr>
          <w:sz w:val="20"/>
          <w:szCs w:val="20"/>
          <w:color w:val="auto"/>
        </w:rPr>
      </w:pPr>
    </w:p>
    <w:p>
      <w:pPr>
        <w:ind w:left="820" w:hanging="320"/>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70"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Moreover, the factors noted above have continued to be the focus of policy and regulatory debate that has, thus far, shown the potential for movement towards permanent policy changes; this trend is apt to continue, and may result in more or less favorable impacts on pricing. Patients are unlikely to use our product candidates unless coverage is provided, and reimbursement is adequate to cover a significant portion of the cost of our product candidates.</w:t>
      </w:r>
    </w:p>
    <w:p>
      <w:pPr>
        <w:spacing w:after="0" w:line="151"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In the U.S.,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44"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492"/>
        <w:spacing w:after="0" w:line="268" w:lineRule="auto"/>
        <w:rPr>
          <w:sz w:val="20"/>
          <w:szCs w:val="20"/>
          <w:color w:val="auto"/>
        </w:rPr>
      </w:pPr>
      <w:r>
        <w:rPr>
          <w:rFonts w:ascii="Arial" w:cs="Arial" w:eastAsia="Arial" w:hAnsi="Arial"/>
          <w:sz w:val="17"/>
          <w:szCs w:val="17"/>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 Moreover,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w:t>
      </w:r>
    </w:p>
    <w:p>
      <w:pPr>
        <w:spacing w:after="0" w:line="146" w:lineRule="exact"/>
        <w:rPr>
          <w:sz w:val="20"/>
          <w:szCs w:val="20"/>
          <w:color w:val="auto"/>
        </w:rPr>
      </w:pPr>
    </w:p>
    <w:p>
      <w:pPr>
        <w:ind w:right="100" w:firstLine="492"/>
        <w:spacing w:after="0" w:line="290" w:lineRule="auto"/>
        <w:rPr>
          <w:sz w:val="20"/>
          <w:szCs w:val="20"/>
          <w:color w:val="auto"/>
        </w:rPr>
      </w:pPr>
      <w:r>
        <w:rPr>
          <w:rFonts w:ascii="Arial" w:cs="Arial" w:eastAsia="Arial" w:hAnsi="Arial"/>
          <w:sz w:val="16"/>
          <w:szCs w:val="16"/>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38" w:lineRule="exact"/>
        <w:rPr>
          <w:sz w:val="20"/>
          <w:szCs w:val="20"/>
          <w:color w:val="auto"/>
        </w:rPr>
      </w:pPr>
    </w:p>
    <w:p>
      <w:pPr>
        <w:ind w:right="40" w:firstLine="492"/>
        <w:spacing w:after="0" w:line="270"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40" w:lineRule="exact"/>
        <w:rPr>
          <w:sz w:val="20"/>
          <w:szCs w:val="20"/>
          <w:color w:val="auto"/>
        </w:rPr>
      </w:pPr>
    </w:p>
    <w:p>
      <w:pPr>
        <w:ind w:right="120" w:firstLine="492"/>
        <w:spacing w:after="0" w:line="279" w:lineRule="auto"/>
        <w:rPr>
          <w:sz w:val="20"/>
          <w:szCs w:val="20"/>
          <w:color w:val="auto"/>
        </w:rPr>
      </w:pPr>
      <w:r>
        <w:rPr>
          <w:rFonts w:ascii="Arial" w:cs="Arial" w:eastAsia="Arial" w:hAnsi="Arial"/>
          <w:sz w:val="17"/>
          <w:szCs w:val="17"/>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31" w:lineRule="exact"/>
        <w:rPr>
          <w:sz w:val="20"/>
          <w:szCs w:val="20"/>
          <w:color w:val="auto"/>
        </w:rPr>
      </w:pPr>
    </w:p>
    <w:p>
      <w:pPr>
        <w:ind w:left="820" w:hanging="320"/>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84"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8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8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the U.S.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65"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Since enactment of the Patient Protection and Affordable Care Act, as amended (the “ACA”) in 2010, in both the U.S.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In June 2021, the Supreme Court issued its opinion in California v. Texas, upholding the constitutionality of the ACA.</w:t>
      </w:r>
    </w:p>
    <w:p>
      <w:pPr>
        <w:spacing w:after="0" w:line="148"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37"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34"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In addition, there have been a number of other policy, legislative and regulatory proposals aimed at changing the pharmaceutical industry. 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product candidates from coverage and limit payments for pharmaceuticals. Under the Biden Administration’s Build Back Better Agenda, for example, Medicare negotiation of prescription drug costs with biopharmaceutical companies is proposed to lower prescription drug costs We continue to monitor the potential impact of these and other proposals to lower prescription drug costs at the federal and state level.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firstLine="492"/>
        <w:spacing w:after="0" w:line="259"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6"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We are unable to predict the future course of federal or state healthcare legislation in the U.S. directed at broadening the availability of healthcare and containing or lowering the cost of healthcare. The ACA and any further changes in the law or regulatory framework that reduce our revenue or increase our costs could also have a material and adverse effect on our business, financial condition and results of operations.</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Governments outside the U.S. tend to impose strict price controls, which may adversely affect our revenues, if any.</w:t>
      </w:r>
    </w:p>
    <w:p>
      <w:pPr>
        <w:spacing w:after="0" w:line="196"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In international markets, reimbursement and health care payment systems vary significantly by country, and many countries have instituted price ceilings on specific products and therapies. In some countries, particularly the countries of the EU and the United Kingdom,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26"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43"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If we obtain FDA approval of any of our product candidates and begin commercializing those products in the U.S.,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30"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U.S. will also likely subject us to foreign equivalents of the healthcare laws mentioned above, among other foreign laws.</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ind w:right="540" w:firstLine="486"/>
        <w:spacing w:after="0" w:line="308"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19"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28"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patent and other intellectual property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w:t>
      </w:r>
    </w:p>
    <w:p>
      <w:pPr>
        <w:spacing w:after="0" w:line="184" w:lineRule="exact"/>
        <w:rPr>
          <w:sz w:val="20"/>
          <w:szCs w:val="20"/>
          <w:color w:val="auto"/>
        </w:rPr>
      </w:pPr>
    </w:p>
    <w:p>
      <w:pPr>
        <w:jc w:val="both"/>
        <w:ind w:right="160" w:firstLine="486"/>
        <w:spacing w:after="0" w:line="286" w:lineRule="auto"/>
        <w:rPr>
          <w:sz w:val="20"/>
          <w:szCs w:val="20"/>
          <w:color w:val="auto"/>
        </w:rPr>
      </w:pPr>
      <w:r>
        <w:rPr>
          <w:rFonts w:ascii="Arial" w:cs="Arial" w:eastAsia="Arial" w:hAnsi="Arial"/>
          <w:sz w:val="17"/>
          <w:szCs w:val="17"/>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25"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Issued patents covering our product candidates could be found invalid or unenforceable if challenged in court or the USPTO.</w:t>
      </w:r>
    </w:p>
    <w:p>
      <w:pPr>
        <w:spacing w:after="0" w:line="233"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Such mechanisms include re-examination, post grant review, and equivalent proceedings in foreign jurisdictions (e.g., opposition proceedings). For example, on November 24, 2021, an opposition proceeding was initiated in the European Patent Office against our European Patent No. 3601533 B1. This opposition proceeding, or any similar proceedings that may arise in the U.S. or foreign jurisdictions,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or third party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If we are unable to protect our proprietary rights, we may not be able to compete effectively or operate profitably.</w:t>
      </w:r>
    </w:p>
    <w:p>
      <w:pPr>
        <w:spacing w:after="0" w:line="196"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39"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The issuance of a patent is not conclusive as to its validity or enforceability and it is uncertain how much protection, if any, will be given to the patents we have licensed from the NIH, Moffitt, or MDACC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4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151"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43"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40"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Since the NCI, Moffitt, MDACC,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185"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50"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have conducted an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37"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3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As is the case with other cell therapy and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15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pacing w:after="0" w:line="130"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We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w:t>
      </w:r>
    </w:p>
    <w:p>
      <w:pPr>
        <w:spacing w:after="0" w:line="140"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30"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 and be a distraction to our management and employees.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89" w:lineRule="exact"/>
        <w:rPr>
          <w:sz w:val="20"/>
          <w:szCs w:val="20"/>
          <w:color w:val="auto"/>
        </w:rPr>
      </w:pPr>
    </w:p>
    <w:p>
      <w:pPr>
        <w:ind w:right="840" w:firstLine="492"/>
        <w:spacing w:after="0" w:line="277" w:lineRule="auto"/>
        <w:rPr>
          <w:sz w:val="20"/>
          <w:szCs w:val="20"/>
          <w:color w:val="auto"/>
        </w:rPr>
      </w:pPr>
      <w:r>
        <w:rPr>
          <w:rFonts w:ascii="Arial" w:cs="Arial" w:eastAsia="Arial" w:hAnsi="Arial"/>
          <w:sz w:val="18"/>
          <w:szCs w:val="18"/>
          <w:b w:val="1"/>
          <w:bCs w:val="1"/>
          <w:i w:val="1"/>
          <w:iCs w:val="1"/>
          <w:color w:val="auto"/>
        </w:rPr>
        <w:t>Our officers, directors and principal stockholders own a substantial percentage of our stock and will be able to exert significant control over matters subject to stockholder approval.</w:t>
      </w:r>
    </w:p>
    <w:p>
      <w:pPr>
        <w:spacing w:after="0" w:line="130" w:lineRule="exact"/>
        <w:rPr>
          <w:sz w:val="20"/>
          <w:szCs w:val="20"/>
          <w:color w:val="auto"/>
        </w:rPr>
      </w:pPr>
    </w:p>
    <w:p>
      <w:pPr>
        <w:ind w:right="40" w:firstLine="492"/>
        <w:spacing w:after="0" w:line="254" w:lineRule="auto"/>
        <w:rPr>
          <w:sz w:val="20"/>
          <w:szCs w:val="20"/>
          <w:color w:val="auto"/>
        </w:rPr>
      </w:pPr>
      <w:r>
        <w:rPr>
          <w:rFonts w:ascii="Arial" w:cs="Arial" w:eastAsia="Arial" w:hAnsi="Arial"/>
          <w:sz w:val="18"/>
          <w:szCs w:val="18"/>
          <w:color w:val="auto"/>
        </w:rPr>
        <w:t>Our officers, directors, and principal stockholders currently beneficially own a substantial portion of our outstanding voting stock. Therefore, these stockholders have the ability and may continue to have the ability to influence our corporate decision making. Given current ownership levels, these stockholders may be able to determine some or all matters requiring stockholder approval. For example, these stockholders, acting together, may be able to control or influence elections of directors, amendments to our certificate of incorporation or bylaws, or approval of any merger, sale of assets, or other major corporate transaction. This level of control may prevent or discourage unsolicited acquisition proposals or offers for our common stock that you may believe are in your best interest as one of our stockholders.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stock price may be volatile, and our stockholders’ investment in our stock could decline in value.</w:t>
      </w:r>
    </w:p>
    <w:p>
      <w:pPr>
        <w:spacing w:after="0" w:line="225"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color w:val="auto"/>
        </w:rPr>
        <w:t>The market price of our common stock is likely to be volatile and could fluctuate widely in response to many factors, including but not limited to:</w:t>
      </w:r>
    </w:p>
    <w:p>
      <w:pPr>
        <w:spacing w:after="0" w:line="170" w:lineRule="exact"/>
        <w:rPr>
          <w:sz w:val="20"/>
          <w:szCs w:val="20"/>
          <w:color w:val="auto"/>
        </w:rPr>
      </w:pPr>
    </w:p>
    <w:p>
      <w:pPr>
        <w:ind w:left="840" w:hanging="319"/>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volatility and instability in the capital markets due to the COVID-19 pandemic;</w:t>
      </w:r>
    </w:p>
    <w:p>
      <w:pPr>
        <w:spacing w:after="0" w:line="23" w:lineRule="exact"/>
        <w:rPr>
          <w:rFonts w:ascii="Arial" w:cs="Arial" w:eastAsia="Arial" w:hAnsi="Arial"/>
          <w:sz w:val="18"/>
          <w:szCs w:val="18"/>
          <w:color w:val="auto"/>
        </w:rPr>
      </w:pPr>
    </w:p>
    <w:p>
      <w:pPr>
        <w:ind w:left="840" w:right="340" w:hanging="319"/>
        <w:spacing w:after="0" w:line="250" w:lineRule="auto"/>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of the results of clinical trials by us, our collaborators, or our competitors, or negative developments with respect to similar products, including those being developed by our collaborators;</w:t>
      </w:r>
    </w:p>
    <w:p>
      <w:pPr>
        <w:ind w:left="840" w:hanging="319"/>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of new products or new contracts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actual or anticipated variations in our operating results due to the level of development expenses and other factors;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changes in financial estimates by equities research analysts and whether our earnings meet or exceed such estimates;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conditions and trends in the pharmaceutical, biotechnology and other industries;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receipt, or lack of receipt, of funding in support of conducing our business;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developments within, and outside of, the U.S.;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or arbitration;</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volatility in the financial markets;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other factors; and</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occurrence of any of the risks described in this Annual Report on Form 10-K.</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 or other equity issuances.</w:t>
      </w:r>
    </w:p>
    <w:p>
      <w:pPr>
        <w:spacing w:after="0" w:line="225" w:lineRule="exact"/>
        <w:rPr>
          <w:sz w:val="20"/>
          <w:szCs w:val="20"/>
          <w:color w:val="auto"/>
        </w:rPr>
      </w:pPr>
    </w:p>
    <w:p>
      <w:pPr>
        <w:ind w:firstLine="492"/>
        <w:spacing w:after="0" w:line="273" w:lineRule="auto"/>
        <w:rPr>
          <w:sz w:val="20"/>
          <w:szCs w:val="20"/>
          <w:color w:val="auto"/>
        </w:rPr>
      </w:pPr>
      <w:r>
        <w:rPr>
          <w:rFonts w:ascii="Arial" w:cs="Arial" w:eastAsia="Arial" w:hAnsi="Arial"/>
          <w:sz w:val="17"/>
          <w:szCs w:val="17"/>
          <w:color w:val="auto"/>
        </w:rPr>
        <w:t>We may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225" w:lineRule="exact"/>
        <w:rPr>
          <w:sz w:val="20"/>
          <w:szCs w:val="20"/>
          <w:color w:val="auto"/>
        </w:rPr>
      </w:pPr>
    </w:p>
    <w:p>
      <w:pPr>
        <w:ind w:right="360" w:firstLine="492"/>
        <w:spacing w:after="0" w:line="263" w:lineRule="auto"/>
        <w:rPr>
          <w:sz w:val="20"/>
          <w:szCs w:val="20"/>
          <w:color w:val="auto"/>
        </w:rPr>
      </w:pPr>
      <w:r>
        <w:rPr>
          <w:rFonts w:ascii="Arial" w:cs="Arial" w:eastAsia="Arial" w:hAnsi="Arial"/>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43" w:lineRule="exact"/>
        <w:rPr>
          <w:sz w:val="20"/>
          <w:szCs w:val="20"/>
          <w:color w:val="auto"/>
        </w:rPr>
      </w:pPr>
    </w:p>
    <w:p>
      <w:pPr>
        <w:ind w:right="80" w:firstLine="492"/>
        <w:spacing w:after="0" w:line="272" w:lineRule="auto"/>
        <w:rPr>
          <w:sz w:val="20"/>
          <w:szCs w:val="20"/>
          <w:color w:val="auto"/>
        </w:rPr>
      </w:pPr>
      <w:r>
        <w:rPr>
          <w:rFonts w:ascii="Arial" w:cs="Arial" w:eastAsia="Arial" w:hAnsi="Arial"/>
          <w:sz w:val="17"/>
          <w:szCs w:val="17"/>
          <w:color w:val="auto"/>
        </w:rPr>
        <w:t>As of December 31, 2022, we had 187,812,072 shares of common stock outstanding. In addition, we had 20,876,978 shares of common stock equivalents that would increase the number of common stock outstanding if these instruments were exercised or converted to purchase common stock based on vesting requirements of stock options and common stock issuable through purchases of employee stock purchase plan, or upon the conversion of preferred stock. The issuance and subsequent sale of the shares underlying these common stock equivalents could depress the trading price of our common stock. On June 10, 2019, our certificate of incorporation was amended to increase the number of authorized shares of our common stock, par value $0.000041666, from 150,000,000 shares to 300,000,000 shares, which was approved by our stockholders on that date.</w:t>
      </w:r>
    </w:p>
    <w:p>
      <w:pPr>
        <w:spacing w:after="0" w:line="150" w:lineRule="exact"/>
        <w:rPr>
          <w:sz w:val="20"/>
          <w:szCs w:val="20"/>
          <w:color w:val="auto"/>
        </w:rPr>
      </w:pPr>
    </w:p>
    <w:p>
      <w:pPr>
        <w:ind w:right="120" w:firstLine="492"/>
        <w:spacing w:after="0" w:line="257"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litigation settlement, employee arrangements or otherwise. For example, in June 2020, we issued 19,475,806 shares of common stock in connection with an underwritten public offering, and we may offer additional shares under our automatic shelf registration statement in the future. Future issuances may result in substantial dilution to our existing stockholders and could cause our stock price to decline.</w:t>
      </w:r>
    </w:p>
    <w:p>
      <w:pPr>
        <w:spacing w:after="0" w:line="188"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b w:val="1"/>
          <w:bCs w:val="1"/>
          <w:i w:val="1"/>
          <w:iCs w:val="1"/>
          <w:color w:val="auto"/>
        </w:rPr>
        <w:t>If equities or industry analysts do not publish research or reports about our company, or if they issue adverse or misleading opinions regarding us or our stock, our stock price and trading volume could decline.</w:t>
      </w:r>
    </w:p>
    <w:p>
      <w:pPr>
        <w:spacing w:after="0" w:line="170" w:lineRule="exact"/>
        <w:rPr>
          <w:sz w:val="20"/>
          <w:szCs w:val="20"/>
          <w:color w:val="auto"/>
        </w:rPr>
      </w:pPr>
    </w:p>
    <w:p>
      <w:pPr>
        <w:ind w:right="80" w:firstLine="492"/>
        <w:spacing w:after="0" w:line="255" w:lineRule="auto"/>
        <w:rPr>
          <w:sz w:val="20"/>
          <w:szCs w:val="20"/>
          <w:color w:val="auto"/>
        </w:rPr>
      </w:pPr>
      <w:r>
        <w:rPr>
          <w:rFonts w:ascii="Arial" w:cs="Arial" w:eastAsia="Arial" w:hAnsi="Arial"/>
          <w:sz w:val="18"/>
          <w:szCs w:val="18"/>
          <w:color w:val="auto"/>
        </w:rPr>
        <w:t>Although we have research coverage by equities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152" w:lineRule="exact"/>
        <w:rPr>
          <w:sz w:val="20"/>
          <w:szCs w:val="20"/>
          <w:color w:val="auto"/>
        </w:rPr>
      </w:pPr>
    </w:p>
    <w:p>
      <w:pPr>
        <w:ind w:right="100" w:firstLine="492"/>
        <w:spacing w:after="0" w:line="28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25"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15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We are, and in the future may be, subject to federal or state securities or related legal actions that could adversely affect our results of operations and our business.</w:t>
      </w:r>
    </w:p>
    <w:p>
      <w:pPr>
        <w:spacing w:after="0" w:line="130"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Federal and state securities and related legal actions may result in substantial costs and divert our management’s attention from other business concerns, which could seriously harm our business or affect our reputation. We may not be successful in defending future claims and cannot provide assurance that insurance proceeds will be sufficient to cover any costs or liability under such claims.</w:t>
      </w:r>
    </w:p>
    <w:p>
      <w:pPr>
        <w:spacing w:after="0" w:line="149" w:lineRule="exact"/>
        <w:rPr>
          <w:sz w:val="20"/>
          <w:szCs w:val="20"/>
          <w:color w:val="auto"/>
        </w:rPr>
      </w:pPr>
    </w:p>
    <w:p>
      <w:pPr>
        <w:ind w:right="100" w:firstLine="492"/>
        <w:spacing w:after="0" w:line="296" w:lineRule="auto"/>
        <w:rPr>
          <w:sz w:val="20"/>
          <w:szCs w:val="20"/>
          <w:color w:val="auto"/>
        </w:rPr>
      </w:pPr>
      <w:r>
        <w:rPr>
          <w:rFonts w:ascii="Arial" w:cs="Arial" w:eastAsia="Arial" w:hAnsi="Arial"/>
          <w:sz w:val="16"/>
          <w:szCs w:val="16"/>
          <w:color w:val="auto"/>
        </w:rPr>
        <w:t>For example, on December 11, 2020, a purported stockholder derivative complaint was filed by plaintiff Leo Shumacher against us, as nominal defendant, and then current directors, as defendants, in the Court of Chancery in the State of Delaware (the “Court”). The complaint alleges breach of fiduciary duty and a claim for unjust enrichment in connection with alleged excessive compensation of certain of our non-executive directors and seeks unspecified damages on behalf of our company. The parties have agreed to a proposed settlement, which was submitted to the Court on June 15, 2022. The parties continue to work toward settlement</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after a hearing on November 17, 2022, where the Court required additional steps to be taken by the parties before it will determine whether final approval will be given to the settlement. The outcome of this and other future litigation is uncertain.</w:t>
      </w:r>
    </w:p>
    <w:p>
      <w:pPr>
        <w:spacing w:after="0" w:line="146" w:lineRule="exact"/>
        <w:rPr>
          <w:sz w:val="20"/>
          <w:szCs w:val="20"/>
          <w:color w:val="auto"/>
        </w:rPr>
      </w:pPr>
    </w:p>
    <w:p>
      <w:pPr>
        <w:ind w:right="420" w:firstLine="492"/>
        <w:spacing w:after="0" w:line="277" w:lineRule="auto"/>
        <w:rPr>
          <w:sz w:val="20"/>
          <w:szCs w:val="20"/>
          <w:color w:val="auto"/>
        </w:rPr>
      </w:pPr>
      <w:r>
        <w:rPr>
          <w:rFonts w:ascii="Arial" w:cs="Arial" w:eastAsia="Arial" w:hAnsi="Arial"/>
          <w:sz w:val="18"/>
          <w:szCs w:val="18"/>
          <w:b w:val="1"/>
          <w:bCs w:val="1"/>
          <w:i w:val="1"/>
          <w:iCs w:val="1"/>
          <w:color w:val="auto"/>
        </w:rPr>
        <w:t>Our Board of Directors could issue one or more additional series of preferred stock without stockholder approval with the effect of diluting existing stockholders and impairing their voting and other rights.</w:t>
      </w:r>
    </w:p>
    <w:p>
      <w:pPr>
        <w:spacing w:after="0" w:line="130" w:lineRule="exact"/>
        <w:rPr>
          <w:sz w:val="20"/>
          <w:szCs w:val="20"/>
          <w:color w:val="auto"/>
        </w:rPr>
      </w:pPr>
    </w:p>
    <w:p>
      <w:pPr>
        <w:ind w:right="140" w:firstLine="492"/>
        <w:spacing w:after="0" w:line="271" w:lineRule="auto"/>
        <w:rPr>
          <w:sz w:val="20"/>
          <w:szCs w:val="20"/>
          <w:color w:val="auto"/>
        </w:rPr>
      </w:pPr>
      <w:r>
        <w:rPr>
          <w:rFonts w:ascii="Arial" w:cs="Arial" w:eastAsia="Arial" w:hAnsi="Arial"/>
          <w:sz w:val="17"/>
          <w:szCs w:val="17"/>
          <w:color w:val="auto"/>
        </w:rPr>
        <w:t>Our certificate of incorporation, as amended,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151"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30" w:lineRule="exact"/>
        <w:rPr>
          <w:sz w:val="20"/>
          <w:szCs w:val="20"/>
          <w:color w:val="auto"/>
        </w:rPr>
      </w:pPr>
    </w:p>
    <w:p>
      <w:pPr>
        <w:ind w:right="80" w:firstLine="492"/>
        <w:spacing w:after="0" w:line="263" w:lineRule="auto"/>
        <w:rPr>
          <w:sz w:val="20"/>
          <w:szCs w:val="20"/>
          <w:color w:val="auto"/>
        </w:rPr>
      </w:pPr>
      <w:r>
        <w:rPr>
          <w:rFonts w:ascii="Arial" w:cs="Arial" w:eastAsia="Arial" w:hAnsi="Arial"/>
          <w:sz w:val="18"/>
          <w:szCs w:val="18"/>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43" w:lineRule="exact"/>
        <w:rPr>
          <w:sz w:val="20"/>
          <w:szCs w:val="20"/>
          <w:color w:val="auto"/>
        </w:rPr>
      </w:pPr>
    </w:p>
    <w:p>
      <w:pPr>
        <w:jc w:val="both"/>
        <w:ind w:right="80" w:firstLine="492"/>
        <w:spacing w:after="0" w:line="26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7"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has the authority to issue up to 38,483,000 additional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37"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52" w:lineRule="exact"/>
        <w:rPr>
          <w:sz w:val="20"/>
          <w:szCs w:val="20"/>
          <w:color w:val="auto"/>
        </w:rPr>
      </w:pPr>
    </w:p>
    <w:p>
      <w:pPr>
        <w:ind w:right="560" w:firstLine="492"/>
        <w:spacing w:after="0" w:line="340" w:lineRule="auto"/>
        <w:rPr>
          <w:sz w:val="20"/>
          <w:szCs w:val="20"/>
          <w:color w:val="auto"/>
        </w:rPr>
      </w:pPr>
      <w:r>
        <w:rPr>
          <w:rFonts w:ascii="Arial" w:cs="Arial" w:eastAsia="Arial" w:hAnsi="Arial"/>
          <w:sz w:val="15"/>
          <w:szCs w:val="15"/>
          <w:b w:val="1"/>
          <w:bCs w:val="1"/>
          <w:i w:val="1"/>
          <w:iCs w:val="1"/>
          <w:color w:val="auto"/>
        </w:rPr>
        <w:t>Our certificate of incorporation, as amended,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04"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Our certificate of incorporation, as amended,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employees or agents to us or our stockholders, creditors or other constituents, (3) any action asserting a claim against us arising pursuant to any provision of the Delaware General Corporation Law, our certificate of incorporation, as amended,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preclude or contract the scope of exclusive federal or concurrent jurisdiction for any actions brought under the Securities Act or the Exchange Act. Section 27</w:t>
      </w:r>
    </w:p>
    <w:p>
      <w:pPr>
        <w:sectPr>
          <w:pgSz w:w="11900" w:h="16838" w:orient="portrait"/>
          <w:cols w:equalWidth="0" w:num="1">
            <w:col w:w="9920"/>
          </w:cols>
          <w:pgMar w:left="980" w:top="665" w:right="99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25"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65" w:lineRule="exact"/>
        <w:rPr>
          <w:sz w:val="20"/>
          <w:szCs w:val="20"/>
          <w:color w:val="auto"/>
        </w:rPr>
      </w:pPr>
    </w:p>
    <w:p>
      <w:pPr>
        <w:jc w:val="both"/>
        <w:ind w:right="80" w:firstLine="492"/>
        <w:spacing w:after="0" w:line="301" w:lineRule="auto"/>
        <w:rPr>
          <w:sz w:val="20"/>
          <w:szCs w:val="20"/>
          <w:color w:val="auto"/>
        </w:rPr>
      </w:pPr>
      <w:r>
        <w:rPr>
          <w:rFonts w:ascii="Arial" w:cs="Arial" w:eastAsia="Arial" w:hAnsi="Arial"/>
          <w:sz w:val="16"/>
          <w:szCs w:val="16"/>
          <w:color w:val="auto"/>
        </w:rPr>
        <w:t>If a court were to find these provisions of our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117" w:lineRule="exact"/>
        <w:rPr>
          <w:sz w:val="20"/>
          <w:szCs w:val="20"/>
          <w:color w:val="auto"/>
        </w:rPr>
      </w:pPr>
    </w:p>
    <w:p>
      <w:pPr>
        <w:ind w:right="280" w:firstLine="492"/>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bylaws could limit our stockholders’ ability to obtain a favorable judicial forum for disputes with us or our directors, officers or employees.</w:t>
      </w:r>
    </w:p>
    <w:p>
      <w:pPr>
        <w:spacing w:after="0" w:line="130" w:lineRule="exact"/>
        <w:rPr>
          <w:sz w:val="20"/>
          <w:szCs w:val="20"/>
          <w:color w:val="auto"/>
        </w:rPr>
      </w:pPr>
    </w:p>
    <w:p>
      <w:pPr>
        <w:ind w:right="20" w:firstLine="492"/>
        <w:spacing w:after="0" w:line="290"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federal district courts of the U.S. shall be the exclusive forum for the resolution of any complaint asserting a cause of action under the Securities Act. This provision limits the ability of our shareholders to bring claims under the Securities Act in any court other than the U.S. federal courts, which ultimately may disadvantage our shareholders or be cost prohibitive. Notwithstanding the foregoing, there is uncertainty as to whether a court (other than state courts in the State of Delaware, which have recently upheld the validity of such a provision) would enforce such a provision and whether investors can waive compliance with the federal securities laws and the rules and regulations thereunder. Furthermore, the exclusive forum provision only applies to claims brought under the Securities Act and does not apply to actions arising under the Exchange Act, which is already subject to federal courts as the exclusive forum.</w:t>
      </w:r>
    </w:p>
    <w:p>
      <w:pPr>
        <w:spacing w:after="0" w:line="138" w:lineRule="exact"/>
        <w:rPr>
          <w:sz w:val="20"/>
          <w:szCs w:val="20"/>
          <w:color w:val="auto"/>
        </w:rPr>
      </w:pPr>
    </w:p>
    <w:p>
      <w:pPr>
        <w:ind w:right="80" w:firstLine="492"/>
        <w:spacing w:after="0" w:line="301" w:lineRule="auto"/>
        <w:rPr>
          <w:sz w:val="20"/>
          <w:szCs w:val="20"/>
          <w:color w:val="auto"/>
        </w:rPr>
      </w:pPr>
      <w:r>
        <w:rPr>
          <w:rFonts w:ascii="Arial" w:cs="Arial" w:eastAsia="Arial" w:hAnsi="Arial"/>
          <w:sz w:val="16"/>
          <w:szCs w:val="16"/>
          <w:color w:val="auto"/>
        </w:rPr>
        <w:t>If a court were to find these provisions of our amended and restated bylaws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New Headquarters Lease</w:t>
      </w:r>
    </w:p>
    <w:p>
      <w:pPr>
        <w:spacing w:after="0" w:line="225" w:lineRule="exact"/>
        <w:rPr>
          <w:sz w:val="20"/>
          <w:szCs w:val="20"/>
          <w:color w:val="auto"/>
        </w:rPr>
      </w:pPr>
    </w:p>
    <w:p>
      <w:pPr>
        <w:ind w:right="140" w:firstLine="492"/>
        <w:spacing w:after="0" w:line="273" w:lineRule="auto"/>
        <w:rPr>
          <w:sz w:val="20"/>
          <w:szCs w:val="20"/>
          <w:color w:val="auto"/>
        </w:rPr>
      </w:pPr>
      <w:r>
        <w:rPr>
          <w:rFonts w:ascii="Arial" w:cs="Arial" w:eastAsia="Arial" w:hAnsi="Arial"/>
          <w:sz w:val="17"/>
          <w:szCs w:val="17"/>
          <w:color w:val="auto"/>
        </w:rPr>
        <w:t>On February 8, 2021, we entered into a lease agreement with ARE-San Francisco No. 63, LLC, or the New Headquarters Lease, for laboratories and offices to be constructed in Suite 400 of an existing building located at 825 Industrial Road, San Carlos, California, or the Building. Under the New Headquarters Lease, we lease approximately 49,918 rentable square feet of space in the Building that serves as our headquarters premises. The New Headquarters Lease, which commenced in January 2022, has an initial term of 120 months. The New Headquarters Lease includes an option to extend the term of the lease for 60 months, exercisable under certain conditions and at a market rate as described in the New Headquarters Lease.</w:t>
      </w:r>
    </w:p>
    <w:p>
      <w:pPr>
        <w:spacing w:after="0" w:line="178"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Commencing 210 days after the Rent Commencement Date as the result of a rent abatement, our monthly base rent under the New Headquarters Lease is approximately $0.3 million, subject to an annual increase of 3%. Beginning in 2022, we are also responsible for paying operating expenses, such as common area maintenance.</w:t>
      </w:r>
    </w:p>
    <w:p>
      <w:pPr>
        <w:spacing w:after="0" w:line="184" w:lineRule="exact"/>
        <w:rPr>
          <w:sz w:val="20"/>
          <w:szCs w:val="20"/>
          <w:color w:val="auto"/>
        </w:rPr>
      </w:pPr>
    </w:p>
    <w:p>
      <w:pPr>
        <w:ind w:right="140" w:firstLine="492"/>
        <w:spacing w:after="0" w:line="342" w:lineRule="auto"/>
        <w:rPr>
          <w:sz w:val="20"/>
          <w:szCs w:val="20"/>
          <w:color w:val="auto"/>
        </w:rPr>
      </w:pPr>
      <w:r>
        <w:rPr>
          <w:rFonts w:ascii="Arial" w:cs="Arial" w:eastAsia="Arial" w:hAnsi="Arial"/>
          <w:sz w:val="16"/>
          <w:szCs w:val="16"/>
          <w:color w:val="auto"/>
        </w:rPr>
        <w:t>Minimum rental payments under the New Headquarters Lease total $36.7 million for the entire term of the lease, which does not include rental payments related to our one-time option to extend for an additional five years. In addition, the lessor has provided a</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tenant improvement allowance of up to $8.2 million. We have received reimbursements associated with this tenant improvement allowance totaling $8.1 million. We do not expect to receive any additional reimbursements associated with this tenant improvement allowance.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Former Headquarters Lease</w:t>
      </w:r>
    </w:p>
    <w:p>
      <w:pPr>
        <w:spacing w:after="0" w:line="225" w:lineRule="exact"/>
        <w:rPr>
          <w:sz w:val="20"/>
          <w:szCs w:val="20"/>
          <w:color w:val="auto"/>
        </w:rPr>
      </w:pPr>
    </w:p>
    <w:p>
      <w:pPr>
        <w:jc w:val="both"/>
        <w:ind w:firstLine="492"/>
        <w:spacing w:after="0" w:line="263" w:lineRule="auto"/>
        <w:rPr>
          <w:sz w:val="20"/>
          <w:szCs w:val="20"/>
          <w:color w:val="auto"/>
        </w:rPr>
      </w:pPr>
      <w:r>
        <w:rPr>
          <w:rFonts w:ascii="Arial" w:cs="Arial" w:eastAsia="Arial" w:hAnsi="Arial"/>
          <w:sz w:val="18"/>
          <w:szCs w:val="18"/>
          <w:color w:val="auto"/>
        </w:rPr>
        <w:t>Since August 2016, we had leased 8,733 square feet of space for our former corporate headquarters, or the Suite 150 Lease, in San Carlos, California. The term of the Suite 150 Lease was 54 months beginning on the commencement date. Monthly lease payments were approximately $38,000.</w:t>
      </w:r>
    </w:p>
    <w:p>
      <w:pPr>
        <w:spacing w:after="0" w:line="184" w:lineRule="exact"/>
        <w:rPr>
          <w:sz w:val="20"/>
          <w:szCs w:val="20"/>
          <w:color w:val="auto"/>
        </w:rPr>
      </w:pPr>
    </w:p>
    <w:p>
      <w:pPr>
        <w:jc w:val="both"/>
        <w:ind w:right="120" w:firstLine="492"/>
        <w:spacing w:after="0" w:line="263" w:lineRule="auto"/>
        <w:rPr>
          <w:sz w:val="20"/>
          <w:szCs w:val="20"/>
          <w:color w:val="auto"/>
        </w:rPr>
      </w:pPr>
      <w:r>
        <w:rPr>
          <w:rFonts w:ascii="Arial" w:cs="Arial" w:eastAsia="Arial" w:hAnsi="Arial"/>
          <w:sz w:val="18"/>
          <w:szCs w:val="18"/>
          <w:color w:val="auto"/>
        </w:rPr>
        <w:t>On October 19, 2018, we entered into an agreement, or the Lease, to lease 12,322 square feet of office space located adjacent to our former corporate headquarters in San Carlos, California. Monthly lease payments were approximately $59,000, subject to an annual increase of 3%.</w:t>
      </w:r>
    </w:p>
    <w:p>
      <w:pPr>
        <w:spacing w:after="0" w:line="184"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On June 19, 2019, we entered into a first amendment, or the Amended Lease, to the Lease, for additional space at our corporate headquarters in San Carlos, California. Under the Amended Lease, we leased an additional 8,110 square feet, or the Expansion Space, for a total of approximately 20,432 square feet of space. Monthly lease payments were approximately $39,000 for the first year, and $40,000 for the second year.</w:t>
      </w:r>
    </w:p>
    <w:p>
      <w:pPr>
        <w:spacing w:after="0" w:line="187"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On February 8, 2021, we entered into two amendments, the Suite 100 and 125 Second Amendment and the Suite 150 First Amendment, to the Amended Lease and the Suite 150 Lease, respectively. Under the Suite 100 and Suite 125 Second Amendment, we extended the Amended Lease to December 31, 2021. Our monthly base rent under the Suite 100 and Suite 125 Second Amendment were approximately $103,000. We were also responsible for paying our portion of operating expenses, including common area maintenance, and real estate taxes. We had an option to extend the expiration of the Suite 100 and Suite 125 Second Amendment for one month or nine months, at its discretion, by providing notice as specified in the Suite 100 and Suite 125 Second Amendment. On September 1, 2021, we entered into an agreement to extend the lease term to January 31, 2022, for approximately $0.1 million a month.</w:t>
      </w:r>
    </w:p>
    <w:p>
      <w:pPr>
        <w:spacing w:after="0" w:line="166" w:lineRule="exact"/>
        <w:rPr>
          <w:sz w:val="20"/>
          <w:szCs w:val="20"/>
          <w:color w:val="auto"/>
        </w:rPr>
      </w:pPr>
    </w:p>
    <w:p>
      <w:pPr>
        <w:ind w:right="120" w:firstLine="492"/>
        <w:spacing w:after="0" w:line="316" w:lineRule="auto"/>
        <w:rPr>
          <w:sz w:val="20"/>
          <w:szCs w:val="20"/>
          <w:color w:val="auto"/>
        </w:rPr>
      </w:pPr>
      <w:r>
        <w:rPr>
          <w:rFonts w:ascii="Arial" w:cs="Arial" w:eastAsia="Arial" w:hAnsi="Arial"/>
          <w:sz w:val="15"/>
          <w:szCs w:val="15"/>
          <w:color w:val="auto"/>
        </w:rPr>
        <w:t>Under the Suite 150 First Amendment, we extended the Suite 150 Lease, which also expired on April 30, 2021, to December 31, 2021. Our monthly base rent under the Suite 150 First Amendment is approximately $44,000. We were also responsible for paying our portion of operating expenses and real estate taxes. We had an option to extend the expiration of the Suite 150 First Amendment for one month or nine months, at our discretion, by providing notice as specified in the Suite 150 First Amendment. On September 1, 2021, we entered into an agreement to extend the lease term to January 31, 2022, for approximately $46,000 a month. As of January 31, 2022, these leases have expired, and we had taken possession of Headquarters Premises under the New Headquarters Lease referred to above.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Manufacturing Facility Agreement</w:t>
      </w:r>
    </w:p>
    <w:p>
      <w:pPr>
        <w:spacing w:after="0" w:line="225" w:lineRule="exact"/>
        <w:rPr>
          <w:sz w:val="20"/>
          <w:szCs w:val="20"/>
          <w:color w:val="auto"/>
        </w:rPr>
      </w:pPr>
    </w:p>
    <w:p>
      <w:pPr>
        <w:ind w:right="60" w:firstLine="492"/>
        <w:spacing w:after="0" w:line="290" w:lineRule="auto"/>
        <w:rPr>
          <w:sz w:val="20"/>
          <w:szCs w:val="20"/>
          <w:color w:val="auto"/>
        </w:rPr>
      </w:pPr>
      <w:r>
        <w:rPr>
          <w:rFonts w:ascii="Arial" w:cs="Arial" w:eastAsia="Arial" w:hAnsi="Arial"/>
          <w:sz w:val="16"/>
          <w:szCs w:val="16"/>
          <w:color w:val="auto"/>
        </w:rPr>
        <w:t xml:space="preserve">On May 28, 2019, we entered into a lease agreement with 300 Rouse Boulevard, LLC, or the Commercial Manufacturing Facility Lease, for a build-to-suit commercial manufacturing facility, laboratories, and offices located in Philadelphia, Pennsylvania. Under the Commercial Manufacturing Facility Lease, we lease approximately 136,000 rentable square feet of space in a building located at 300 Rouse Boulevard, Philadelphia, Pennsylvania known as the Iovance Cell Therapy Center, or the </w:t>
      </w:r>
      <w:r>
        <w:rPr>
          <w:rFonts w:ascii="Arial" w:cs="Arial" w:eastAsia="Arial" w:hAnsi="Arial"/>
          <w:sz w:val="16"/>
          <w:szCs w:val="16"/>
          <w:i w:val="1"/>
          <w:iCs w:val="1"/>
          <w:color w:val="auto"/>
        </w:rPr>
        <w:t>i</w:t>
      </w:r>
      <w:r>
        <w:rPr>
          <w:rFonts w:ascii="Arial" w:cs="Arial" w:eastAsia="Arial" w:hAnsi="Arial"/>
          <w:sz w:val="16"/>
          <w:szCs w:val="16"/>
          <w:color w:val="auto"/>
        </w:rPr>
        <w:t xml:space="preserve">CTC. The construction of the </w:t>
      </w:r>
      <w:r>
        <w:rPr>
          <w:rFonts w:ascii="Arial" w:cs="Arial" w:eastAsia="Arial" w:hAnsi="Arial"/>
          <w:sz w:val="16"/>
          <w:szCs w:val="16"/>
          <w:i w:val="1"/>
          <w:iCs w:val="1"/>
          <w:color w:val="auto"/>
        </w:rPr>
        <w:t>i</w:t>
      </w:r>
      <w:r>
        <w:rPr>
          <w:rFonts w:ascii="Arial" w:cs="Arial" w:eastAsia="Arial" w:hAnsi="Arial"/>
          <w:sz w:val="16"/>
          <w:szCs w:val="16"/>
          <w:color w:val="auto"/>
        </w:rPr>
        <w:t>CTC began in July 2019 and in the third quarter of 2021 we completed the commissioning activities as well as certain tenant improvements. The Commercial Manufacturing Facility Lease includes an option to extend the term of the lease by giving the landlord prior written notice thereof at least 18 months in advance of expiration date, exercisable under certain conditions as described in the Commercial Manufacturing Facility Lease, such that the overall term, when added to the initial term, shall be 359 months.</w:t>
      </w:r>
    </w:p>
    <w:p>
      <w:pPr>
        <w:spacing w:after="0" w:line="165" w:lineRule="exact"/>
        <w:rPr>
          <w:sz w:val="20"/>
          <w:szCs w:val="20"/>
          <w:color w:val="auto"/>
        </w:rPr>
      </w:pPr>
    </w:p>
    <w:p>
      <w:pPr>
        <w:ind w:right="260" w:firstLine="492"/>
        <w:spacing w:after="0" w:line="279" w:lineRule="auto"/>
        <w:rPr>
          <w:sz w:val="20"/>
          <w:szCs w:val="20"/>
          <w:color w:val="auto"/>
        </w:rPr>
      </w:pPr>
      <w:r>
        <w:rPr>
          <w:rFonts w:ascii="Arial" w:cs="Arial" w:eastAsia="Arial" w:hAnsi="Arial"/>
          <w:sz w:val="17"/>
          <w:szCs w:val="17"/>
          <w:color w:val="auto"/>
        </w:rPr>
        <w:t>Our monthly base rent under the Commercial Manufacturing Facility Lease is approximately $0.3 million, subject to an annual increase of 2% for the first ten years. Commencing on the first day of each lease year thereafter, for the remainder of the lease term, monthly rent is subject to an annual increase of the greater of 2% or 75% of the average ten-year consumer price index. We are also responsible for paying operating expenses, such as common area maintenance.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Tampa Lease</w:t>
      </w:r>
    </w:p>
    <w:p>
      <w:pPr>
        <w:spacing w:after="0" w:line="225" w:lineRule="exact"/>
        <w:rPr>
          <w:sz w:val="20"/>
          <w:szCs w:val="20"/>
          <w:color w:val="auto"/>
        </w:rPr>
      </w:pPr>
    </w:p>
    <w:p>
      <w:pPr>
        <w:ind w:right="180" w:firstLine="492"/>
        <w:spacing w:after="0" w:line="293" w:lineRule="auto"/>
        <w:rPr>
          <w:sz w:val="20"/>
          <w:szCs w:val="20"/>
          <w:color w:val="auto"/>
        </w:rPr>
      </w:pPr>
      <w:r>
        <w:rPr>
          <w:rFonts w:ascii="Arial" w:cs="Arial" w:eastAsia="Arial" w:hAnsi="Arial"/>
          <w:sz w:val="16"/>
          <w:szCs w:val="16"/>
          <w:color w:val="auto"/>
        </w:rPr>
        <w:t>Our research and development facilities consist of 8,673 square feet in a facility located at the University of South Florida Research Park in Tampa, Florida. These facilities are leased under an agreement with a lease term through December 2024 for approximately $20,500 a month. In June 2020, we amended the lease agreement to further increase the rentable space to 13,139 square feet and extend the lease term to June 5, 2025, for approximately $34,500 a month. On December 22, 2021, we entered into a second amendment to lease an additional 2,731 square feet of space through June 5, 2025, co-terminus with the existing leased space. Upon completion of tenant improvements of the premise, lease payments will be approximately $42,500 per month.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Philadelphia Office Lease</w:t>
      </w:r>
    </w:p>
    <w:p>
      <w:pPr>
        <w:spacing w:after="0" w:line="225" w:lineRule="exact"/>
        <w:rPr>
          <w:sz w:val="20"/>
          <w:szCs w:val="20"/>
          <w:color w:val="auto"/>
        </w:rPr>
      </w:pPr>
    </w:p>
    <w:p>
      <w:pPr>
        <w:ind w:right="60" w:firstLine="492"/>
        <w:spacing w:after="0" w:line="257" w:lineRule="auto"/>
        <w:rPr>
          <w:sz w:val="20"/>
          <w:szCs w:val="20"/>
          <w:color w:val="auto"/>
        </w:rPr>
      </w:pPr>
      <w:r>
        <w:rPr>
          <w:rFonts w:ascii="Arial" w:cs="Arial" w:eastAsia="Arial" w:hAnsi="Arial"/>
          <w:sz w:val="18"/>
          <w:szCs w:val="18"/>
          <w:color w:val="auto"/>
        </w:rPr>
        <w:t>On May 2, 2019, we entered into an agreement to lease approximately 1,500 square feet of office space in Philadelphia, Pennsylvania until July 1, 2019, for a rate of $2,000 a month, and then approximately 4,500 square feet of office space for the remainder of a three-year term at an initial rate of $11,063 per month, subject to annual increases of 2.5%. On September 1, 2021, we entered into an agreement to extend the lease term for an additional three years to July 31, 2025, for approximately $11,900 a month, effective as of June 1, 2022, subject to annual increases of 2.5%.</w:t>
      </w:r>
    </w:p>
    <w:p>
      <w:pPr>
        <w:spacing w:after="0" w:line="161" w:lineRule="exact"/>
        <w:rPr>
          <w:sz w:val="20"/>
          <w:szCs w:val="20"/>
          <w:color w:val="auto"/>
        </w:rPr>
      </w:pPr>
    </w:p>
    <w:p>
      <w:pPr>
        <w:ind w:right="20" w:firstLine="492"/>
        <w:spacing w:after="0" w:line="277" w:lineRule="auto"/>
        <w:rPr>
          <w:sz w:val="20"/>
          <w:szCs w:val="20"/>
          <w:color w:val="auto"/>
        </w:rPr>
      </w:pPr>
      <w:r>
        <w:rPr>
          <w:rFonts w:ascii="Arial" w:cs="Arial" w:eastAsia="Arial" w:hAnsi="Arial"/>
          <w:sz w:val="18"/>
          <w:szCs w:val="18"/>
          <w:color w:val="auto"/>
        </w:rPr>
        <w:t>On August 1, 2020, we entered into an agreement to lease approximately 2,965 square feet of a training facility space in Plymouth Meeting, Pennsylvania for a twelve-month term at a rate of approximately $6,500 per month.</w:t>
      </w:r>
    </w:p>
    <w:p>
      <w:pPr>
        <w:spacing w:after="0" w:line="130"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color w:val="auto"/>
        </w:rPr>
        <w:t>We believe that our existing facilities are adequate to meet our current needs, and that suitable additional alternative spaces will be available in the future on commercially reasonable terms.</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The information in Note 11 to the Consolidated Financial Statements contained in Part III, Item 15 of this Annual Report on Form 10-K is incorporated herein by reference. There are no matters which constitute material pending legal proceedings to which we are a party other than those incorporated into this item by reference from Note 11 to our Consolidated Financial Statements for the year ended December 31, 2022, contained in this Annual Report on Form 10-K.</w:t>
      </w:r>
    </w:p>
    <w:p>
      <w:pPr>
        <w:spacing w:after="0" w:line="1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200"/>
        <w:spacing w:after="0" w:line="503" w:lineRule="auto"/>
        <w:rPr>
          <w:sz w:val="20"/>
          <w:szCs w:val="20"/>
          <w:color w:val="auto"/>
        </w:rPr>
      </w:pPr>
      <w:r>
        <w:rPr>
          <w:rFonts w:ascii="Arial" w:cs="Arial" w:eastAsia="Arial" w:hAnsi="Arial"/>
          <w:sz w:val="18"/>
          <w:szCs w:val="18"/>
          <w:b w:val="1"/>
          <w:bCs w:val="1"/>
          <w:color w:val="auto"/>
        </w:rPr>
        <w:t>Item 5. Market for Common Equity, Related Stockholder Matters and Issuer Purchases of Equity Securities Market Information</w:t>
      </w:r>
    </w:p>
    <w:p>
      <w:pPr>
        <w:ind w:left="500"/>
        <w:spacing w:after="0"/>
        <w:rPr>
          <w:sz w:val="20"/>
          <w:szCs w:val="20"/>
          <w:color w:val="auto"/>
        </w:rPr>
      </w:pPr>
      <w:r>
        <w:rPr>
          <w:rFonts w:ascii="Arial" w:cs="Arial" w:eastAsia="Arial" w:hAnsi="Arial"/>
          <w:sz w:val="18"/>
          <w:szCs w:val="18"/>
          <w:color w:val="auto"/>
        </w:rPr>
        <w:t>Our common stock is traded on the Nasdaq Global Market under the symbol “IOVA”.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there were approximately 17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60" w:firstLine="492"/>
        <w:spacing w:after="0" w:line="279" w:lineRule="auto"/>
        <w:rPr>
          <w:sz w:val="20"/>
          <w:szCs w:val="20"/>
          <w:color w:val="auto"/>
        </w:rPr>
      </w:pPr>
      <w:r>
        <w:rPr>
          <w:rFonts w:ascii="Arial" w:cs="Arial" w:eastAsia="Arial" w:hAnsi="Arial"/>
          <w:sz w:val="17"/>
          <w:szCs w:val="17"/>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Payment of future cash dividends, if any, will be at the discretion of the board of directors after considering various factors, including our financial condition, operating results, current and anticipated cash needs.</w:t>
      </w:r>
    </w:p>
    <w:p>
      <w:pPr>
        <w:spacing w:after="0" w:line="171" w:lineRule="exact"/>
        <w:rPr>
          <w:sz w:val="20"/>
          <w:szCs w:val="20"/>
          <w:color w:val="auto"/>
        </w:rPr>
      </w:pPr>
    </w:p>
    <w:p>
      <w:pPr>
        <w:ind w:right="80" w:firstLine="492"/>
        <w:spacing w:after="0" w:line="342" w:lineRule="auto"/>
        <w:rPr>
          <w:sz w:val="20"/>
          <w:szCs w:val="20"/>
          <w:color w:val="auto"/>
        </w:rPr>
      </w:pPr>
      <w:r>
        <w:rPr>
          <w:rFonts w:ascii="Arial" w:cs="Arial" w:eastAsia="Arial" w:hAnsi="Arial"/>
          <w:sz w:val="16"/>
          <w:szCs w:val="16"/>
          <w:color w:val="auto"/>
        </w:rPr>
        <w:t>Under the terms of our Series A Convertible Preferred Stock, we may not declare, pay or set aside any dividends on shares of any class or series of capital stock (other than dividends on shares of common stock payable in shares of common stock) unless the</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holders of our Series A Convertible Preferred Stock first receive, or simultaneously receive, an equal dividend on each outstanding share of Series A Convertible Preferred Stock.</w:t>
      </w:r>
    </w:p>
    <w:p>
      <w:pPr>
        <w:spacing w:after="0" w:line="170" w:lineRule="exact"/>
        <w:rPr>
          <w:sz w:val="20"/>
          <w:szCs w:val="20"/>
          <w:color w:val="auto"/>
        </w:rPr>
      </w:pPr>
    </w:p>
    <w:p>
      <w:pPr>
        <w:ind w:right="120" w:firstLine="492"/>
        <w:spacing w:after="0" w:line="272" w:lineRule="auto"/>
        <w:rPr>
          <w:sz w:val="20"/>
          <w:szCs w:val="20"/>
          <w:color w:val="auto"/>
        </w:rPr>
      </w:pPr>
      <w:r>
        <w:rPr>
          <w:rFonts w:ascii="Arial" w:cs="Arial" w:eastAsia="Arial" w:hAnsi="Arial"/>
          <w:sz w:val="17"/>
          <w:szCs w:val="17"/>
          <w:color w:val="auto"/>
        </w:rPr>
        <w:t>Under the terms of our Series B Convertible Preferred Stock, holders shall be entitled to receive dividends on shares equal (on an as-if-converted-to-Common-Stock basis) to and in the same form as dividends (other than dividends in the form of common stock) actually paid on shares of our Series A Convertible Preferred Stock, common stock or other junior securities when, as and if such dividends (other than dividends in the form of common stock) are paid on shares of our Series A Convertible Preferred Stock, common stock or other junior securities. No other dividends shall be paid on shares of Series B Convertible Preferred Stock, and we may not pay dividends (other than dividends in the form of common stock) on shares of our Series A Convertible Preferred Stock, common stock or other junior securities unless it simultaneously complies with the previous sentence.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share repurchases during the year ended December 31,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right="80" w:firstLine="492"/>
        <w:spacing w:after="0" w:line="311" w:lineRule="auto"/>
        <w:rPr>
          <w:sz w:val="20"/>
          <w:szCs w:val="20"/>
          <w:color w:val="auto"/>
        </w:rPr>
      </w:pPr>
      <w:r>
        <w:rPr>
          <w:rFonts w:ascii="Arial" w:cs="Arial" w:eastAsia="Arial" w:hAnsi="Arial"/>
          <w:sz w:val="16"/>
          <w:szCs w:val="16"/>
          <w:color w:val="auto"/>
        </w:rPr>
        <w:t>The following graph illustrates a comparison of the total cumulative stockholder return on our common stock since December 31, 2017, to two indices: the Russell 3000 and the NASDAQ Biotechnology Index. The stockholder return shown in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103505</wp:posOffset>
            </wp:positionV>
            <wp:extent cx="5949315" cy="3068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49315"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Information regarding our equity compensation plans is incorporated by reference from the information in our Proxy Statement for our 2023 Annual Meeting of Stockholders, which we will file with the SEC within 120 days after the end of the fiscal year to which this Annual Report on Form 10-K relates.</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24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firstLine="492"/>
        <w:spacing w:after="0" w:line="288" w:lineRule="auto"/>
        <w:rPr>
          <w:sz w:val="20"/>
          <w:szCs w:val="20"/>
          <w:color w:val="auto"/>
        </w:rPr>
      </w:pPr>
      <w:r>
        <w:rPr>
          <w:rFonts w:ascii="Arial" w:cs="Arial" w:eastAsia="Arial" w:hAnsi="Arial"/>
          <w:sz w:val="16"/>
          <w:szCs w:val="16"/>
          <w:i w:val="1"/>
          <w:iCs w:val="1"/>
          <w:color w:val="auto"/>
        </w:rPr>
        <w:t>The following discussion and analysis of our results of operations and financial condition should be read in conjunction with our financial statements and the notes to those financial statements that are included elsewhere in this report.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and elsewhere in this report. We use words such as “may,” “will,” “might,” “could,” “would,” “should,” “expect,” “intend,” “plan,” “anticipate,” “believe,” “estimate,” “predict,” “project,” “aim,” “potential,” “continue,” “ongoing,” “goal,” “forecast,” “guidance,” “outlook,” or the negative of these terms or other similar expressions to identify forward-looking statements, although not all forward-looking statements contain these words. All forward-looking statements included in this report are based on information available to us on the date hereof and, except as required by law, we assume no obligation to update any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We are a clinical-stage biopharmaceutical company pioneering a transformational approach to treating cancer by harnessing the human immune system’s ability to recognize and destroy diverse cancer cells using therapies personalized for each patient. We are preparing for potential U.S. regulatory approval and commercialization of the first autologous T-cell therapy to address a solid tumor cancer. Our mission is to be the global leader in innovating, developing and delivering tumor infiltrating lymphocyte, or TIL, therapies for patients with solid tumor cancers. Our autologous TIL therapy platform uses a centralized, scalable and proprietary 22-day manufacturing process to grow polyclonal T-cells unique to each patient and yields a cryopreserved, individualized therapy. We have applied multiple TIL therapy modalities in clinical trials in solid tumors, including TIL monotherapies for patients with later stage disease who have progressed on or after standard of care, as well as TIL combinations with standard of care therapies in patients who are earlier in their disease, to potentially improve outcomes compared to current standard(s) of care.</w:t>
      </w:r>
    </w:p>
    <w:p>
      <w:pPr>
        <w:spacing w:after="0" w:line="181" w:lineRule="exact"/>
        <w:rPr>
          <w:sz w:val="20"/>
          <w:szCs w:val="20"/>
          <w:color w:val="auto"/>
        </w:rPr>
      </w:pPr>
    </w:p>
    <w:p>
      <w:pPr>
        <w:ind w:right="40" w:firstLine="492"/>
        <w:spacing w:after="0" w:line="290" w:lineRule="auto"/>
        <w:rPr>
          <w:sz w:val="20"/>
          <w:szCs w:val="20"/>
          <w:color w:val="auto"/>
        </w:rPr>
      </w:pPr>
      <w:r>
        <w:rPr>
          <w:rFonts w:ascii="Arial" w:cs="Arial" w:eastAsia="Arial" w:hAnsi="Arial"/>
          <w:sz w:val="16"/>
          <w:szCs w:val="16"/>
          <w:color w:val="auto"/>
        </w:rPr>
        <w:t>Our lead product candidate, lifileucel, is being developed in advanced, or metastatic or unresectable, melanoma as well as in other indications. Lifileucel was investigated in two consecutive cohorts in a clinical trial of advanced melanoma patients post-anti-PD-1 therapy, including in a prospectively defined pivotal cohort. These patients had progressed on or after standard of care therapy, which is immune checkpoint inhibitors, or ICIs, and targeted BRAF/MEK inhibitor therapy where appropriate. Based on the positive results of these cohorts, we initiated a rolling Biologics License Application, or BLA, submission to the U.S. Food and Drug Administration, or FDA, for lifileucel in August 2022. We expect to complete this rolling BLA submission in the first quarter of 2023. Our Phase 3 clinical trial of lifileucel in combination with pembrolizumab, TILVANCE-301, is intended to be registrational in frontline advanced melanoma and serve as a confirmatory clinical trial to support full approval of lifileucel monotherapy in post-anti-PD-1 melanoma.</w:t>
      </w:r>
    </w:p>
    <w:p>
      <w:pPr>
        <w:spacing w:after="0" w:line="165"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We are also pursuing registrational strategies for lifileucel in advanced cervical cancer and for our TIL therapy, LN-145, in metastatic non-small cell lung cancer, or NSCLC. To continuously innovate and maintain our global leadership within the field, we are investigating next generation approaches to optimize TIL products, manufacturing processes and treatment regimens, including a first-in-human clinical trial of our lead genetically modified TIL therapy, IOV-4001. We are also exploring a 16-day manufacturing process, tumor tissue procurement via core biopsy, additional genetically modified TIL therapies including multiple immune checkpoint gene edits and cytokine-tethered TIL therapies, and a novel interleukin-2, or IL-2, analog, designated IOV-3001, as potential avenues to improve manufacturing timelines, sample collection and supportive treatments involved in the overall TIL therapy process and treatment regimen.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Highlights of our current development pipeline are presented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151765</wp:posOffset>
            </wp:positionV>
            <wp:extent cx="5674995" cy="28975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7499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Technologies and Manufacturing</w:t>
      </w:r>
    </w:p>
    <w:p>
      <w:pPr>
        <w:spacing w:after="0" w:line="225" w:lineRule="exact"/>
        <w:rPr>
          <w:sz w:val="20"/>
          <w:szCs w:val="20"/>
          <w:color w:val="auto"/>
        </w:rPr>
      </w:pPr>
    </w:p>
    <w:p>
      <w:pPr>
        <w:ind w:right="120" w:firstLine="492"/>
        <w:spacing w:after="0" w:line="291" w:lineRule="auto"/>
        <w:rPr>
          <w:sz w:val="20"/>
          <w:szCs w:val="20"/>
          <w:color w:val="auto"/>
        </w:rPr>
      </w:pPr>
      <w:r>
        <w:rPr>
          <w:rFonts w:ascii="Arial" w:cs="Arial" w:eastAsia="Arial" w:hAnsi="Arial"/>
          <w:sz w:val="16"/>
          <w:szCs w:val="16"/>
          <w:color w:val="auto"/>
        </w:rPr>
        <w:t>Our T-cell-based immunotherapy technology platforms are potentially applicable to many solid tumor types and blood cancers. Each platform is focused on leveraging patient-specific cells to recognize and attack diverse cancer cells that are unique to each patient. Unlike cell therapies that act on a single or small number of shared antigen targets common to certain tumors, our polyclonal T-cells are personalized therapies designed to target a variety of neoantigens that are unique to the patient or tumor. The majority of solid tumor immune targets are patient-specific, with fewer than 1% shared among patients. TIL therapy is our lead T-cell-based immunotherapy platform in multiple advanced solid tumor cancers. For blood cancers, our peripheral blood lymphocyte, or PBL, therapy platform is based on polyclonal T-cells that are collected from a patient’s blood sample, and then amplified and reinvigorated.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TIL Clinical Development in Advanced, Metastatic or Unresectable Solid Tumor Cancers</w:t>
      </w:r>
    </w:p>
    <w:p>
      <w:pPr>
        <w:spacing w:after="0" w:line="225" w:lineRule="exact"/>
        <w:rPr>
          <w:sz w:val="20"/>
          <w:szCs w:val="20"/>
          <w:color w:val="auto"/>
        </w:rPr>
      </w:pPr>
    </w:p>
    <w:p>
      <w:pPr>
        <w:ind w:firstLine="492"/>
        <w:spacing w:after="0" w:line="311" w:lineRule="auto"/>
        <w:rPr>
          <w:sz w:val="20"/>
          <w:szCs w:val="20"/>
          <w:color w:val="auto"/>
        </w:rPr>
      </w:pPr>
      <w:r>
        <w:rPr>
          <w:rFonts w:ascii="Arial" w:cs="Arial" w:eastAsia="Arial" w:hAnsi="Arial"/>
          <w:sz w:val="16"/>
          <w:szCs w:val="16"/>
          <w:color w:val="auto"/>
        </w:rPr>
        <w:t>Building on the prior TIL therapy clinical trials conducted at single academic centers, including the National Cancer Institute, or NCI, we have investigated TIL therapy in global, multi-center Phase 2 clinical trials in advanced melanoma, cervical cancer, NSCLC and head and neck squamous cell carcinoma, or HNSCC. Additional information about our clinical trials is summarized below.</w:t>
      </w:r>
    </w:p>
    <w:p>
      <w:pPr>
        <w:spacing w:after="0" w:line="149" w:lineRule="exact"/>
        <w:rPr>
          <w:sz w:val="20"/>
          <w:szCs w:val="20"/>
          <w:color w:val="auto"/>
        </w:rPr>
      </w:pPr>
    </w:p>
    <w:p>
      <w:pPr>
        <w:ind w:right="620" w:firstLine="492"/>
        <w:spacing w:after="0" w:line="277" w:lineRule="auto"/>
        <w:rPr>
          <w:sz w:val="20"/>
          <w:szCs w:val="20"/>
          <w:color w:val="auto"/>
        </w:rPr>
      </w:pPr>
      <w:r>
        <w:rPr>
          <w:rFonts w:ascii="Arial" w:cs="Arial" w:eastAsia="Arial" w:hAnsi="Arial"/>
          <w:sz w:val="18"/>
          <w:szCs w:val="18"/>
          <w:color w:val="auto"/>
        </w:rPr>
        <w:t>In post-anti-PD-1 advanced melanoma, we are investigating lifileucel in our C-144-01 clinical trial that supports our BLA submission and potential approval of lifileucel in advanced post-anti-PD-1 melanoma.</w:t>
      </w:r>
    </w:p>
    <w:p>
      <w:pPr>
        <w:spacing w:after="0" w:line="170"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In frontline advanced melanoma patients who are naïve to anti-PD-1 therapy, we are investigating lifileucel in combination with pembrolizumab in the IOV-COM-202 clinical trial and the Phase 3 TILVANCE-301 clinical trial. TILVANCE-301 is a randomized Phase 3 clinical trial intended to support registration in advanced frontline melanoma as well as to serve as a confirmatory trial for full approval in advanced post-anti-PD-1 melanoma.</w:t>
      </w:r>
    </w:p>
    <w:p>
      <w:pPr>
        <w:spacing w:after="0" w:line="187"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We are also executing a registrational strategy for lifileucel in advanced cervical cancer. C-145-04 is a multicenter Phase 2 clinical trial that is currently enrolling a pivotal cohort to support a BLA in cervical cancer following progression on or after chemotherapy and pembrolizumab.</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firstLine="492"/>
        <w:spacing w:after="0" w:line="259" w:lineRule="auto"/>
        <w:rPr>
          <w:sz w:val="20"/>
          <w:szCs w:val="20"/>
          <w:color w:val="auto"/>
        </w:rPr>
      </w:pPr>
      <w:r>
        <w:rPr>
          <w:rFonts w:ascii="Arial" w:cs="Arial" w:eastAsia="Arial" w:hAnsi="Arial"/>
          <w:sz w:val="18"/>
          <w:szCs w:val="18"/>
          <w:color w:val="auto"/>
        </w:rPr>
        <w:t>In NSCLC, we are investigating our TIL therapy, LN-145, in two clinical trials in several NSCLC patient populations with significant unmet need. IOV-LUN-202 is a clinical trial of LN-145 in advanced NSCLC patients who have progressed following chemotherapy and anti-PD-1 therapy. IOV-COM-202 also includes cohorts of NSCLC patients treated with LN-145 monotherapy and combination therapy.</w:t>
      </w:r>
    </w:p>
    <w:p>
      <w:pPr>
        <w:spacing w:after="0" w:line="187" w:lineRule="exact"/>
        <w:rPr>
          <w:sz w:val="20"/>
          <w:szCs w:val="20"/>
          <w:color w:val="auto"/>
        </w:rPr>
      </w:pPr>
    </w:p>
    <w:p>
      <w:pPr>
        <w:jc w:val="both"/>
        <w:ind w:right="280" w:firstLine="492"/>
        <w:spacing w:after="0" w:line="311" w:lineRule="auto"/>
        <w:rPr>
          <w:sz w:val="20"/>
          <w:szCs w:val="20"/>
          <w:color w:val="auto"/>
        </w:rPr>
      </w:pPr>
      <w:r>
        <w:rPr>
          <w:rFonts w:ascii="Arial" w:cs="Arial" w:eastAsia="Arial" w:hAnsi="Arial"/>
          <w:sz w:val="16"/>
          <w:szCs w:val="16"/>
          <w:color w:val="auto"/>
        </w:rPr>
        <w:t>Our first genetically modified, PD-1 inactivated TIL therapy, IOV-4001, entered a first-in-human Phase 1/2 clinical trial, IOV-GM1-201, in 2022 in patients with previously treated advanced melanoma and NSCLC. IOV-4001 utilizes the gene-editing TALEN® technology, licensed from Cellectis S.A., or Cellectis, to inactivate the gene coding for the programmed cell death protein-1, or PD-1.</w:t>
      </w:r>
    </w:p>
    <w:p>
      <w:pPr>
        <w:spacing w:after="0" w:line="149" w:lineRule="exact"/>
        <w:rPr>
          <w:sz w:val="20"/>
          <w:szCs w:val="20"/>
          <w:color w:val="auto"/>
        </w:rPr>
      </w:pPr>
    </w:p>
    <w:p>
      <w:pPr>
        <w:ind w:right="40" w:firstLine="492"/>
        <w:spacing w:after="0" w:line="279" w:lineRule="auto"/>
        <w:rPr>
          <w:sz w:val="20"/>
          <w:szCs w:val="20"/>
          <w:color w:val="auto"/>
        </w:rPr>
      </w:pPr>
      <w:r>
        <w:rPr>
          <w:rFonts w:ascii="Arial" w:cs="Arial" w:eastAsia="Arial" w:hAnsi="Arial"/>
          <w:sz w:val="17"/>
          <w:szCs w:val="17"/>
          <w:color w:val="auto"/>
        </w:rPr>
        <w:t>In metastatic head and neck cancer squamous cell carcinoma, or HNSCC, we are evaluating LN-145 as monotherapy and in combination with pembrolizumab. The Phase 2 C-145-03 trial began in June 2017 and closed in January 2021 after reaching its pre-specified enrollment target to investigate LN-145 using various manufacturing processes. Cohort 2A in IOV-COM-202 is evaluating LN-145 in combination with pembrolizumab in patients with HNSCC who are naïve to anti-PD-1 therapy.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PBL Therapy in Blood Cancers</w:t>
      </w:r>
    </w:p>
    <w:p>
      <w:pPr>
        <w:spacing w:after="0" w:line="225" w:lineRule="exact"/>
        <w:rPr>
          <w:sz w:val="20"/>
          <w:szCs w:val="20"/>
          <w:color w:val="auto"/>
        </w:rPr>
      </w:pPr>
    </w:p>
    <w:p>
      <w:pPr>
        <w:ind w:right="320" w:firstLine="492"/>
        <w:spacing w:after="0" w:line="263" w:lineRule="auto"/>
        <w:rPr>
          <w:sz w:val="20"/>
          <w:szCs w:val="20"/>
          <w:color w:val="auto"/>
        </w:rPr>
      </w:pPr>
      <w:r>
        <w:rPr>
          <w:rFonts w:ascii="Arial" w:cs="Arial" w:eastAsia="Arial" w:hAnsi="Arial"/>
          <w:sz w:val="18"/>
          <w:szCs w:val="18"/>
          <w:color w:val="auto"/>
        </w:rPr>
        <w:t>In blood cancers, our clinical trial IOV-CLL-01 is a Phase 1/2 clinical trial evaluating the safety and efficacy of IOV-2001, our polyclonal PBL therapy, in patients with relapsed or refractory chronic lymphocytic leukemia, or CLL, and small lymphocytic lymphoma, or SLL, to receive IOV-2001.</w:t>
      </w:r>
    </w:p>
    <w:p>
      <w:pPr>
        <w:spacing w:after="0" w:line="184" w:lineRule="exact"/>
        <w:rPr>
          <w:sz w:val="20"/>
          <w:szCs w:val="20"/>
          <w:color w:val="auto"/>
        </w:rPr>
      </w:pPr>
    </w:p>
    <w:p>
      <w:pPr>
        <w:ind w:right="60" w:firstLine="492"/>
        <w:spacing w:after="0" w:line="277" w:lineRule="auto"/>
        <w:rPr>
          <w:sz w:val="20"/>
          <w:szCs w:val="20"/>
          <w:color w:val="auto"/>
        </w:rPr>
      </w:pPr>
      <w:r>
        <w:rPr>
          <w:rFonts w:ascii="Arial" w:cs="Arial" w:eastAsia="Arial" w:hAnsi="Arial"/>
          <w:sz w:val="18"/>
          <w:szCs w:val="18"/>
          <w:color w:val="auto"/>
        </w:rPr>
        <w:t>Beyond our Iovance-sponsored clinical trials, we have academic collaborations with leading cancer research centers to investigate TIL therapy, including next-generation processes and technologies, in other cancers and treatment settings.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Next-Generation Therapeutic and Manufacturing Approaches</w:t>
      </w:r>
    </w:p>
    <w:p>
      <w:pPr>
        <w:spacing w:after="0" w:line="225" w:lineRule="exact"/>
        <w:rPr>
          <w:sz w:val="20"/>
          <w:szCs w:val="20"/>
          <w:color w:val="auto"/>
        </w:rPr>
      </w:pPr>
    </w:p>
    <w:p>
      <w:pPr>
        <w:ind w:right="180" w:firstLine="492"/>
        <w:spacing w:after="0" w:line="342" w:lineRule="auto"/>
        <w:rPr>
          <w:sz w:val="20"/>
          <w:szCs w:val="20"/>
          <w:color w:val="auto"/>
        </w:rPr>
      </w:pPr>
      <w:r>
        <w:rPr>
          <w:rFonts w:ascii="Arial" w:cs="Arial" w:eastAsia="Arial" w:hAnsi="Arial"/>
          <w:sz w:val="16"/>
          <w:szCs w:val="16"/>
          <w:color w:val="auto"/>
        </w:rPr>
        <w:t>Our current next-generation technology platforms are designed to optimize TIL therapy, as well as TIL treatment regimen and manufacturing processes, across four key initiatives: genetic modifications, potency, process optimization and new treatment regimens.</w:t>
      </w:r>
    </w:p>
    <w:p>
      <w:pPr>
        <w:spacing w:after="0" w:line="124" w:lineRule="exact"/>
        <w:rPr>
          <w:sz w:val="20"/>
          <w:szCs w:val="20"/>
          <w:color w:val="auto"/>
        </w:rPr>
      </w:pPr>
    </w:p>
    <w:p>
      <w:pPr>
        <w:ind w:left="680" w:hanging="321"/>
        <w:spacing w:after="0" w:line="254" w:lineRule="auto"/>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Genetic modifications: </w:t>
      </w:r>
      <w:r>
        <w:rPr>
          <w:rFonts w:ascii="Arial" w:cs="Arial" w:eastAsia="Arial" w:hAnsi="Arial"/>
          <w:sz w:val="18"/>
          <w:szCs w:val="18"/>
          <w:color w:val="auto"/>
        </w:rPr>
        <w:t>We are pursuing several targets for genetic modification that utilize the gene-editing TALEN®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from the clinical-stage biotechnology company, Cellectis. Programs include single- and double- knockout candidates to further harness the immune system response to cancer and potentially increase the efficiency, potency and application of TIL therapy. Preclinical development is also ongoing with cytokine-tethered TIL products and additional TIL products and TIL-cell lines using transient and stable gene insertion and inactivation. Additional transient and permanent genetic modifications of TIL, such as cytokine-tethered TIL, may expand and activate TIL to achieve better efficacy while avoiding systemic side effects of cytokines.</w:t>
      </w:r>
    </w:p>
    <w:p>
      <w:pPr>
        <w:spacing w:after="0" w:line="194" w:lineRule="exact"/>
        <w:rPr>
          <w:rFonts w:ascii="Arial" w:cs="Arial" w:eastAsia="Arial" w:hAnsi="Arial"/>
          <w:sz w:val="18"/>
          <w:szCs w:val="18"/>
          <w:color w:val="auto"/>
        </w:rPr>
      </w:pPr>
    </w:p>
    <w:p>
      <w:pPr>
        <w:ind w:left="680" w:right="320" w:hanging="321"/>
        <w:spacing w:after="0" w:line="279" w:lineRule="auto"/>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Potency: </w:t>
      </w:r>
      <w:r>
        <w:rPr>
          <w:rFonts w:ascii="Arial" w:cs="Arial" w:eastAsia="Arial" w:hAnsi="Arial"/>
          <w:sz w:val="17"/>
          <w:szCs w:val="17"/>
          <w:color w:val="auto"/>
        </w:rPr>
        <w:t>Potential approaches to increase potency of the final TIL product include the sorting and selection of specific TIL,</w:t>
      </w:r>
      <w:r>
        <w:rPr>
          <w:rFonts w:ascii="Arial" w:cs="Arial" w:eastAsia="Arial" w:hAnsi="Arial"/>
          <w:sz w:val="17"/>
          <w:szCs w:val="17"/>
          <w:i w:val="1"/>
          <w:iCs w:val="1"/>
          <w:color w:val="auto"/>
        </w:rPr>
        <w:t xml:space="preserve"> </w:t>
      </w:r>
      <w:r>
        <w:rPr>
          <w:rFonts w:ascii="Arial" w:cs="Arial" w:eastAsia="Arial" w:hAnsi="Arial"/>
          <w:sz w:val="17"/>
          <w:szCs w:val="17"/>
          <w:color w:val="auto"/>
        </w:rPr>
        <w:t>such as PD-1+ selected TIL and CD39/69 double-negative TIL, and the use of certain inhibitors or other reagents in TIL expansion cultures. Our TIL candidate LN-145-S1 is manufactured from TIL selected for PD-1 expression and has been investigated in post-anti-PD-1 melanoma and post-anti-PD-1 HNSCC patient cohorts in our clinical trials.</w:t>
      </w:r>
    </w:p>
    <w:p>
      <w:pPr>
        <w:spacing w:after="0" w:line="171" w:lineRule="exact"/>
        <w:rPr>
          <w:rFonts w:ascii="Arial" w:cs="Arial" w:eastAsia="Arial" w:hAnsi="Arial"/>
          <w:sz w:val="17"/>
          <w:szCs w:val="17"/>
          <w:color w:val="auto"/>
        </w:rPr>
      </w:pPr>
    </w:p>
    <w:p>
      <w:pPr>
        <w:ind w:left="680" w:right="40" w:hanging="321"/>
        <w:spacing w:after="0" w:line="257" w:lineRule="auto"/>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Process optimization: </w:t>
      </w:r>
      <w:r>
        <w:rPr>
          <w:rFonts w:ascii="Arial" w:cs="Arial" w:eastAsia="Arial" w:hAnsi="Arial"/>
          <w:sz w:val="18"/>
          <w:szCs w:val="18"/>
          <w:color w:val="auto"/>
        </w:rPr>
        <w:t>We are committed to further optimizing and streamlining the processes for manufacturing TIL therapy</w:t>
      </w:r>
      <w:r>
        <w:rPr>
          <w:rFonts w:ascii="Arial" w:cs="Arial" w:eastAsia="Arial" w:hAnsi="Arial"/>
          <w:sz w:val="18"/>
          <w:szCs w:val="18"/>
          <w:i w:val="1"/>
          <w:iCs w:val="1"/>
          <w:color w:val="auto"/>
        </w:rPr>
        <w:t xml:space="preserve"> </w:t>
      </w:r>
      <w:r>
        <w:rPr>
          <w:rFonts w:ascii="Arial" w:cs="Arial" w:eastAsia="Arial" w:hAnsi="Arial"/>
          <w:sz w:val="18"/>
          <w:szCs w:val="18"/>
          <w:color w:val="auto"/>
        </w:rPr>
        <w:t>and collecting tumor samples. We are investigating a 16-day manufacturing process, or Gen 3, in patient cohorts included in the C-145-03 clinical trial in HNSCC and the IOV-COM-202 clinical trial. We are also exploring our Gen 3 process to manufacture TIL from core biopsy as a less-invasive collection of tumor samples in a cohort of patients with NSCLC in our IOV-LUN-202 clinical trial.</w:t>
      </w:r>
    </w:p>
    <w:p>
      <w:pPr>
        <w:spacing w:after="0" w:line="187" w:lineRule="exact"/>
        <w:rPr>
          <w:rFonts w:ascii="Arial" w:cs="Arial" w:eastAsia="Arial" w:hAnsi="Arial"/>
          <w:sz w:val="18"/>
          <w:szCs w:val="18"/>
          <w:color w:val="auto"/>
        </w:rPr>
      </w:pPr>
    </w:p>
    <w:p>
      <w:pPr>
        <w:ind w:left="680" w:right="80" w:hanging="321"/>
        <w:spacing w:after="0" w:line="286" w:lineRule="auto"/>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New treatment regimens: </w:t>
      </w:r>
      <w:r>
        <w:rPr>
          <w:rFonts w:ascii="Arial" w:cs="Arial" w:eastAsia="Arial" w:hAnsi="Arial"/>
          <w:sz w:val="17"/>
          <w:szCs w:val="17"/>
          <w:color w:val="auto"/>
        </w:rPr>
        <w:t>We are exploring potential avenues to improve aspects of the TIL treatment regimen. In 2020, we</w:t>
      </w:r>
      <w:r>
        <w:rPr>
          <w:rFonts w:ascii="Arial" w:cs="Arial" w:eastAsia="Arial" w:hAnsi="Arial"/>
          <w:sz w:val="17"/>
          <w:szCs w:val="17"/>
          <w:i w:val="1"/>
          <w:iCs w:val="1"/>
          <w:color w:val="auto"/>
        </w:rPr>
        <w:t xml:space="preserve"> </w:t>
      </w:r>
      <w:r>
        <w:rPr>
          <w:rFonts w:ascii="Arial" w:cs="Arial" w:eastAsia="Arial" w:hAnsi="Arial"/>
          <w:sz w:val="17"/>
          <w:szCs w:val="17"/>
          <w:color w:val="auto"/>
        </w:rPr>
        <w:t>licensed an antibody cytokine-engrafted protein, or IL-2 analog, which we refer to as IOV-3001, from Novartis. IOV-4001 is in IND-enabling studies supporting its use as part of the TIL treatment regimen following TIL infusion.</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185"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We have established a leading intellectual property portfolio developed internally and licensed from third parties. We currently own more than 60 U.S. patents related to TIL therapy, including patents directed to compositions and methods of treatment in a broad range of cancers, such as U.S. Patent Nos. 10,130,659; 10,166,257; 10,272,113; 10,363,273; 10,398,734; 10,420,799; 10,463,697; 10,517,894; 10,537,595; 10,639,330; 10,646,517; 10,653,723; 10,695,372; 10,894,063; 10,905,718; 10,918,666; 10,925,900; 10,933,094; 10,946,044; 10,946,045; 10,953,046; 10,953,047; 11,007,225; 11,007,226; 11,013,770; 11,026,974; 11,040,070; 11,052,115; 11,052,116; 11,058,728; 11,083,752; 11,123,371; 11,141,438 11,168,303; 11,168,304; 11,179,419; 11,202,803; 11,202,804; 11,241,456; 11,254,913; 11,266,694; 11,273,180; 11,273,181; 11,291,687; 11,304,979; 11,304,980; 11,311,578; 11,337,998; 11,344,579; 11,344,580; 11,344,581; 11,351,197; 11,351,198; 11,351,199; 11,364,266; 11,369,637; 11,384,637; 1,433,097; 11,529,372; and 11,541,077. More than 35 of these patents are related to our Gen 2 TIL manufacturing processes and have terms that we anticipate will extend to January 2038, not including any patent term extensions or adjustments that may be available. Our owned and licensed intellectual property portfolio also includes patents and patent applications relating to TIL, MIL, and PBL therapies; frozen tumor-based TIL technologies; remnant TIL and digest TIL compositions, methods and processes; methods of manufacturing TIL, MIL, and PBL therapies; the use of costimulatory and T-cell modulating molecules in TIL therapy and manufacturing; stable and transient genetically-modified TIL therapies, including genetic knockouts of immune checkpoints; cytokine-tethered TIL therapies; methods of using ICIs in combination with TIL therapies; TIL selection technologies; and methods of treating patient subpopulations.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and Liquidity</w:t>
      </w:r>
    </w:p>
    <w:p>
      <w:pPr>
        <w:spacing w:after="0" w:line="225" w:lineRule="exact"/>
        <w:rPr>
          <w:sz w:val="20"/>
          <w:szCs w:val="20"/>
          <w:color w:val="auto"/>
        </w:rPr>
      </w:pPr>
    </w:p>
    <w:p>
      <w:pPr>
        <w:ind w:right="100" w:firstLine="486"/>
        <w:spacing w:after="0" w:line="269" w:lineRule="auto"/>
        <w:rPr>
          <w:sz w:val="20"/>
          <w:szCs w:val="20"/>
          <w:color w:val="auto"/>
        </w:rPr>
      </w:pPr>
      <w:r>
        <w:rPr>
          <w:rFonts w:ascii="Arial" w:cs="Arial" w:eastAsia="Arial" w:hAnsi="Arial"/>
          <w:sz w:val="17"/>
          <w:szCs w:val="17"/>
          <w:color w:val="auto"/>
        </w:rPr>
        <w:t>The full impact of the novel strain of coronavirus, or COVID-19, pandemic is unknown and continuously evolving. While the potential economic impact brought by and over the duration of the COVID-19 pandemic may be difficult to assess or predict, the COVID-19 pandemic has resulted in significant disruption of global financial markets, which could in the future negatively affect our liquidity. In addition, a recession or market volatility resulting from the COVID-19 pandemic could affect our business. We have taken proactive, aggressive action throughout the COVID-19 pandemic to protect the health and safety of our employees and expect to continue to implement these measures until we determine that the COVID-19 pandemic is adequately contained for purposes of our business. We may take further actions as government authorities require or recommend or as we determine to be in the best interests of our employees. We do not believe that the COVID-19 pandemic had a material impact on our liquidity or results of operations for the year ended December 31, 2022. Further, to date, the COVID-19 pandemic has not had significant effects on our clinical trial enrollment. Given the nature and type of our short-term investments in U.S. government securities, we do not believe that the COVID-19 pandemic will have a material impact on our current investment liquidity.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225" w:lineRule="exact"/>
        <w:rPr>
          <w:sz w:val="20"/>
          <w:szCs w:val="20"/>
          <w:color w:val="auto"/>
        </w:rPr>
      </w:pPr>
    </w:p>
    <w:p>
      <w:pPr>
        <w:jc w:val="both"/>
        <w:ind w:right="60" w:firstLine="486"/>
        <w:spacing w:after="0" w:line="259" w:lineRule="auto"/>
        <w:rPr>
          <w:sz w:val="20"/>
          <w:szCs w:val="20"/>
          <w:color w:val="auto"/>
        </w:rPr>
      </w:pPr>
      <w:r>
        <w:rPr>
          <w:rFonts w:ascii="Arial" w:cs="Arial" w:eastAsia="Arial" w:hAnsi="Arial"/>
          <w:sz w:val="18"/>
          <w:szCs w:val="18"/>
          <w:color w:val="auto"/>
        </w:rPr>
        <w:t>Although there is uncertainty related to the anticipated impact of the recent COVID-19 pandemic on our future results, we believe our current cash reserves leave us well positioned to manage our business in light of the COVID-19 pandemic. However, the impacts of the COVID-19 pandemic are broad-reaching and continuing and the financial impacts associated with the COVID-19 pandemic are still uncertain.</w:t>
      </w:r>
    </w:p>
    <w:p>
      <w:pPr>
        <w:spacing w:after="0" w:line="187"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The COVID-19 pandemic is ongoing, and its dynamic nature, including uncertainties relating to the ultimate geographic spread of the virus, the severity of the disease, the duration of the pandemic, and actions that would be taken by governmental authorities to contain the pandemic or to treat its impact, makes it difficult to forecast any effects on our results for future periods.</w:t>
      </w:r>
    </w:p>
    <w:p>
      <w:pPr>
        <w:ind w:right="60"/>
        <w:spacing w:after="0" w:line="252" w:lineRule="auto"/>
        <w:rPr>
          <w:sz w:val="20"/>
          <w:szCs w:val="20"/>
          <w:color w:val="auto"/>
        </w:rPr>
      </w:pPr>
      <w:r>
        <w:rPr>
          <w:rFonts w:ascii="Arial" w:cs="Arial" w:eastAsia="Arial" w:hAnsi="Arial"/>
          <w:sz w:val="18"/>
          <w:szCs w:val="18"/>
          <w:color w:val="auto"/>
        </w:rPr>
        <w:t>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 may take additional actions based on their recommendations. In these circumstances, there may be developments outside our control requiring us to adjust our operating plan. As such, given the dynamic nature of this situation, we cannot reasonably estimate the impacts of COVID-19 on our financial condition, results of operations or cash flows in the future.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492"/>
        <w:spacing w:after="0" w:line="257" w:lineRule="auto"/>
        <w:rPr>
          <w:sz w:val="20"/>
          <w:szCs w:val="20"/>
          <w:color w:val="auto"/>
        </w:rPr>
      </w:pPr>
      <w:r>
        <w:rPr>
          <w:rFonts w:ascii="Arial" w:cs="Arial" w:eastAsia="Arial" w:hAnsi="Arial"/>
          <w:sz w:val="18"/>
          <w:szCs w:val="18"/>
          <w:color w:val="auto"/>
        </w:rPr>
        <w:t>We have not yet generated any revenues since our formation, With the submission of the rolling BLA for lifileucel for metastatic melanoma and our expected completion of the submission in the first quarter of 2023, we anticipate generating revenues from the sale of products during the 12 months from the date these financial statements are issued, however, such revenue may not be material. Our ability to generate revenues in the future will depend on our ability to complete the development of our product candidates and to obtain regulatory approval for them.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40" w:firstLine="492"/>
        <w:spacing w:after="0" w:line="257" w:lineRule="auto"/>
        <w:rPr>
          <w:sz w:val="20"/>
          <w:szCs w:val="20"/>
          <w:color w:val="auto"/>
        </w:rPr>
      </w:pPr>
      <w:r>
        <w:rPr>
          <w:rFonts w:ascii="Arial" w:cs="Arial" w:eastAsia="Arial" w:hAnsi="Arial"/>
          <w:sz w:val="18"/>
          <w:szCs w:val="18"/>
          <w:color w:val="auto"/>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w:t>
      </w:r>
    </w:p>
    <w:p>
      <w:pPr>
        <w:spacing w:after="0" w:line="188"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Clinical development costs are a significant component of research and development expenses. We have a history of contracting with third parties that perform various clinical trial activities on our behalf in connection with the ongoing development of our product candidates. The financial terms of these contracts are subject to negotiations and may vary from contract to contract and may result in uneven payment flow. We accrue and expense costs for clinical trial activities performed by third parties based upon estimates of work completed to date of the individual trial in accordance with agreements established with contract research organizations and clinical trial sites. 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w:t>
      </w:r>
    </w:p>
    <w:p>
      <w:pPr>
        <w:spacing w:after="0" w:line="181" w:lineRule="exact"/>
        <w:rPr>
          <w:sz w:val="20"/>
          <w:szCs w:val="20"/>
          <w:color w:val="auto"/>
        </w:rPr>
      </w:pPr>
    </w:p>
    <w:p>
      <w:pPr>
        <w:ind w:right="140" w:firstLine="492"/>
        <w:spacing w:after="0" w:line="286" w:lineRule="auto"/>
        <w:rPr>
          <w:sz w:val="20"/>
          <w:szCs w:val="20"/>
          <w:color w:val="auto"/>
        </w:rPr>
      </w:pPr>
      <w:r>
        <w:rPr>
          <w:rFonts w:ascii="Arial" w:cs="Arial" w:eastAsia="Arial" w:hAnsi="Arial"/>
          <w:sz w:val="17"/>
          <w:szCs w:val="17"/>
          <w:color w:val="auto"/>
        </w:rPr>
        <w:t>We expect our research and development expenses to continue to increase as we prepare for commercial manufacturing of our products and continue to conduct our clinical trials for other indications. However, it is difficult to determine with certainty the duration and completion costs of our current or future preclinical programs and clinical trials of our product candidates.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executive, finance, procurement, legal, investor relations, facilities, business development, marketing, commercial, information technology and human resources functions. Other significant costs include facility costs not otherwise included in research and development expenses, legal fees relating to corporate matters and intellectual property, insurance, public company expenses relating to maintaining compliance with Nasdaq listing rules and SEC requirements, investor relations costs, and fees for accounting and consulting services. General and administrative costs are expensed as incurred, and we accrue for services provided by third parties related to the above expenses by monitoring the status of services provided and receiving estimates from its service providers and adjusting its accruals as actual costs become known.</w:t>
      </w:r>
    </w:p>
    <w:p>
      <w:pPr>
        <w:spacing w:after="0" w:line="178"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We anticipate general and administrative expenses will increase as we continue to prepare for commercialization and support an expected growth of the internal general and administrative team.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net results from our interest-bearing cash and investment balances.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2022 and 2021</w:t>
      </w:r>
    </w:p>
    <w:p>
      <w:pPr>
        <w:spacing w:after="0" w:line="229" w:lineRule="exact"/>
        <w:rPr>
          <w:sz w:val="20"/>
          <w:szCs w:val="20"/>
          <w:color w:val="auto"/>
        </w:rPr>
      </w:pPr>
    </w:p>
    <w:p>
      <w:pPr>
        <w:ind w:right="200" w:firstLine="492"/>
        <w:spacing w:after="0" w:line="296"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 of clinical development generally have higher development costs than those in earlier stages of clinical development, primarily due to the increased size and duration of later-stage clinical trials. As a clinical stage company that is currently engaged in the development of novel cancer immunotherapy products, we have not yet generated any revenues from our biotechnology business or otherwise since our formation. Our ability to generate revenues in the future will depend on our ability to complete the development of our product candidates and to</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obtain regulatory approval for them. Our major sources of funding to date have been proceeds from various public and private offerings of our equity securities (both common stock and preferred stock), option and warrant exercises, and interest income. Since 2017 our primary source of funds has been from the public sale of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w w:val="95"/>
              </w:rPr>
              <w:t>Years Ended December 31,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Increase (Decrease)</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5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294,781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259,039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35,742</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included in research and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development expense</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50,242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40,833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9,409</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 xml:space="preserve">Research and development expense for the year ended December 31, 2022 increased by $35.7 million, or 14%, compared to the year ended December 31, 2021. The increase was primarily attributable to (i) a $23.9 million increase in payroll and related expenses and a $9.4 million increase in stock-based compensation expenses, both driven by increased hiring of research and development employees to support our on-going and planned clinical development activities, (ii) a $16.2 million increase in facility related expenses, including depreciation expenses associated with the </w:t>
      </w:r>
      <w:r>
        <w:rPr>
          <w:rFonts w:ascii="Arial" w:cs="Arial" w:eastAsia="Arial" w:hAnsi="Arial"/>
          <w:sz w:val="17"/>
          <w:szCs w:val="17"/>
          <w:i w:val="1"/>
          <w:iCs w:val="1"/>
          <w:color w:val="auto"/>
        </w:rPr>
        <w:t>i</w:t>
      </w:r>
      <w:r>
        <w:rPr>
          <w:rFonts w:ascii="Arial" w:cs="Arial" w:eastAsia="Arial" w:hAnsi="Arial"/>
          <w:sz w:val="17"/>
          <w:szCs w:val="17"/>
          <w:color w:val="auto"/>
        </w:rPr>
        <w:t xml:space="preserve">CTC and the build-out of our new corporate headquarters office, (iii) a $3.5 million increase in research and research alliance activities due to increased spend in lab supplies and consumables to support preclinical activities, (iv) a $2.7 million increase in patient advocacy and physician outreach and travel to support our planned commercial launch, and (v) a $2.4 million increase in license costs associated with the expansion of our information technology infrastructure to support our clinical and manufacturing activities at the </w:t>
      </w:r>
      <w:r>
        <w:rPr>
          <w:rFonts w:ascii="Arial" w:cs="Arial" w:eastAsia="Arial" w:hAnsi="Arial"/>
          <w:sz w:val="17"/>
          <w:szCs w:val="17"/>
          <w:i w:val="1"/>
          <w:iCs w:val="1"/>
          <w:color w:val="auto"/>
        </w:rPr>
        <w:t>i</w:t>
      </w:r>
      <w:r>
        <w:rPr>
          <w:rFonts w:ascii="Arial" w:cs="Arial" w:eastAsia="Arial" w:hAnsi="Arial"/>
          <w:sz w:val="17"/>
          <w:szCs w:val="17"/>
          <w:color w:val="auto"/>
        </w:rPr>
        <w:t>CTC. These increases were partially offset by a $17.4 million decrease in clinical trial costs, including clinical trial drug costs, and a $5.0 million decrease in manufacturing costs driven by completion of enrollment in pivotal cohorts of our clinical trials.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6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Increase (Decrease)</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104,097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w w:val="98"/>
              </w:rPr>
              <w:t>Stock-based compensation expense included in general and</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administrative expense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33,780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28,932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4,848</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General and administrative expense for the year ended December 31, 2022, increased by $20.4 million, or 24%, compared to the year ended December 31, 2021. The increase was primarily attributable to (i) a $10.0 million increase in payroll and related expenses and a $4.8 million increase in stock-based compensation expenses, both resulting from increases in headcount to support the growth in the overall business and related corporate infrastructure, (ii) a $3.4 million increase in marketing, advertising and travel related costs related to branding awareness to support our planned commercial launch, (iii) a $1.7 million increase in other costs, including professional fees and costs associated with the build-out of our new headquarter office and our information technology infrastructure to support the continued growth in the overall company, and (iv) a $0.5 million increase in depreciation expenses and facility related costs associated with the build-out of our new corporate headquarters.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net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w w:val="95"/>
              </w:rPr>
              <w:t>Years Ended December 31,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550"/>
              <w:spacing w:after="0"/>
              <w:rPr>
                <w:sz w:val="20"/>
                <w:szCs w:val="20"/>
                <w:color w:val="auto"/>
              </w:rPr>
            </w:pPr>
            <w:r>
              <w:rPr>
                <w:rFonts w:ascii="Arial" w:cs="Arial" w:eastAsia="Arial" w:hAnsi="Arial"/>
                <w:sz w:val="14"/>
                <w:szCs w:val="14"/>
                <w:b w:val="1"/>
                <w:bCs w:val="1"/>
                <w:color w:val="auto"/>
              </w:rPr>
              <w:t>Increase (Decrease)</w:t>
            </w:r>
          </w:p>
        </w:tc>
      </w:tr>
      <w:tr>
        <w:trPr>
          <w:trHeight w:val="142"/>
        </w:trPr>
        <w:tc>
          <w:tcPr>
            <w:tcW w:w="52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8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r>
      <w:tr>
        <w:trPr>
          <w:trHeight w:val="20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right="160" w:firstLine="492"/>
        <w:spacing w:after="0" w:line="263" w:lineRule="auto"/>
        <w:rPr>
          <w:sz w:val="20"/>
          <w:szCs w:val="20"/>
          <w:color w:val="auto"/>
        </w:rPr>
      </w:pPr>
      <w:r>
        <w:rPr>
          <w:rFonts w:ascii="Arial" w:cs="Arial" w:eastAsia="Arial" w:hAnsi="Arial"/>
          <w:sz w:val="18"/>
          <w:szCs w:val="18"/>
          <w:color w:val="auto"/>
        </w:rPr>
        <w:t>Interest income results from our interest-bearing cash and investment balances. Net interest income increased by $2.5 million, or 562%, due primarily to an increase in cash and cash equivalents as well as returns resulting from increased interest rates in 2022 as compared to the same period in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120" w:type="dxa"/>
            <w:vAlign w:val="bottom"/>
            <w:gridSpan w:val="3"/>
          </w:tcPr>
          <w:p>
            <w:pPr>
              <w:ind w:left="22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(Increase) Decrease</w:t>
            </w:r>
          </w:p>
        </w:tc>
      </w:tr>
      <w:tr>
        <w:trPr>
          <w:trHeight w:val="142"/>
        </w:trPr>
        <w:tc>
          <w:tcPr>
            <w:tcW w:w="30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60" w:type="dxa"/>
            <w:vAlign w:val="bottom"/>
            <w:tcBorders>
              <w:top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2022</w:t>
            </w:r>
          </w:p>
        </w:tc>
        <w:tc>
          <w:tcPr>
            <w:tcW w:w="116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36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4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(395,893)</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(342,252)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(53,641)</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right="60" w:firstLine="492"/>
        <w:spacing w:after="0" w:line="279" w:lineRule="auto"/>
        <w:rPr>
          <w:sz w:val="20"/>
          <w:szCs w:val="20"/>
          <w:color w:val="auto"/>
        </w:rPr>
      </w:pPr>
      <w:r>
        <w:rPr>
          <w:rFonts w:ascii="Arial" w:cs="Arial" w:eastAsia="Arial" w:hAnsi="Arial"/>
          <w:sz w:val="17"/>
          <w:szCs w:val="17"/>
          <w:color w:val="auto"/>
        </w:rPr>
        <w:t>Net loss for the year ended December 31, 2022, increased by $53.6 million or 16%, compared to the year ended December 31, 2021. The increase in our net loss was due to the continued expansion of our research and development activities, and the overall growth of our corporate infrastructure. We anticipate that we will continue to incur net losses in the future as we further invest in our research and development activities, including our commercial readiness and clinical development.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2021 and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4"/>
              </w:rPr>
              <w:t>Years Ended December 31,</w:t>
            </w:r>
          </w:p>
        </w:tc>
        <w:tc>
          <w:tcPr>
            <w:tcW w:w="180" w:type="dxa"/>
            <w:vAlign w:val="bottom"/>
          </w:tcPr>
          <w:p>
            <w:pPr>
              <w:spacing w:after="0"/>
              <w:rPr>
                <w:sz w:val="14"/>
                <w:szCs w:val="14"/>
                <w:color w:val="auto"/>
              </w:rPr>
            </w:pPr>
          </w:p>
        </w:tc>
        <w:tc>
          <w:tcPr>
            <w:tcW w:w="192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Increase (Decrease)</w:t>
            </w:r>
          </w:p>
        </w:tc>
      </w:tr>
      <w:tr>
        <w:trPr>
          <w:trHeight w:val="142"/>
        </w:trPr>
        <w:tc>
          <w:tcPr>
            <w:tcW w:w="5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2021</w:t>
            </w:r>
          </w:p>
        </w:tc>
        <w:tc>
          <w:tcPr>
            <w:tcW w:w="100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840" w:type="dxa"/>
            <w:vAlign w:val="bottom"/>
            <w:tcBorders>
              <w:top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$ 259,039</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$ 201,727</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57,312</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2"/>
        </w:trPr>
        <w:tc>
          <w:tcPr>
            <w:tcW w:w="5660" w:type="dxa"/>
            <w:vAlign w:val="bottom"/>
          </w:tcPr>
          <w:p>
            <w:pPr>
              <w:spacing w:after="0" w:line="201" w:lineRule="exact"/>
              <w:rPr>
                <w:sz w:val="20"/>
                <w:szCs w:val="20"/>
                <w:color w:val="auto"/>
              </w:rPr>
            </w:pPr>
            <w:r>
              <w:rPr>
                <w:rFonts w:ascii="Arial" w:cs="Arial" w:eastAsia="Arial" w:hAnsi="Arial"/>
                <w:sz w:val="18"/>
                <w:szCs w:val="18"/>
                <w:color w:val="auto"/>
                <w:w w:val="94"/>
              </w:rPr>
              <w:t>Stock-based compensation expense included in research and development</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expense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40,833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19,727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21,106</w:t>
            </w:r>
          </w:p>
        </w:tc>
        <w:tc>
          <w:tcPr>
            <w:tcW w:w="1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107 %</w:t>
            </w:r>
          </w:p>
        </w:tc>
      </w:tr>
    </w:tbl>
    <w:p>
      <w:pPr>
        <w:spacing w:after="0" w:line="202"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 xml:space="preserve">Research and development expense for the year ended December 31, 2021, increased by $57.3 million, or 28%, compared to the year ended December 31, 2020. The increase was primarily attributable to (i) a $29.2 million increase in payroll and related expenses and a $21.1 million increase in stock-based compensation expenses, both driven by increased hiring of research and development employees to support our on-going and planned clinical development activities, (ii) a $14.9 million increase in facility and related costs associated with the </w:t>
      </w:r>
      <w:r>
        <w:rPr>
          <w:rFonts w:ascii="Arial" w:cs="Arial" w:eastAsia="Arial" w:hAnsi="Arial"/>
          <w:sz w:val="17"/>
          <w:szCs w:val="17"/>
          <w:i w:val="1"/>
          <w:iCs w:val="1"/>
          <w:color w:val="auto"/>
        </w:rPr>
        <w:t>i</w:t>
      </w:r>
      <w:r>
        <w:rPr>
          <w:rFonts w:ascii="Arial" w:cs="Arial" w:eastAsia="Arial" w:hAnsi="Arial"/>
          <w:sz w:val="17"/>
          <w:szCs w:val="17"/>
          <w:color w:val="auto"/>
        </w:rPr>
        <w:t>CTC and the build-out of our new corporate headquarters office, (iii) a $5.1 million increase in clinical trial costs driven by continued enrollment in our IOV-COM-202 and IOV-LUN-202 clinical trials and purchases of clinical trial drug used in these clinical trials, and (iv) a $2.2 million increase in travel and others, including allocated costs associated with the expansion of our infrastructure, including information systems, to further support the growth in the organization and operations associated with our clinical trials and pre-commercial efforts. These increases were partially offset by a $10.0 million decrease in research alliance costs due to a one-time license fee from Novartis to further develop IOV-3001 which was recognized in full in 2020, and a $5.2 million decrease in manufacturing costs driven by completion of our pivotal clinical trials.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4"/>
              </w:rPr>
              <w:t>Years Ended December 31,</w:t>
            </w:r>
          </w:p>
        </w:tc>
        <w:tc>
          <w:tcPr>
            <w:tcW w:w="180" w:type="dxa"/>
            <w:vAlign w:val="bottom"/>
          </w:tcPr>
          <w:p>
            <w:pPr>
              <w:spacing w:after="0"/>
              <w:rPr>
                <w:sz w:val="14"/>
                <w:szCs w:val="14"/>
                <w:color w:val="auto"/>
              </w:rPr>
            </w:pPr>
          </w:p>
        </w:tc>
        <w:tc>
          <w:tcPr>
            <w:tcW w:w="192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Increase (Decrease)</w:t>
            </w:r>
          </w:p>
        </w:tc>
      </w:tr>
      <w:tr>
        <w:trPr>
          <w:trHeight w:val="142"/>
        </w:trPr>
        <w:tc>
          <w:tcPr>
            <w:tcW w:w="5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2021</w:t>
            </w:r>
          </w:p>
        </w:tc>
        <w:tc>
          <w:tcPr>
            <w:tcW w:w="100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840" w:type="dxa"/>
            <w:vAlign w:val="bottom"/>
            <w:tcBorders>
              <w:top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83,664</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60,210</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23,454</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2"/>
        </w:trPr>
        <w:tc>
          <w:tcPr>
            <w:tcW w:w="5680" w:type="dxa"/>
            <w:vAlign w:val="bottom"/>
          </w:tcPr>
          <w:p>
            <w:pPr>
              <w:spacing w:after="0" w:line="201" w:lineRule="exact"/>
              <w:rPr>
                <w:sz w:val="20"/>
                <w:szCs w:val="20"/>
                <w:color w:val="auto"/>
              </w:rPr>
            </w:pPr>
            <w:r>
              <w:rPr>
                <w:rFonts w:ascii="Arial" w:cs="Arial" w:eastAsia="Arial" w:hAnsi="Arial"/>
                <w:sz w:val="18"/>
                <w:szCs w:val="18"/>
                <w:color w:val="auto"/>
                <w:w w:val="94"/>
              </w:rPr>
              <w:t>Stock-based compensation expense included in general and administrative</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expense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28,932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21,160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7,772</w:t>
            </w:r>
          </w:p>
        </w:tc>
        <w:tc>
          <w:tcPr>
            <w:tcW w:w="1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37 %</w:t>
            </w:r>
          </w:p>
        </w:tc>
      </w:tr>
    </w:tbl>
    <w:p>
      <w:pPr>
        <w:spacing w:after="0" w:line="202" w:lineRule="exact"/>
        <w:rPr>
          <w:sz w:val="20"/>
          <w:szCs w:val="20"/>
          <w:color w:val="auto"/>
        </w:rPr>
      </w:pPr>
    </w:p>
    <w:p>
      <w:pPr>
        <w:ind w:right="40" w:firstLine="492"/>
        <w:spacing w:after="0" w:line="291" w:lineRule="auto"/>
        <w:rPr>
          <w:sz w:val="20"/>
          <w:szCs w:val="20"/>
          <w:color w:val="auto"/>
        </w:rPr>
      </w:pPr>
      <w:r>
        <w:rPr>
          <w:rFonts w:ascii="Arial" w:cs="Arial" w:eastAsia="Arial" w:hAnsi="Arial"/>
          <w:sz w:val="16"/>
          <w:szCs w:val="16"/>
          <w:color w:val="auto"/>
        </w:rPr>
        <w:t>General and administrative expense for the year ended December 31, 2021, increased by $23.5 million, or 39%, compared to the year ended December 31, 2020. The increase was primarily attributable to (i) a $9.8 million increase in payroll and related expenses and a $7.8 million increase in stock-based compensation expenses, both resulting from increases in headcount to support the growth in the overall business and related corporate infrastructure (ii) a $4.3 million increase in insurance and intellectual property filing related costs, and (iii) a $2.8 million increase in other costs, including professional fees and costs associated with the build-out of our new headquarter office and IT infrastructure to support the continued growth in the overall company. These costs were partially offset by a $1.2 million decrease in pre-commercial and marketing costs due to reprioritization of corporate initiatives during the year ended December 31,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net (in thousands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04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Years Ended December 31,</w:t>
            </w:r>
          </w:p>
        </w:tc>
        <w:tc>
          <w:tcPr>
            <w:tcW w:w="190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Increase (Decrease)</w:t>
            </w:r>
          </w:p>
        </w:tc>
      </w:tr>
      <w:tr>
        <w:trPr>
          <w:trHeight w:val="142"/>
        </w:trPr>
        <w:tc>
          <w:tcPr>
            <w:tcW w:w="59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(1,905)</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color w:val="auto"/>
        </w:rPr>
        <w:t>Interest income results from our interest-bearing cash and investment balances. Net interest income decreased by $1.9 million, or 81%, due primarily to a decrease in interest rates in 2021 as compared to the same period in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080" w:type="dxa"/>
            <w:vAlign w:val="bottom"/>
            <w:gridSpan w:val="4"/>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186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(Increase) Decrease</w:t>
            </w:r>
          </w:p>
        </w:tc>
      </w:tr>
      <w:tr>
        <w:trPr>
          <w:trHeight w:val="142"/>
        </w:trPr>
        <w:tc>
          <w:tcPr>
            <w:tcW w:w="5980" w:type="dxa"/>
            <w:vAlign w:val="bottom"/>
          </w:tcPr>
          <w:p>
            <w:pPr>
              <w:spacing w:after="0"/>
              <w:rPr>
                <w:sz w:val="12"/>
                <w:szCs w:val="12"/>
                <w:color w:val="auto"/>
              </w:rPr>
            </w:pPr>
          </w:p>
        </w:tc>
        <w:tc>
          <w:tcPr>
            <w:tcW w:w="860" w:type="dxa"/>
            <w:vAlign w:val="bottom"/>
            <w:tcBorders>
              <w:top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2021</w:t>
            </w:r>
          </w:p>
        </w:tc>
        <w:tc>
          <w:tcPr>
            <w:tcW w:w="104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800" w:type="dxa"/>
            <w:vAlign w:val="bottom"/>
            <w:tcBorders>
              <w:top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(342,252)</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(259,581)</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(82,671)</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right="280" w:firstLine="492"/>
        <w:spacing w:after="0" w:line="301" w:lineRule="auto"/>
        <w:rPr>
          <w:sz w:val="20"/>
          <w:szCs w:val="20"/>
          <w:color w:val="auto"/>
        </w:rPr>
      </w:pPr>
      <w:r>
        <w:rPr>
          <w:rFonts w:ascii="Arial" w:cs="Arial" w:eastAsia="Arial" w:hAnsi="Arial"/>
          <w:sz w:val="16"/>
          <w:szCs w:val="16"/>
          <w:color w:val="auto"/>
        </w:rPr>
        <w:t>Net loss for the year ended December 31, 2021, increased by $82.7 million or 32%, compared to the year ended December 31, 2020. The increase in our net loss was due to the continued expansion of our research and development activities, increased clinical trials, and the overall growth of our corporate infrastructure. We anticipate that we will continue to incur net losses in the future as we further invest in our research and development activities, including our commercial readiness and clinical development.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firstLine="492"/>
        <w:spacing w:after="0" w:line="287" w:lineRule="auto"/>
        <w:rPr>
          <w:sz w:val="20"/>
          <w:szCs w:val="20"/>
          <w:color w:val="auto"/>
        </w:rPr>
      </w:pPr>
      <w:r>
        <w:rPr>
          <w:rFonts w:ascii="Arial" w:cs="Arial" w:eastAsia="Arial" w:hAnsi="Arial"/>
          <w:sz w:val="16"/>
          <w:szCs w:val="16"/>
          <w:color w:val="auto"/>
        </w:rPr>
        <w:t xml:space="preserve">We have incurred losses and generated negative cash flows from operations since inception. Historically, we have funded our operations from various public and private offerings of our equity securities, both common stock and preferred stock, from option and warrant exercises, and from interest income. Since 2017, our primary source of funds has been from the public sale of our common stock. With the submission of the rolling BLA for lifileucel for metastatic melanoma and the expected completion of the submission in the first quarter of 2023, we anticipate generating revenue from the sale of products during the 12 months from the date these consolidated financial statements are issued, however such revenues may not be material. We expect to continue to incur significant expenses to support our research and development activities, on-going pre-commercial activities and completion of the construction of tenant improvements for the </w:t>
      </w:r>
      <w:r>
        <w:rPr>
          <w:rFonts w:ascii="Arial" w:cs="Arial" w:eastAsia="Arial" w:hAnsi="Arial"/>
          <w:sz w:val="16"/>
          <w:szCs w:val="16"/>
          <w:i w:val="1"/>
          <w:iCs w:val="1"/>
          <w:color w:val="auto"/>
        </w:rPr>
        <w:t>i</w:t>
      </w:r>
      <w:r>
        <w:rPr>
          <w:rFonts w:ascii="Arial" w:cs="Arial" w:eastAsia="Arial" w:hAnsi="Arial"/>
          <w:sz w:val="16"/>
          <w:szCs w:val="16"/>
          <w:color w:val="auto"/>
        </w:rPr>
        <w:t xml:space="preserve">CTC facility during the remainder of 2023 and beyond. Specifically, we expect increased spending on clinical trials, research and development activities, and higher payroll expenses as we increase our professional and scientific staff and continue our expansion of manufacturing activities, including the ramp-up of the </w:t>
      </w:r>
      <w:r>
        <w:rPr>
          <w:rFonts w:ascii="Arial" w:cs="Arial" w:eastAsia="Arial" w:hAnsi="Arial"/>
          <w:sz w:val="16"/>
          <w:szCs w:val="16"/>
          <w:i w:val="1"/>
          <w:iCs w:val="1"/>
          <w:color w:val="auto"/>
        </w:rPr>
        <w:t>i</w:t>
      </w:r>
      <w:r>
        <w:rPr>
          <w:rFonts w:ascii="Arial" w:cs="Arial" w:eastAsia="Arial" w:hAnsi="Arial"/>
          <w:sz w:val="16"/>
          <w:szCs w:val="16"/>
          <w:color w:val="auto"/>
        </w:rPr>
        <w:t>CTC. Based on the funds we have available as of the date of our consolidated financial statements, we believe that we have sufficient capital to fund our anticipated operating expenses and capital expenditures as planned for at least the next twelve months from the date these consolidated financial statements are issued.</w:t>
      </w:r>
    </w:p>
    <w:p>
      <w:pPr>
        <w:spacing w:after="0" w:line="127"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 xml:space="preserve">We currently anticipate making aggregate capital expenditures of approximately $20.0 million during the next 12 months, which is expected to primarily include equipment to be used for clinical trials, research and manufacturing at the </w:t>
      </w:r>
      <w:r>
        <w:rPr>
          <w:rFonts w:ascii="Arial" w:cs="Arial" w:eastAsia="Arial" w:hAnsi="Arial"/>
          <w:sz w:val="18"/>
          <w:szCs w:val="18"/>
          <w:i w:val="1"/>
          <w:iCs w:val="1"/>
          <w:color w:val="auto"/>
        </w:rPr>
        <w:t>i</w:t>
      </w:r>
      <w:r>
        <w:rPr>
          <w:rFonts w:ascii="Arial" w:cs="Arial" w:eastAsia="Arial" w:hAnsi="Arial"/>
          <w:sz w:val="18"/>
          <w:szCs w:val="18"/>
          <w:color w:val="auto"/>
        </w:rPr>
        <w:t>CTC, as well as spending associated with the expansion of our manufacturing facilities of offices.</w:t>
      </w:r>
    </w:p>
    <w:p>
      <w:pPr>
        <w:spacing w:after="0" w:line="184" w:lineRule="exact"/>
        <w:rPr>
          <w:sz w:val="20"/>
          <w:szCs w:val="20"/>
          <w:color w:val="auto"/>
        </w:rPr>
      </w:pPr>
    </w:p>
    <w:p>
      <w:pPr>
        <w:ind w:right="300" w:firstLine="492"/>
        <w:spacing w:after="0" w:line="301" w:lineRule="auto"/>
        <w:rPr>
          <w:sz w:val="20"/>
          <w:szCs w:val="20"/>
          <w:color w:val="auto"/>
        </w:rPr>
      </w:pPr>
      <w:r>
        <w:rPr>
          <w:rFonts w:ascii="Arial" w:cs="Arial" w:eastAsia="Arial" w:hAnsi="Arial"/>
          <w:sz w:val="16"/>
          <w:szCs w:val="16"/>
          <w:color w:val="auto"/>
        </w:rPr>
        <w:t>As of December 31, 2022, we had $478.3 million in cash, cash equivalents, investments, and restricted cash ($231.7 million of cash and cash equivalents, $240.1 million in short-term investments, and $6.4 million in restricted cash). Based on the funds we have available as of the date of the filing of this Annual Report on Form 10-K, we believe that we have sufficient capital to fund our anticipated operating expenses and capital expenditure for at least 12 months from the date of filing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Capitalization</w:t>
      </w:r>
    </w:p>
    <w:p>
      <w:pPr>
        <w:spacing w:after="0" w:line="225"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As of December 31, 2022, we had outstanding 187,812,072 shares of our $0.000041666 par value common stock, 194 shares of our $0.001 par value Series A Convertible Preferred Stock, and 2,842,158 shares of our $0.001 par value Series B Convertible Preferred Stock. The outstanding shares of Series A Convertible Preferred Stock are currently convertible into 97,000 shares of our common stock, and the outstanding shares of Series B Convertible Preferred Stock are currently convertible into 2,842,158 shares of our common stock. The shares of Series A Convertible Preferred Stock and Series B Convertible Preferred Stock do not have voting rights or accrue dividends.</w:t>
      </w:r>
    </w:p>
    <w:p>
      <w:pPr>
        <w:spacing w:after="0" w:line="192" w:lineRule="exact"/>
        <w:rPr>
          <w:sz w:val="20"/>
          <w:szCs w:val="20"/>
          <w:color w:val="auto"/>
        </w:rPr>
      </w:pPr>
    </w:p>
    <w:p>
      <w:pPr>
        <w:ind w:right="320" w:firstLine="492"/>
        <w:spacing w:after="0" w:line="342" w:lineRule="auto"/>
        <w:rPr>
          <w:sz w:val="20"/>
          <w:szCs w:val="20"/>
          <w:color w:val="auto"/>
        </w:rPr>
      </w:pPr>
      <w:r>
        <w:rPr>
          <w:rFonts w:ascii="Arial" w:cs="Arial" w:eastAsia="Arial" w:hAnsi="Arial"/>
          <w:sz w:val="16"/>
          <w:szCs w:val="16"/>
          <w:color w:val="auto"/>
        </w:rPr>
        <w:t>On September 17, 2019, we filed a shelf registration statement, or the 2019 Shelf Registration Statement, with the SEC for the issuance up to an aggregate amount of $400 million, which was declared effective on September 24, 2019. The 2019 Shelf</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Registration Statement was terminated upon effectiveness of the 2020 Automatic Shelf Registration Statement as discussed below. No shares were sold under the 2019 Shelf Registration Statement prior to its termination.</w:t>
      </w:r>
    </w:p>
    <w:p>
      <w:pPr>
        <w:spacing w:after="0" w:line="130" w:lineRule="exact"/>
        <w:rPr>
          <w:sz w:val="20"/>
          <w:szCs w:val="20"/>
          <w:color w:val="auto"/>
        </w:rPr>
      </w:pPr>
    </w:p>
    <w:p>
      <w:pPr>
        <w:jc w:val="both"/>
        <w:ind w:right="20" w:firstLine="492"/>
        <w:spacing w:after="0" w:line="311" w:lineRule="auto"/>
        <w:rPr>
          <w:sz w:val="20"/>
          <w:szCs w:val="20"/>
          <w:color w:val="auto"/>
        </w:rPr>
      </w:pPr>
      <w:r>
        <w:rPr>
          <w:rFonts w:ascii="Arial" w:cs="Arial" w:eastAsia="Arial" w:hAnsi="Arial"/>
          <w:sz w:val="16"/>
          <w:szCs w:val="16"/>
          <w:color w:val="auto"/>
        </w:rPr>
        <w:t>On May 27, 2020, we filed an automatic shelf registration statement, or the 2020 Automatic Shelf Registration Statement, with the SEC for the issuance of an indeterminate amount of securities (the “Shelf Securities”), which was immediately effective upon filing with the SEC. Upon filing of the 2020 Automatic Shelf Registration Statement, the 2019 Shelf Registration Statement was terminated.</w:t>
      </w:r>
    </w:p>
    <w:p>
      <w:pPr>
        <w:spacing w:after="0" w:line="122" w:lineRule="exact"/>
        <w:rPr>
          <w:sz w:val="20"/>
          <w:szCs w:val="20"/>
          <w:color w:val="auto"/>
        </w:rPr>
      </w:pPr>
    </w:p>
    <w:p>
      <w:pPr>
        <w:ind w:right="40" w:firstLine="492"/>
        <w:spacing w:after="0" w:line="257" w:lineRule="auto"/>
        <w:rPr>
          <w:sz w:val="20"/>
          <w:szCs w:val="20"/>
          <w:color w:val="auto"/>
        </w:rPr>
      </w:pPr>
      <w:r>
        <w:rPr>
          <w:rFonts w:ascii="Arial" w:cs="Arial" w:eastAsia="Arial" w:hAnsi="Arial"/>
          <w:sz w:val="18"/>
          <w:szCs w:val="18"/>
          <w:color w:val="auto"/>
        </w:rPr>
        <w:t>On June 2, 2020, we sold 19,475,806 shares of our common stock at a public offering price of $31.00 per share pursuant to the 2020 Automatic Shelf Registration Statement, or the June 2020 Public Offering. We received gross proceeds of $603.7 million and net proceeds of $567.0 million from the June 2020 Public Offering, after deducting underwriting discounts and offering expenses. Following the June 2020 Public Offering, the 2020 Automatic Shelf Registration Statement remains available for the future issuance of an indeterminate amount of Shelf Securities.</w:t>
      </w:r>
    </w:p>
    <w:p>
      <w:pPr>
        <w:spacing w:after="0" w:line="147" w:lineRule="exact"/>
        <w:rPr>
          <w:sz w:val="20"/>
          <w:szCs w:val="20"/>
          <w:color w:val="auto"/>
        </w:rPr>
      </w:pPr>
    </w:p>
    <w:p>
      <w:pPr>
        <w:ind w:right="220" w:firstLine="492"/>
        <w:spacing w:after="0" w:line="286" w:lineRule="auto"/>
        <w:rPr>
          <w:sz w:val="20"/>
          <w:szCs w:val="20"/>
          <w:color w:val="auto"/>
        </w:rPr>
      </w:pPr>
      <w:r>
        <w:rPr>
          <w:rFonts w:ascii="Arial" w:cs="Arial" w:eastAsia="Arial" w:hAnsi="Arial"/>
          <w:sz w:val="17"/>
          <w:szCs w:val="17"/>
          <w:color w:val="auto"/>
        </w:rPr>
        <w:t>On February 8, 2021, we entered into an Open Market Sales Agreement, or the First Sales Agreement, with Jefferies LLC, or Jefferies, with respect to an “at the market” offering program, under which we may, from time to time, in our sole discretion, issue and sell through Jefferies, acting as sales agent, up to $350.0 million of shares of our common stock.</w:t>
      </w:r>
    </w:p>
    <w:p>
      <w:pPr>
        <w:spacing w:after="0" w:line="125" w:lineRule="exact"/>
        <w:rPr>
          <w:sz w:val="20"/>
          <w:szCs w:val="20"/>
          <w:color w:val="auto"/>
        </w:rPr>
      </w:pPr>
    </w:p>
    <w:p>
      <w:pPr>
        <w:ind w:right="40" w:firstLine="492"/>
        <w:spacing w:after="0" w:line="288" w:lineRule="auto"/>
        <w:rPr>
          <w:sz w:val="20"/>
          <w:szCs w:val="20"/>
          <w:color w:val="auto"/>
        </w:rPr>
      </w:pPr>
      <w:r>
        <w:rPr>
          <w:rFonts w:ascii="Arial" w:cs="Arial" w:eastAsia="Arial" w:hAnsi="Arial"/>
          <w:sz w:val="16"/>
          <w:szCs w:val="16"/>
          <w:color w:val="auto"/>
        </w:rPr>
        <w:t>On November 18, 2022, we entered into a new Open Market Sales Agreement, or the Second Sales Agreement, with Jefferies, which superseded and replaced the First Sales Agreement dated February 8, 2021. Pursuant to the terms of the Second Sales Agreement, we may, from time to time, in our sole discretion, issue and sell through Jefferies, acting as sales agent, up to $500.0 million of shares of our common stock. The issuance and sale, if any, of shares of our common stock under the First Sales Agreement and the Second Sales Agreement will be made pursuant to a prospectus supplement, dated February 8, 2021, and November 18, 2022, respectively, to the 2020 Automatic Shelf Registration Statement. During the year ended December 31, 2022, we received gross proceeds of $194.2 million and net proceeds of $189.5 million, after deducting underwriting discounts and offering expenses, through the sale of 29,788,993 of our common stock, under both the First Sales Agreement and Second Sales Agreement. During the year ended December 31, 2021, we received gross proceeds of $207.9 million and net proceeds of $203.2 million, after deducting underwriting discounts and offering expenses, through the sale of 6,474,099 shares of our common stock, under the First Sales Agreement.</w:t>
      </w:r>
    </w:p>
    <w:p>
      <w:pPr>
        <w:spacing w:after="0" w:line="141" w:lineRule="exact"/>
        <w:rPr>
          <w:sz w:val="20"/>
          <w:szCs w:val="20"/>
          <w:color w:val="auto"/>
        </w:rPr>
      </w:pPr>
    </w:p>
    <w:p>
      <w:pPr>
        <w:ind w:right="100" w:firstLine="492"/>
        <w:spacing w:after="0" w:line="311" w:lineRule="auto"/>
        <w:rPr>
          <w:sz w:val="20"/>
          <w:szCs w:val="20"/>
          <w:color w:val="auto"/>
        </w:rPr>
      </w:pPr>
      <w:r>
        <w:rPr>
          <w:rFonts w:ascii="Arial" w:cs="Arial" w:eastAsia="Arial" w:hAnsi="Arial"/>
          <w:sz w:val="16"/>
          <w:szCs w:val="16"/>
          <w:color w:val="auto"/>
        </w:rPr>
        <w:t>In the future, we may periodically offer one or more of these securities in amounts, prices and terms to be announced when and if the securities are offered. If any of the securities covered by the 2020 Shelf Registration Statement are offered for sale, a prospectus supplement will be prepared and filed with the SEC containing specific information about the terms of such offering at that time.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flows from operating, investing and financing activities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40" w:type="dxa"/>
            <w:vAlign w:val="bottom"/>
            <w:tcBorders>
              <w:bottom w:val="single" w:sz="8" w:color="auto"/>
            </w:tcBorders>
          </w:tcPr>
          <w:p>
            <w:pPr>
              <w:spacing w:after="0"/>
              <w:rPr>
                <w:sz w:val="14"/>
                <w:szCs w:val="14"/>
                <w:color w:val="auto"/>
              </w:rPr>
            </w:pPr>
          </w:p>
        </w:tc>
      </w:tr>
      <w:tr>
        <w:trPr>
          <w:trHeight w:val="142"/>
        </w:trPr>
        <w:tc>
          <w:tcPr>
            <w:tcW w:w="67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74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(292,757)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(227,941)</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(205,134)</w:t>
            </w: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(317,853)</w:t>
            </w:r>
          </w:p>
        </w:tc>
      </w:tr>
      <w:tr>
        <w:trPr>
          <w:trHeight w:val="216"/>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190,150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239,268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576,422</w:t>
            </w:r>
          </w:p>
        </w:tc>
      </w:tr>
      <w:tr>
        <w:trPr>
          <w:trHeight w:val="210"/>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153,848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53,435</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0" w:firstLine="492"/>
        <w:spacing w:after="0" w:line="290" w:lineRule="auto"/>
        <w:rPr>
          <w:sz w:val="20"/>
          <w:szCs w:val="20"/>
          <w:color w:val="auto"/>
        </w:rPr>
      </w:pPr>
      <w:r>
        <w:rPr>
          <w:rFonts w:ascii="Arial" w:cs="Arial" w:eastAsia="Arial" w:hAnsi="Arial"/>
          <w:sz w:val="16"/>
          <w:szCs w:val="16"/>
          <w:color w:val="auto"/>
        </w:rPr>
        <w:t>Net cash used in operating activities represents cash disbursements related to all of our activities other than investing and financing activities. Operating cash flow is derived by adjusting our net loss for non-cash items and changes in operating assets and liabilities. Net cash used in operating activities for the year ended December 31, 2022, was $292.8 million compared to $227.9 million for the same period in 2021. The increase of $64.8 million in cash used in operating activities was primarily due to an increase in net loss driven by increased costs in research and development and pre-commercial activities, which was partially offset by an increase in non-cash charges of $16.3 million primarily driven by higher stock-based compensation expenses, operating right-of-use assets associated with our office and manufacturing facility as well as embedded leases, and depreciation expenses, partially offset by accretion of discount on investments. In addition, it reflects a $31.4 million increase in cash used by assets and liabilities driven</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primarily by changes in accruals and accounts payable as well as prepaid assets, resulting from the increased workforce, overall growth in the business and operations, and the timing of vendor invoicing and related payments. These increases were offset by a net increase in our operating lease liabilities primarily driven by receipts of tenant improvement allowances for our new corporate headquarters office.</w:t>
      </w:r>
    </w:p>
    <w:p>
      <w:pPr>
        <w:spacing w:after="0" w:line="108" w:lineRule="exact"/>
        <w:rPr>
          <w:sz w:val="20"/>
          <w:szCs w:val="20"/>
          <w:color w:val="auto"/>
        </w:rPr>
      </w:pPr>
    </w:p>
    <w:p>
      <w:pPr>
        <w:ind w:right="20" w:firstLine="492"/>
        <w:spacing w:after="0" w:line="290" w:lineRule="auto"/>
        <w:rPr>
          <w:sz w:val="20"/>
          <w:szCs w:val="20"/>
          <w:color w:val="auto"/>
        </w:rPr>
      </w:pPr>
      <w:r>
        <w:rPr>
          <w:rFonts w:ascii="Arial" w:cs="Arial" w:eastAsia="Arial" w:hAnsi="Arial"/>
          <w:sz w:val="16"/>
          <w:szCs w:val="16"/>
          <w:color w:val="auto"/>
        </w:rPr>
        <w:t>Net cash used in operating activities for the year ended December 31, 2021 was $227.9 million compared to $205.1 million for the same period in 2020. The increase of $22.8 million in cash used in operating activities was primarily due to an increase in net loss driven by increased costs in research and development and pre-commercial activities, which was partially offset by an increase in non-cash charges of $38.3 million primarily driven by higher stock-based compensation expenses, amortization of premiums on investments and operating right-of-use assets associated with our office and manufacturing facility as well as embedded leases, and depreciation expenses. In addition, it reflects a $5.6 million reduction in our operating lease liabilities associated with payments on lease arrangements, offset by a $16.0 million increase in accruals and accounts payable primarily related to our increased workforce, overall growth in the business and operations, and the timing of vendor invoicing and related payments.</w:t>
      </w:r>
    </w:p>
    <w:p>
      <w:pPr>
        <w:spacing w:after="0" w:line="165"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Net cash used in operating activities for the year ended December 31, 2020 was $205.1 million compared to $158.9 million for the same period in 2019. The increase of $46.2 million in cash used in operating activities was primarily attributable to an increase in net loss and increase in accruals primarily related to our research and development activities, which were partially offset by an increase in non-cash charges of $22.8 million, primarily driven by higher-stock-based compensation expenses and amortization of premiums on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60" w:firstLine="492"/>
        <w:spacing w:after="0" w:line="301" w:lineRule="auto"/>
        <w:rPr>
          <w:sz w:val="20"/>
          <w:szCs w:val="20"/>
          <w:color w:val="auto"/>
        </w:rPr>
      </w:pPr>
      <w:r>
        <w:rPr>
          <w:rFonts w:ascii="Arial" w:cs="Arial" w:eastAsia="Arial" w:hAnsi="Arial"/>
          <w:sz w:val="16"/>
          <w:szCs w:val="16"/>
          <w:color w:val="auto"/>
        </w:rPr>
        <w:t>Net cash (used in) / provided by investing activities primarily consists of purchases, maturities of our investments and capital expenditures. Net cash provided by investing activities for the year ended December 31, 2022 was $256.5 million compared to net cash provided by investing activities of $0.1 million for the same period in 2021. The increase in cash provided by investing activities of $256.4 million was primarily due to the timing of maturities and purchases of investments and lower capital expenditures in 2022.</w:t>
      </w:r>
    </w:p>
    <w:p>
      <w:pPr>
        <w:spacing w:after="0" w:line="157" w:lineRule="exact"/>
        <w:rPr>
          <w:sz w:val="20"/>
          <w:szCs w:val="20"/>
          <w:color w:val="auto"/>
        </w:rPr>
      </w:pPr>
    </w:p>
    <w:p>
      <w:pPr>
        <w:ind w:right="60" w:firstLine="492"/>
        <w:spacing w:after="0" w:line="286" w:lineRule="auto"/>
        <w:rPr>
          <w:sz w:val="20"/>
          <w:szCs w:val="20"/>
          <w:color w:val="auto"/>
        </w:rPr>
      </w:pPr>
      <w:r>
        <w:rPr>
          <w:rFonts w:ascii="Arial" w:cs="Arial" w:eastAsia="Arial" w:hAnsi="Arial"/>
          <w:sz w:val="17"/>
          <w:szCs w:val="17"/>
          <w:color w:val="auto"/>
        </w:rPr>
        <w:t>Net cash provided by investing activities for the year ended December 31, 2021 was $0.1 million compared to net cash used in investing activities of $317.9 million for the same period in 2020. The increase in cash provided by investing activities of $318.0 million was primarily due to the timing of maturities and purchases of investments and lower capital expenditures in 2021.</w:t>
      </w:r>
    </w:p>
    <w:p>
      <w:pPr>
        <w:spacing w:after="0" w:line="165"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 xml:space="preserve">Net cash used in investing activities for the year ended December 31, 2020 was $317.9 million compared to net cash provided by $90.0 million for the same period in 2019. The increase in net cash used in investing activities of $407.9 million was due primarily to purchases of investments with the proceeds received from the June 2020 Public Offering and an increase in capital expenditures to support the </w:t>
      </w:r>
      <w:r>
        <w:rPr>
          <w:rFonts w:ascii="Arial" w:cs="Arial" w:eastAsia="Arial" w:hAnsi="Arial"/>
          <w:sz w:val="18"/>
          <w:szCs w:val="18"/>
          <w:i w:val="1"/>
          <w:iCs w:val="1"/>
          <w:color w:val="auto"/>
        </w:rPr>
        <w:t>i</w:t>
      </w:r>
      <w:r>
        <w:rPr>
          <w:rFonts w:ascii="Arial" w:cs="Arial" w:eastAsia="Arial" w:hAnsi="Arial"/>
          <w:sz w:val="18"/>
          <w:szCs w:val="18"/>
          <w:color w:val="auto"/>
        </w:rPr>
        <w:t>CTC build-out.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 w:firstLine="492"/>
        <w:spacing w:after="0" w:line="275" w:lineRule="auto"/>
        <w:rPr>
          <w:sz w:val="20"/>
          <w:szCs w:val="20"/>
          <w:color w:val="auto"/>
        </w:rPr>
      </w:pPr>
      <w:r>
        <w:rPr>
          <w:rFonts w:ascii="Arial" w:cs="Arial" w:eastAsia="Arial" w:hAnsi="Arial"/>
          <w:sz w:val="17"/>
          <w:szCs w:val="17"/>
          <w:color w:val="auto"/>
        </w:rPr>
        <w:t>Net cash provided by financing activities for the year ended December 31, 2022 was $190.2 million compared to net cash provided of $239.3 million for the same period in 2021. The net cash provided by financing activities during the year ended December 30, 2022, related to $189.5 million net cash proceeds from our “at the market” offering, $1.7 million of cash receipts from the issuance of common stock under the 2020 ESPP, and $1.6 million of cash receipts from the issuance of common stock upon the exercise of stock options. This was offset by cash used of $2.6 million for tax payments related to vested RSUs.</w:t>
      </w:r>
    </w:p>
    <w:p>
      <w:pPr>
        <w:spacing w:after="0" w:line="176" w:lineRule="exact"/>
        <w:rPr>
          <w:sz w:val="20"/>
          <w:szCs w:val="20"/>
          <w:color w:val="auto"/>
        </w:rPr>
      </w:pPr>
    </w:p>
    <w:p>
      <w:pPr>
        <w:ind w:firstLine="492"/>
        <w:spacing w:after="0" w:line="273" w:lineRule="auto"/>
        <w:rPr>
          <w:sz w:val="20"/>
          <w:szCs w:val="20"/>
          <w:color w:val="auto"/>
        </w:rPr>
      </w:pPr>
      <w:r>
        <w:rPr>
          <w:rFonts w:ascii="Arial" w:cs="Arial" w:eastAsia="Arial" w:hAnsi="Arial"/>
          <w:sz w:val="17"/>
          <w:szCs w:val="17"/>
          <w:color w:val="auto"/>
        </w:rPr>
        <w:t>Net cash provided by financing activities for the year ended December 31, 2021 was $239.3 million compared to net cash provided of $576.4 million for the same period in 2020. The net cash provided by financing activities during the year ended December 30, 2021, related to $203.2 million net cash proceeds from our “at the market” offering and $33.5 million of cash receipts from the issuance of common stock upon the exercise of stock options. The net cash provided by financing activities during the year ended December 31, 2020, primarily related to $567.0 million net cash proceeds received in the June 2020 public offering and $9.7 million cash proceeds from issuance of common stock upon exercise of stock options in 2021.</w:t>
      </w:r>
    </w:p>
    <w:p>
      <w:pPr>
        <w:spacing w:after="0" w:line="178" w:lineRule="exact"/>
        <w:rPr>
          <w:sz w:val="20"/>
          <w:szCs w:val="20"/>
          <w:color w:val="auto"/>
        </w:rPr>
      </w:pPr>
    </w:p>
    <w:p>
      <w:pPr>
        <w:ind w:right="180" w:firstLine="492"/>
        <w:spacing w:after="0" w:line="311" w:lineRule="auto"/>
        <w:rPr>
          <w:sz w:val="20"/>
          <w:szCs w:val="20"/>
          <w:color w:val="auto"/>
        </w:rPr>
      </w:pPr>
      <w:r>
        <w:rPr>
          <w:rFonts w:ascii="Arial" w:cs="Arial" w:eastAsia="Arial" w:hAnsi="Arial"/>
          <w:sz w:val="16"/>
          <w:szCs w:val="16"/>
          <w:color w:val="auto"/>
        </w:rPr>
        <w:t>Net cash provided by financing activities for the year ended December 31, 2020, was $576.4 million compared to net cash provided of $6.1 million for the same period in 2019. The net cash provided in financing activities during the year ended December 31, 2020, primarily related to net cash proceeds of $567.0 million received from the June 2020 Public Offering and $9.7 million cash</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proceeds received in issuing common stock upon exercise of stock options. Net cash provided by financing activities for the year ended December 31, 2019, related to cash proceeds received in issuing common stock upon exercise of stock options.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340" w:firstLine="492"/>
        <w:spacing w:after="0" w:line="277" w:lineRule="auto"/>
        <w:rPr>
          <w:sz w:val="20"/>
          <w:szCs w:val="20"/>
          <w:color w:val="auto"/>
        </w:rPr>
      </w:pPr>
      <w:r>
        <w:rPr>
          <w:rFonts w:ascii="Arial" w:cs="Arial" w:eastAsia="Arial" w:hAnsi="Arial"/>
          <w:sz w:val="18"/>
          <w:szCs w:val="18"/>
          <w:color w:val="auto"/>
        </w:rPr>
        <w:t>The following table summarizes our non-cancellable contractual obligations as of December 31, 2022, and the effects that such obligations are expected to have on our liquidity and cash flows in future periods (in thousands):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42"/>
        </w:trPr>
        <w:tc>
          <w:tcPr>
            <w:tcW w:w="28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2026</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2027</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93"/>
              </w:rPr>
              <w:t>Thereafter</w:t>
            </w:r>
          </w:p>
        </w:tc>
      </w:tr>
      <w:tr>
        <w:trPr>
          <w:trHeight w:val="195"/>
        </w:trPr>
        <w:tc>
          <w:tcPr>
            <w:tcW w:w="2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Operating lease obligations - facilities</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3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124,970</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8,304</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w:t>
            </w: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18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83,827</w:t>
            </w:r>
          </w:p>
        </w:tc>
      </w:tr>
      <w:tr>
        <w:trPr>
          <w:trHeight w:val="209"/>
        </w:trPr>
        <w:tc>
          <w:tcPr>
            <w:tcW w:w="2880" w:type="dxa"/>
            <w:vAlign w:val="bottom"/>
          </w:tcPr>
          <w:p>
            <w:pPr>
              <w:ind w:left="160"/>
              <w:spacing w:after="0"/>
              <w:rPr>
                <w:sz w:val="20"/>
                <w:szCs w:val="20"/>
                <w:color w:val="auto"/>
              </w:rPr>
            </w:pPr>
            <w:r>
              <w:rPr>
                <w:rFonts w:ascii="Arial" w:cs="Arial" w:eastAsia="Arial" w:hAnsi="Arial"/>
                <w:sz w:val="18"/>
                <w:szCs w:val="18"/>
                <w:color w:val="auto"/>
              </w:rPr>
              <w:t>Total (2), (3)</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124,970</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8,304</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8,424</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8,240</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7,989</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83,827</w:t>
            </w:r>
          </w:p>
        </w:tc>
      </w:tr>
      <w:tr>
        <w:trPr>
          <w:trHeight w:val="20"/>
        </w:trPr>
        <w:tc>
          <w:tcPr>
            <w:tcW w:w="2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00" w:right="1060" w:hanging="495"/>
        <w:spacing w:after="0" w:line="266" w:lineRule="auto"/>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operating lease obligations consist of obligations under non-cancellable operating leases for our facilities in San Carlos, CA, Philadelphia, PA, and Tampa, FL.</w:t>
      </w:r>
    </w:p>
    <w:p>
      <w:pPr>
        <w:spacing w:after="0" w:line="1" w:lineRule="exact"/>
        <w:rPr>
          <w:rFonts w:ascii="Arial" w:cs="Arial" w:eastAsia="Arial" w:hAnsi="Arial"/>
          <w:sz w:val="16"/>
          <w:szCs w:val="16"/>
          <w:color w:val="auto"/>
        </w:rPr>
      </w:pPr>
    </w:p>
    <w:p>
      <w:pPr>
        <w:ind w:left="600" w:right="200"/>
        <w:spacing w:after="0" w:line="270" w:lineRule="auto"/>
        <w:rPr>
          <w:rFonts w:ascii="Arial" w:cs="Arial" w:eastAsia="Arial" w:hAnsi="Arial"/>
          <w:sz w:val="16"/>
          <w:szCs w:val="16"/>
          <w:color w:val="auto"/>
        </w:rPr>
      </w:pPr>
      <w:r>
        <w:rPr>
          <w:rFonts w:ascii="Arial" w:cs="Arial" w:eastAsia="Arial" w:hAnsi="Arial"/>
          <w:sz w:val="16"/>
          <w:szCs w:val="16"/>
          <w:color w:val="auto"/>
        </w:rPr>
        <w:t>Excluded from the above are contractual obligations with certain Contract Manufacturing Organizations, or CMO, for the manufacturing facilities and minimum fixed commitment fees included in our manufacturing contracts, such as personnel, general support fee, and minimum production or material fees. These obligations met the conditions of embedded leases under Topic ASC 842 and were included in the Operating lease liabilities in the Consolidated Balance Sheets. However, these contracts are cancellable upon prior notice and as a result, are not included in the above table.</w:t>
      </w:r>
    </w:p>
    <w:p>
      <w:pPr>
        <w:spacing w:after="0" w:line="176" w:lineRule="exact"/>
        <w:rPr>
          <w:rFonts w:ascii="Arial" w:cs="Arial" w:eastAsia="Arial" w:hAnsi="Arial"/>
          <w:sz w:val="16"/>
          <w:szCs w:val="16"/>
          <w:color w:val="auto"/>
        </w:rPr>
      </w:pPr>
    </w:p>
    <w:p>
      <w:pPr>
        <w:ind w:left="600" w:right="280" w:hanging="495"/>
        <w:spacing w:after="0" w:line="264" w:lineRule="auto"/>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acquire assets still in development and enter into research and development arrangements with third parties that often require milestone and royalty payments to the third-party contingent upon the occurrence of certain future events linked to the success of the asset in development. Milestone payments may be required, contingent upon the successful achievement of an important point in the development life-cycle of the pharmaceutical product (e.g., approval of the product for marketing by a regulatory agency). If required by the arrangement, we may have to make royalty payments based upon a percentage of the sales of the pharmaceutical product in the event that regulatory approval for marketing is obtained. Because of the contingent nature of these milestone payments, they are not included in the table of contractual obligations.</w:t>
      </w:r>
    </w:p>
    <w:p>
      <w:pPr>
        <w:spacing w:after="0" w:line="4" w:lineRule="exact"/>
        <w:rPr>
          <w:rFonts w:ascii="Arial" w:cs="Arial" w:eastAsia="Arial" w:hAnsi="Arial"/>
          <w:sz w:val="16"/>
          <w:szCs w:val="16"/>
          <w:color w:val="auto"/>
        </w:rPr>
      </w:pPr>
    </w:p>
    <w:p>
      <w:pPr>
        <w:ind w:left="600" w:right="220"/>
        <w:spacing w:after="0" w:line="272" w:lineRule="auto"/>
        <w:rPr>
          <w:rFonts w:ascii="Arial" w:cs="Arial" w:eastAsia="Arial" w:hAnsi="Arial"/>
          <w:sz w:val="16"/>
          <w:szCs w:val="16"/>
          <w:color w:val="auto"/>
        </w:rPr>
      </w:pPr>
      <w:r>
        <w:rPr>
          <w:rFonts w:ascii="Arial" w:cs="Arial" w:eastAsia="Arial" w:hAnsi="Arial"/>
          <w:sz w:val="16"/>
          <w:szCs w:val="16"/>
          <w:color w:val="auto"/>
        </w:rPr>
        <w:t>These arrangements may be material individually, and in the event that milestones for multiple products covered by these arrangements were reached in the same period, the aggregate charge to expense could be material to the results of operations in any one period. In addition, these arrangements often give us the discretion to unilaterally terminate development of the product, which would allow us to avoid making contingent payments.</w:t>
      </w:r>
    </w:p>
    <w:p>
      <w:pPr>
        <w:spacing w:after="0" w:line="174" w:lineRule="exact"/>
        <w:rPr>
          <w:rFonts w:ascii="Arial" w:cs="Arial" w:eastAsia="Arial" w:hAnsi="Arial"/>
          <w:sz w:val="16"/>
          <w:szCs w:val="16"/>
          <w:color w:val="auto"/>
        </w:rPr>
      </w:pPr>
    </w:p>
    <w:p>
      <w:pPr>
        <w:ind w:left="600" w:right="420" w:hanging="495"/>
        <w:spacing w:after="0" w:line="293" w:lineRule="auto"/>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The contractual obligations table above excludes estimated equipment and construction costs of approximately $20.0 million over the next year for the </w:t>
      </w:r>
      <w:r>
        <w:rPr>
          <w:rFonts w:ascii="Arial" w:cs="Arial" w:eastAsia="Arial" w:hAnsi="Arial"/>
          <w:sz w:val="16"/>
          <w:szCs w:val="16"/>
          <w:i w:val="1"/>
          <w:iCs w:val="1"/>
          <w:color w:val="auto"/>
        </w:rPr>
        <w:t>i</w:t>
      </w:r>
      <w:r>
        <w:rPr>
          <w:rFonts w:ascii="Arial" w:cs="Arial" w:eastAsia="Arial" w:hAnsi="Arial"/>
          <w:sz w:val="16"/>
          <w:szCs w:val="16"/>
          <w:color w:val="auto"/>
        </w:rPr>
        <w:t>CTC facility in Philadelphia, PA.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we did not have, and currently do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20" w:firstLine="492"/>
        <w:spacing w:after="0" w:line="289" w:lineRule="auto"/>
        <w:rPr>
          <w:sz w:val="20"/>
          <w:szCs w:val="20"/>
          <w:color w:val="auto"/>
        </w:rPr>
      </w:pPr>
      <w:r>
        <w:rPr>
          <w:rFonts w:ascii="Arial" w:cs="Arial" w:eastAsia="Arial" w:hAnsi="Arial"/>
          <w:sz w:val="16"/>
          <w:szCs w:val="16"/>
          <w:color w:val="auto"/>
        </w:rPr>
        <w:t>Our accounting policies are more fully described in Note 2 of the consolidated financial statements included in this Annual Report on Form 10-K. As described in Note 2, the preparation of our consolidated financial statements requires us to make estimates and judgments that affect the reported amounts in the financial statements and related disclosures. On an ongoing basis, we evaluate our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 of assets and liabilities that are not readily apparent from other sources. Estimates are assessed each period and updated to reflect current information. Actual results may differ from these estimates. We believe that the following discussion addresses our most critical accounting policies, which are those that are most important to the portrayal of our financial condition and results of operations and require management’s most difficult, subjective and complex judgments.</w:t>
      </w:r>
    </w:p>
    <w:p>
      <w:pPr>
        <w:spacing w:after="0" w:line="200" w:lineRule="exact"/>
        <w:rPr>
          <w:sz w:val="20"/>
          <w:szCs w:val="20"/>
          <w:color w:val="auto"/>
        </w:rPr>
      </w:pPr>
    </w:p>
    <w:p>
      <w:pPr>
        <w:spacing w:after="0" w:line="39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10000"/>
          </w:cols>
          <w:pgMar w:left="980" w:top="665" w:right="91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Costs</w:t>
      </w:r>
    </w:p>
    <w:p>
      <w:pPr>
        <w:spacing w:after="0" w:line="229"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Research and development costs are expensed as incurred. Clinical development costs compose a significant component of research and development costs. We have a history of contracting with third parties, including contract research organizations (“CROs”), independent clinical investigators, and contract manufacturing organizations (“CMOs”) that perform various clinical trial activities on our behalf in connection with the ongoing development of our product candidates. The financial terms of these contracts are subject to negotiations and may vary from contract to contract and may result in uneven payment flow. We accrue and expense costs for clinical trial activities performed by third parties based upon the work completed to date for each clinical trial in accordance with agreements established with CROs, hospitals, and clinical investigators. Accruals for CROs and CMOs are recorded based on services received and efforts expended pursuant to agreements established with CROs, CMOs and other outside service providers. We determine our costs through discussions with internal clinical stakeholders and outside service providers as to the progress or stage of completion of clinical trials or services and the contracted fee to be paid for such services.</w:t>
      </w:r>
    </w:p>
    <w:p>
      <w:pPr>
        <w:spacing w:after="0" w:line="185"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Included in our clinical development costs are investigator costs, which are costs associated with treatments administered at clinical sites as required under each clinical trial protocol. Our estimates for clinical investigator costs and timing of expense recognition will depend on a number of factors that include, but are not limited to, (i) the overall number of patients that enroll in the trial at each individual site, (ii) the length of clinical trial enrollment period, (iii) discontinuation and completion rates of patients, (iv) duration of patient safety follow-ups, (v) the number of sites included in the clinical trial, and (vi) the contracted fee of each participating site for patient treatment while on clinical trial, which can vary greatly for several reasons including, but not limited to, geographic region, medical center or physician costs, and overhead costs. In addition, our estimates for per patient trial costs will vary based on a number of factors that include, but are not limited to, the extent of additional treatments that may be administered by investigators as a result of patient health status, recoverability of patient costs through insurance carriers of patients, and unanticipated cost of injuries incurred as a result of the clinical trial treatment. We accrue estimated expenses resulting from obligations under investigator site agreements as the timing of payments does not always timely align with the periods over which the treatments are administered by the clinical investigators. These estimates are typically based on contracted amounts, patient visit data, discussions with internal clinical stakeholders and outside service providers, and historical look-back analysis of actual payments made to date.</w:t>
      </w:r>
    </w:p>
    <w:p>
      <w:pPr>
        <w:spacing w:after="0" w:line="174" w:lineRule="exact"/>
        <w:rPr>
          <w:sz w:val="20"/>
          <w:szCs w:val="20"/>
          <w:color w:val="auto"/>
        </w:rPr>
      </w:pPr>
    </w:p>
    <w:p>
      <w:pPr>
        <w:ind w:right="140" w:firstLine="492"/>
        <w:spacing w:after="0" w:line="296" w:lineRule="auto"/>
        <w:rPr>
          <w:sz w:val="20"/>
          <w:szCs w:val="20"/>
          <w:color w:val="auto"/>
        </w:rPr>
      </w:pPr>
      <w:r>
        <w:rPr>
          <w:rFonts w:ascii="Arial" w:cs="Arial" w:eastAsia="Arial" w:hAnsi="Arial"/>
          <w:sz w:val="16"/>
          <w:szCs w:val="16"/>
          <w:color w:val="auto"/>
        </w:rPr>
        <w:t>We make judgements and estimates in determining the accrual balance in each reporting period. In the event advance payments are made to a CRO, CMO or other outside service provider, the payments are recorded within prepaid expenses and other current assets and subsequently recognized as research and development expense when the associated services have been performed. As actual costs become known, we adjust our estimates, liabilities and assets. Inputs used in our determination of estimates discussed above may vary from actual, which will result in adjustments to research and development expense in future periods.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Inflation has not had a material effect on our business, financial condition, or results of operations over our two most recent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200" w:lineRule="exact"/>
        <w:rPr>
          <w:sz w:val="20"/>
          <w:szCs w:val="20"/>
          <w:color w:val="auto"/>
        </w:rPr>
      </w:pPr>
    </w:p>
    <w:p>
      <w:pPr>
        <w:spacing w:after="0" w:line="22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Our exposure to market risk is limited primarily to interest income sensitivity, which is affected by changes in the general level of U.S. interest rates, particularly because a significant portion of our investments are in interest bearing cash accounts consisting of short-term debt securities issued by the U.S. government. The primary objective of our investment activities is to preserve principal. We adhere to an investment policy that requires us to limit amounts invested in securities based on credit rating, maturity, industry group and investment type and issuer, except for securities issued by the U.S. government. We do not have any derivative financial instruments or foreign currency instruments. As of December 31, 2022, we had $372.5 million invested in marketable securities with a maturity date of less than one year. As such we believe that we are not exposed to any material market risk. If interest rates had varied by 1% in the year ended December 31, 2022, the fair value of our investment portfolio would increase or decrease by approximately $0.6 million.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225" w:lineRule="exact"/>
        <w:rPr>
          <w:sz w:val="20"/>
          <w:szCs w:val="20"/>
          <w:color w:val="auto"/>
        </w:rPr>
      </w:pPr>
    </w:p>
    <w:p>
      <w:pPr>
        <w:ind w:right="700" w:firstLine="492"/>
        <w:spacing w:after="0" w:line="277" w:lineRule="auto"/>
        <w:rPr>
          <w:sz w:val="20"/>
          <w:szCs w:val="20"/>
          <w:color w:val="auto"/>
        </w:rPr>
      </w:pPr>
      <w:r>
        <w:rPr>
          <w:rFonts w:ascii="Arial" w:cs="Arial" w:eastAsia="Arial" w:hAnsi="Arial"/>
          <w:sz w:val="18"/>
          <w:szCs w:val="18"/>
          <w:color w:val="auto"/>
        </w:rPr>
        <w:t>Inflation has not had a material effect on our business, financial condition or results of operations during the years ended December 31, 2022, 2021, or 2020.</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right="440" w:firstLine="492"/>
        <w:spacing w:after="0" w:line="277" w:lineRule="auto"/>
        <w:rPr>
          <w:sz w:val="20"/>
          <w:szCs w:val="20"/>
          <w:color w:val="auto"/>
        </w:rPr>
      </w:pPr>
      <w:r>
        <w:rPr>
          <w:rFonts w:ascii="Arial" w:cs="Arial" w:eastAsia="Arial" w:hAnsi="Arial"/>
          <w:sz w:val="18"/>
          <w:szCs w:val="18"/>
          <w:color w:val="auto"/>
        </w:rPr>
        <w:t>Financial Statements are referred to in Item 15, listed in the Index to Financial Statements as a part of this Annual Report on Form 10-K, and are incorporated herein by this reference.</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225" w:lineRule="exact"/>
        <w:rPr>
          <w:sz w:val="20"/>
          <w:szCs w:val="20"/>
          <w:color w:val="auto"/>
        </w:rPr>
      </w:pPr>
    </w:p>
    <w:p>
      <w:pPr>
        <w:ind w:right="80" w:firstLine="492"/>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in reaching a reasonable level of assurance, management is required to apply its judgment in evaluating the cost-benefit relationship of possible controls and procedures.</w:t>
      </w:r>
    </w:p>
    <w:p>
      <w:pPr>
        <w:spacing w:after="0" w:line="178" w:lineRule="exact"/>
        <w:rPr>
          <w:sz w:val="20"/>
          <w:szCs w:val="20"/>
          <w:color w:val="auto"/>
        </w:rPr>
      </w:pPr>
    </w:p>
    <w:p>
      <w:pPr>
        <w:ind w:right="60" w:firstLine="492"/>
        <w:spacing w:after="0" w:line="301" w:lineRule="auto"/>
        <w:rPr>
          <w:sz w:val="20"/>
          <w:szCs w:val="20"/>
          <w:color w:val="auto"/>
        </w:rPr>
      </w:pPr>
      <w:r>
        <w:rPr>
          <w:rFonts w:ascii="Arial" w:cs="Arial" w:eastAsia="Arial" w:hAnsi="Arial"/>
          <w:sz w:val="16"/>
          <w:szCs w:val="16"/>
          <w:color w:val="auto"/>
        </w:rPr>
        <w:t>As of the end of the period covered by this Annual Report on Form 10-K, we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our disclosure controls and procedures were effective at the reasonable assurance level.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Management’s Annual Report on Internal Control Over Financial Reporting:</w:t>
      </w:r>
    </w:p>
    <w:p>
      <w:pPr>
        <w:spacing w:after="0" w:line="225" w:lineRule="exact"/>
        <w:rPr>
          <w:sz w:val="20"/>
          <w:szCs w:val="20"/>
          <w:color w:val="auto"/>
        </w:rPr>
      </w:pPr>
    </w:p>
    <w:p>
      <w:pPr>
        <w:ind w:firstLine="492"/>
        <w:spacing w:after="0" w:line="273"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2022, based on the framework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or COSO. Based on that evaluation, our management concluded that our internal control over financial reporting was effective as of December 31, 2022.</w:t>
      </w:r>
    </w:p>
    <w:p>
      <w:pPr>
        <w:spacing w:after="0" w:line="178" w:lineRule="exact"/>
        <w:rPr>
          <w:sz w:val="20"/>
          <w:szCs w:val="20"/>
          <w:color w:val="auto"/>
        </w:rPr>
      </w:pPr>
    </w:p>
    <w:p>
      <w:pPr>
        <w:jc w:val="both"/>
        <w:ind w:right="160" w:firstLine="492"/>
        <w:spacing w:after="0" w:line="342" w:lineRule="auto"/>
        <w:rPr>
          <w:sz w:val="20"/>
          <w:szCs w:val="20"/>
          <w:color w:val="auto"/>
        </w:rPr>
      </w:pPr>
      <w:r>
        <w:rPr>
          <w:rFonts w:ascii="Arial" w:cs="Arial" w:eastAsia="Arial" w:hAnsi="Arial"/>
          <w:sz w:val="16"/>
          <w:szCs w:val="16"/>
          <w:color w:val="auto"/>
        </w:rPr>
        <w:t>The independent registered public accounting firm, Ernst and Young LLP, has issued an audit report on our internal control over financial reporting. The report on the audit of internal control over financial reporting is included in this 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Changes in Internal Control Over Financial Reporting:</w:t>
      </w:r>
    </w:p>
    <w:p>
      <w:pPr>
        <w:spacing w:after="0" w:line="225"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 – Acquisition of Proleukin®</w:t>
      </w:r>
    </w:p>
    <w:p>
      <w:pPr>
        <w:spacing w:after="0" w:line="225" w:lineRule="exact"/>
        <w:rPr>
          <w:sz w:val="20"/>
          <w:szCs w:val="20"/>
          <w:color w:val="auto"/>
        </w:rPr>
      </w:pPr>
    </w:p>
    <w:p>
      <w:pPr>
        <w:ind w:right="120" w:firstLine="492"/>
        <w:spacing w:after="0" w:line="263" w:lineRule="auto"/>
        <w:rPr>
          <w:sz w:val="20"/>
          <w:szCs w:val="20"/>
          <w:color w:val="auto"/>
        </w:rPr>
      </w:pPr>
      <w:r>
        <w:rPr>
          <w:rFonts w:ascii="Arial" w:cs="Arial" w:eastAsia="Arial" w:hAnsi="Arial"/>
          <w:sz w:val="18"/>
          <w:szCs w:val="18"/>
          <w:color w:val="auto"/>
        </w:rPr>
        <w:t>Pursuant to that certain Option Agreement entered into on January 23, 2023 or the Option Agreement, between Iovance and Clinigen Holdings Limited, Clinigen Healthcare Limited and Clinigen, Inc., collectively, Clinigen, we will acquire worldwide rights to Proleukin®, aldesleukin, an IL-2 product used to promote T-cell activity following TIL infusion.</w:t>
      </w:r>
    </w:p>
    <w:p>
      <w:pPr>
        <w:spacing w:after="0" w:line="143"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Material terms of the Option Agreement include an upfront payment of £167.7 million, or approximately $200 million, a £41.7 million, or approximately $50 million, milestone payment upon first approval of lifileucel in advanced melanoma, and deferred consideration based on double-digit rates on Proleukin® global net sales payable from Iovance to Clinigen following the completion of the transaction for the applicable deferred consideration term.</w:t>
      </w:r>
    </w:p>
    <w:p>
      <w:pPr>
        <w:spacing w:after="0" w:line="160"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Subject to the terms and conditions of the Option Agreement, Clinigen granted us a call option to purchase (i) all issued and outstanding shares of Clinigen SP Limited, the Target, (ii) the business of the Target and Clinigen comprising the manufacturing, supply, commercialization and the generation of income from Proleukin® rights and the undertaking of an active role in the development, maintenance and exploitation of those rights, and (iii) certain specified assets identified in the Option Agreement and we granted Clinigen a put option to sell them.</w:t>
      </w:r>
    </w:p>
    <w:p>
      <w:pPr>
        <w:spacing w:after="0" w:line="147" w:lineRule="exact"/>
        <w:rPr>
          <w:sz w:val="20"/>
          <w:szCs w:val="20"/>
          <w:color w:val="auto"/>
        </w:rPr>
      </w:pPr>
    </w:p>
    <w:p>
      <w:pPr>
        <w:ind w:right="300" w:firstLine="367"/>
        <w:spacing w:after="0" w:line="342" w:lineRule="auto"/>
        <w:rPr>
          <w:sz w:val="20"/>
          <w:szCs w:val="20"/>
          <w:color w:val="auto"/>
        </w:rPr>
      </w:pPr>
      <w:r>
        <w:rPr>
          <w:rFonts w:ascii="Arial" w:cs="Arial" w:eastAsia="Arial" w:hAnsi="Arial"/>
          <w:sz w:val="16"/>
          <w:szCs w:val="16"/>
          <w:color w:val="auto"/>
        </w:rPr>
        <w:t>The Option Agreement is subject to customary termination provisions, and we would be required to pay to Clinigen a reverse termination fee, less certain transaction fees and expenses incurred by us, upon certain events as described in the Option Agreement.</w:t>
      </w:r>
    </w:p>
    <w:p>
      <w:pPr>
        <w:spacing w:after="0" w:line="124" w:lineRule="exact"/>
        <w:rPr>
          <w:sz w:val="20"/>
          <w:szCs w:val="20"/>
          <w:color w:val="auto"/>
        </w:rPr>
      </w:pPr>
    </w:p>
    <w:p>
      <w:pPr>
        <w:ind w:right="460" w:firstLine="367"/>
        <w:spacing w:after="0" w:line="277" w:lineRule="auto"/>
        <w:rPr>
          <w:sz w:val="20"/>
          <w:szCs w:val="20"/>
          <w:color w:val="auto"/>
        </w:rPr>
      </w:pPr>
      <w:r>
        <w:rPr>
          <w:rFonts w:ascii="Arial" w:cs="Arial" w:eastAsia="Arial" w:hAnsi="Arial"/>
          <w:sz w:val="18"/>
          <w:szCs w:val="18"/>
          <w:color w:val="auto"/>
        </w:rPr>
        <w:t>We have provided Clinigen with a parent guarantee in favor of Clinigen, which guarantees that we will promptly fulfill all its obligations under the Option Agreement, subject to the conditions set forth in the Option Agreement.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The closing of the transaction is subject to required regulatory approvals and clearances and other customary closing conditions.</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Certain information required by Part III is omitted from this Annual Report on Form 10-K because we will file a definitive Proxy Statement for the Annual Meeting of Stockholders pursuant to Regulation 14A of the Securities Exchange Act of 1934 (the Proxy Statement), not later than 120 days after the end of the fiscal year covered by this Annual Report on Form 10-K, and the applicable information included in the Proxy Statement is incorporated herein by reference.</w:t>
      </w:r>
    </w:p>
    <w:p>
      <w:pPr>
        <w:spacing w:after="0" w:line="18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right="160" w:firstLine="492"/>
        <w:spacing w:after="0" w:line="263" w:lineRule="auto"/>
        <w:rPr>
          <w:sz w:val="20"/>
          <w:szCs w:val="20"/>
          <w:color w:val="auto"/>
        </w:rPr>
      </w:pPr>
      <w:r>
        <w:rPr>
          <w:rFonts w:ascii="Arial" w:cs="Arial" w:eastAsia="Arial" w:hAnsi="Arial"/>
          <w:sz w:val="18"/>
          <w:szCs w:val="18"/>
          <w:color w:val="auto"/>
        </w:rPr>
        <w:t>Information required by this Item 10 will be presented in the Proxy Statement “Election of Directors,” “Management Executive Officers,” “Section 16(a) Beneficial Ownership Reporting Compliance” and “Board of Directors and Corporate Governance,” and is incorporated herein by reference.</w:t>
      </w:r>
    </w:p>
    <w:p>
      <w:pPr>
        <w:spacing w:after="0" w:line="18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360" w:firstLine="492"/>
        <w:spacing w:after="0" w:line="342" w:lineRule="auto"/>
        <w:rPr>
          <w:sz w:val="20"/>
          <w:szCs w:val="20"/>
          <w:color w:val="auto"/>
        </w:rPr>
      </w:pPr>
      <w:r>
        <w:rPr>
          <w:rFonts w:ascii="Arial" w:cs="Arial" w:eastAsia="Arial" w:hAnsi="Arial"/>
          <w:sz w:val="16"/>
          <w:szCs w:val="16"/>
          <w:color w:val="auto"/>
        </w:rPr>
        <w:t>The information required by this Item is incorporated herein by reference to the sections entitled “Executive Compensation,” “Executive Compensation—Compensation Discussion and Analysis” and “Directors’ Compensation” in the Proxy Statement.</w:t>
      </w:r>
    </w:p>
    <w:p>
      <w:pPr>
        <w:spacing w:after="0" w:line="12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80" w:firstLine="492"/>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the sections entitled “Security Ownership of Certain Beneficial Owners and Management” and “Equity Compensation Plan Information” in the Proxy Statement.</w:t>
      </w:r>
    </w:p>
    <w:p>
      <w:pPr>
        <w:spacing w:after="0" w:line="14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500" w:firstLine="49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“Certain Relationships and Related Transactions” in the Proxy Statement.</w:t>
      </w:r>
    </w:p>
    <w:p>
      <w:pPr>
        <w:sectPr>
          <w:pgSz w:w="11900" w:h="16838" w:orient="portrait"/>
          <w:cols w:equalWidth="0" w:num="1">
            <w:col w:w="9840"/>
          </w:cols>
          <w:pgMar w:left="980" w:top="665"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Accountant’s Fees and Services</w:t>
      </w:r>
    </w:p>
    <w:p>
      <w:pPr>
        <w:spacing w:after="0" w:line="229" w:lineRule="exact"/>
        <w:rPr>
          <w:sz w:val="20"/>
          <w:szCs w:val="20"/>
          <w:color w:val="auto"/>
        </w:rPr>
      </w:pPr>
    </w:p>
    <w:p>
      <w:pPr>
        <w:ind w:right="400" w:firstLine="492"/>
        <w:spacing w:after="0" w:line="277" w:lineRule="auto"/>
        <w:rPr>
          <w:sz w:val="20"/>
          <w:szCs w:val="20"/>
          <w:color w:val="auto"/>
        </w:rPr>
      </w:pPr>
      <w:r>
        <w:rPr>
          <w:rFonts w:ascii="Arial" w:cs="Arial" w:eastAsia="Arial" w:hAnsi="Arial"/>
          <w:sz w:val="18"/>
          <w:szCs w:val="18"/>
          <w:color w:val="auto"/>
        </w:rPr>
        <w:t>Information required by this Item is incorporated herein by reference to the section of the Proxy Statement entitled “Principal Accountant Fees and Services.”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Statements Schedules</w:t>
      </w:r>
    </w:p>
    <w:p>
      <w:pPr>
        <w:spacing w:after="0" w:line="229"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The Company’s consolidated financial statements and related notes thereto are listed and included in this Annual Report on Form 10-K beginning on page F-1. The following exhibits are filed with, or are incorporated by reference into, this Annual Report on Form 10-K.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720" w:type="dxa"/>
            <w:vAlign w:val="bottom"/>
            <w:gridSpan w:val="26"/>
          </w:tcPr>
          <w:p>
            <w:pPr>
              <w:ind w:left="60"/>
              <w:spacing w:after="0"/>
              <w:rPr>
                <w:sz w:val="20"/>
                <w:szCs w:val="20"/>
                <w:color w:val="auto"/>
              </w:rPr>
            </w:pPr>
            <w:r>
              <w:rPr>
                <w:rFonts w:ascii="Arial" w:cs="Arial" w:eastAsia="Arial" w:hAnsi="Arial"/>
                <w:sz w:val="18"/>
                <w:szCs w:val="18"/>
                <w:b w:val="1"/>
                <w:bCs w:val="1"/>
                <w:color w:val="auto"/>
              </w:rPr>
              <w:t>EXHIBIT INDEX</w:t>
            </w:r>
          </w:p>
        </w:tc>
      </w:tr>
      <w:tr>
        <w:trPr>
          <w:trHeight w:val="445"/>
        </w:trPr>
        <w:tc>
          <w:tcPr>
            <w:tcW w:w="8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40" w:type="dxa"/>
            <w:vAlign w:val="bottom"/>
            <w:gridSpan w:val="24"/>
          </w:tcPr>
          <w:p>
            <w:pPr>
              <w:ind w:left="640"/>
              <w:spacing w:after="0"/>
              <w:rPr>
                <w:sz w:val="20"/>
                <w:szCs w:val="20"/>
                <w:color w:val="auto"/>
              </w:rPr>
            </w:pPr>
            <w:r>
              <w:rPr>
                <w:rFonts w:ascii="Arial" w:cs="Arial" w:eastAsia="Arial" w:hAnsi="Arial"/>
                <w:sz w:val="18"/>
                <w:szCs w:val="18"/>
                <w:color w:val="auto"/>
              </w:rPr>
              <w:t>Description</w:t>
            </w:r>
          </w:p>
        </w:tc>
      </w:tr>
      <w:tr>
        <w:trPr>
          <w:trHeight w:val="169"/>
        </w:trPr>
        <w:tc>
          <w:tcPr>
            <w:tcW w:w="20" w:type="dxa"/>
            <w:vAlign w:val="bottom"/>
          </w:tcPr>
          <w:p>
            <w:pPr>
              <w:spacing w:after="0"/>
              <w:rPr>
                <w:sz w:val="14"/>
                <w:szCs w:val="14"/>
                <w:color w:val="auto"/>
              </w:rPr>
            </w:pPr>
          </w:p>
        </w:tc>
        <w:tc>
          <w:tcPr>
            <w:tcW w:w="7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700" w:type="dxa"/>
            <w:vAlign w:val="bottom"/>
            <w:tcBorders>
              <w:top w:val="single" w:sz="8" w:color="auto"/>
              <w:bottom w:val="single" w:sz="8" w:color="0000EE"/>
            </w:tcBorders>
            <w:gridSpan w:val="23"/>
          </w:tcPr>
          <w:p>
            <w:pPr>
              <w:spacing w:after="0" w:line="169"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Plan of Conversion (incorporated herein by reference to Exhibit 2.1 to the Registrant’s Current Report on Form 8-K filed</w:t>
              </w:r>
            </w:hyperlink>
          </w:p>
        </w:tc>
        <w:tc>
          <w:tcPr>
            <w:tcW w:w="200" w:type="dxa"/>
            <w:vAlign w:val="bottom"/>
            <w:tcBorders>
              <w:top w:val="single" w:sz="8" w:color="auto"/>
            </w:tcBorders>
            <w:gridSpan w:val="7"/>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20" w:type="dxa"/>
            <w:vAlign w:val="bottom"/>
            <w:gridSpan w:val="31"/>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with the Commission on June 2, 2017).</w:t>
              </w:r>
            </w:hyperlink>
          </w:p>
        </w:tc>
      </w:tr>
      <w:tr>
        <w:trPr>
          <w:trHeight w:val="20"/>
        </w:trPr>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7"/>
                <w:szCs w:val="17"/>
                <w:color w:val="auto"/>
              </w:rPr>
            </w:pPr>
          </w:p>
        </w:tc>
        <w:tc>
          <w:tcPr>
            <w:tcW w:w="85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Articles of Conversion (incorporated herein by reference to Exhibit 3.1 to the Registrant’s Current Report on Form 8-K</w:t>
              </w:r>
            </w:hyperlink>
          </w:p>
        </w:tc>
        <w:tc>
          <w:tcPr>
            <w:tcW w:w="340" w:type="dxa"/>
            <w:vAlign w:val="bottom"/>
            <w:gridSpan w:val="11"/>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filed with the Commission on June 2, 2017).</w:t>
              </w:r>
            </w:hyperlink>
          </w:p>
        </w:tc>
        <w:tc>
          <w:tcPr>
            <w:tcW w:w="5720" w:type="dxa"/>
            <w:vAlign w:val="bottom"/>
            <w:gridSpan w:val="26"/>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3.2</w:t>
            </w:r>
          </w:p>
        </w:tc>
        <w:tc>
          <w:tcPr>
            <w:tcW w:w="200" w:type="dxa"/>
            <w:vAlign w:val="bottom"/>
          </w:tcPr>
          <w:p>
            <w:pPr>
              <w:spacing w:after="0"/>
              <w:rPr>
                <w:sz w:val="17"/>
                <w:szCs w:val="17"/>
                <w:color w:val="auto"/>
              </w:rPr>
            </w:pPr>
          </w:p>
        </w:tc>
        <w:tc>
          <w:tcPr>
            <w:tcW w:w="8920" w:type="dxa"/>
            <w:vAlign w:val="bottom"/>
            <w:gridSpan w:val="31"/>
          </w:tcPr>
          <w:p>
            <w:pPr>
              <w:spacing w:after="0" w:line="196" w:lineRule="exact"/>
              <w:rPr>
                <w:rFonts w:ascii="Arial" w:cs="Arial" w:eastAsia="Arial" w:hAnsi="Arial"/>
                <w:sz w:val="18"/>
                <w:szCs w:val="18"/>
                <w:color w:val="0000EE"/>
                <w:w w:val="93"/>
              </w:rPr>
            </w:pPr>
            <w:hyperlink r:id="rId118">
              <w:r>
                <w:rPr>
                  <w:rFonts w:ascii="Arial" w:cs="Arial" w:eastAsia="Arial" w:hAnsi="Arial"/>
                  <w:sz w:val="18"/>
                  <w:szCs w:val="18"/>
                  <w:color w:val="0000EE"/>
                  <w:w w:val="93"/>
                </w:rPr>
                <w:t>Certificate of Conversion (incorporated herein by reference to Exhibit 3.2 to the Registrant’s Current Report on Form 8-K</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filed with the Commission on June 2, 2017).</w:t>
              </w:r>
            </w:hyperlink>
          </w:p>
        </w:tc>
        <w:tc>
          <w:tcPr>
            <w:tcW w:w="5560" w:type="dxa"/>
            <w:vAlign w:val="bottom"/>
            <w:tcBorders>
              <w:top w:val="single" w:sz="8" w:color="0000EE"/>
            </w:tcBorders>
            <w:gridSpan w:val="20"/>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3.3</w:t>
            </w:r>
          </w:p>
        </w:tc>
        <w:tc>
          <w:tcPr>
            <w:tcW w:w="200" w:type="dxa"/>
            <w:vAlign w:val="bottom"/>
          </w:tcPr>
          <w:p>
            <w:pPr>
              <w:spacing w:after="0"/>
              <w:rPr>
                <w:sz w:val="17"/>
                <w:szCs w:val="17"/>
                <w:color w:val="auto"/>
              </w:rPr>
            </w:pPr>
          </w:p>
        </w:tc>
        <w:tc>
          <w:tcPr>
            <w:tcW w:w="8920" w:type="dxa"/>
            <w:vAlign w:val="bottom"/>
            <w:gridSpan w:val="31"/>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Certificate of Incorporation (incorporated herein by reference to Exhibit 3.3 to the Registrant’s Current Report on Form 8-</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K filed with the Commission on June 2, 2017).</w:t>
              </w:r>
            </w:hyperlink>
          </w:p>
        </w:tc>
        <w:tc>
          <w:tcPr>
            <w:tcW w:w="5400" w:type="dxa"/>
            <w:vAlign w:val="bottom"/>
            <w:tcBorders>
              <w:top w:val="single" w:sz="8" w:color="0000EE"/>
            </w:tcBorders>
            <w:gridSpan w:val="19"/>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3.4</w:t>
            </w:r>
          </w:p>
        </w:tc>
        <w:tc>
          <w:tcPr>
            <w:tcW w:w="200" w:type="dxa"/>
            <w:vAlign w:val="bottom"/>
          </w:tcPr>
          <w:p>
            <w:pPr>
              <w:spacing w:after="0"/>
              <w:rPr>
                <w:sz w:val="17"/>
                <w:szCs w:val="17"/>
                <w:color w:val="auto"/>
              </w:rPr>
            </w:pPr>
          </w:p>
        </w:tc>
        <w:tc>
          <w:tcPr>
            <w:tcW w:w="8920" w:type="dxa"/>
            <w:vAlign w:val="bottom"/>
            <w:gridSpan w:val="31"/>
          </w:tcPr>
          <w:p>
            <w:pPr>
              <w:spacing w:after="0" w:line="196" w:lineRule="exact"/>
              <w:rPr>
                <w:rFonts w:ascii="Arial" w:cs="Arial" w:eastAsia="Arial" w:hAnsi="Arial"/>
                <w:sz w:val="18"/>
                <w:szCs w:val="18"/>
                <w:color w:val="0000EE"/>
                <w:w w:val="94"/>
              </w:rPr>
            </w:pPr>
            <w:hyperlink r:id="rId120">
              <w:r>
                <w:rPr>
                  <w:rFonts w:ascii="Arial" w:cs="Arial" w:eastAsia="Arial" w:hAnsi="Arial"/>
                  <w:sz w:val="18"/>
                  <w:szCs w:val="18"/>
                  <w:color w:val="0000EE"/>
                  <w:w w:val="94"/>
                </w:rPr>
                <w:t>Certificate of Designations of Rights, Preferences and Privileges of Series A Convertible Preferred Stock (incorporated</w:t>
              </w:r>
            </w:hyperlink>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herein by reference to Exhibit 3.4 to the Registrant’s Post-Effective Amendment No. 1 to the Registration Statement on</w:t>
              </w:r>
            </w:hyperlink>
          </w:p>
        </w:tc>
        <w:tc>
          <w:tcPr>
            <w:tcW w:w="340" w:type="dxa"/>
            <w:vAlign w:val="bottom"/>
            <w:gridSpan w:val="11"/>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5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Form S-3 (file no. 333-214073) filed with the Commission on July 31, 2017).</w:t>
              </w:r>
            </w:hyperlink>
          </w:p>
        </w:tc>
        <w:tc>
          <w:tcPr>
            <w:tcW w:w="3340" w:type="dxa"/>
            <w:vAlign w:val="bottom"/>
            <w:gridSpan w:val="21"/>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3.5</w:t>
            </w:r>
          </w:p>
        </w:tc>
        <w:tc>
          <w:tcPr>
            <w:tcW w:w="200" w:type="dxa"/>
            <w:vAlign w:val="bottom"/>
          </w:tcPr>
          <w:p>
            <w:pPr>
              <w:spacing w:after="0"/>
              <w:rPr>
                <w:sz w:val="17"/>
                <w:szCs w:val="17"/>
                <w:color w:val="auto"/>
              </w:rPr>
            </w:pPr>
          </w:p>
        </w:tc>
        <w:tc>
          <w:tcPr>
            <w:tcW w:w="8920" w:type="dxa"/>
            <w:vAlign w:val="bottom"/>
            <w:gridSpan w:val="31"/>
          </w:tcPr>
          <w:p>
            <w:pPr>
              <w:spacing w:after="0" w:line="196" w:lineRule="exact"/>
              <w:rPr>
                <w:rFonts w:ascii="Arial" w:cs="Arial" w:eastAsia="Arial" w:hAnsi="Arial"/>
                <w:sz w:val="18"/>
                <w:szCs w:val="18"/>
                <w:color w:val="0000EE"/>
                <w:w w:val="96"/>
              </w:rPr>
            </w:pPr>
            <w:hyperlink r:id="rId121">
              <w:r>
                <w:rPr>
                  <w:rFonts w:ascii="Arial" w:cs="Arial" w:eastAsia="Arial" w:hAnsi="Arial"/>
                  <w:sz w:val="18"/>
                  <w:szCs w:val="18"/>
                  <w:color w:val="0000EE"/>
                  <w:w w:val="96"/>
                </w:rPr>
                <w:t>Certificate of Designations of Rights, Preferences and Privileges of Series B Preferred Stock (incorporated herein by</w:t>
              </w:r>
            </w:hyperlink>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reference to Exhibit 3.5 to the Registrant’s Post-Effective Amendment No. 1 to the Registration Statement on Form S-3</w:t>
              </w:r>
            </w:hyperlink>
          </w:p>
        </w:tc>
        <w:tc>
          <w:tcPr>
            <w:tcW w:w="32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(file no. 333-214073 incorporated by reference into file no. 333-212373) filed with the Commission on July 31, 2017).</w:t>
              </w:r>
            </w:hyperlink>
          </w:p>
        </w:tc>
        <w:tc>
          <w:tcPr>
            <w:tcW w:w="360" w:type="dxa"/>
            <w:vAlign w:val="bottom"/>
            <w:gridSpan w:val="12"/>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3.6</w:t>
            </w:r>
          </w:p>
        </w:tc>
        <w:tc>
          <w:tcPr>
            <w:tcW w:w="200" w:type="dxa"/>
            <w:vAlign w:val="bottom"/>
          </w:tcPr>
          <w:p>
            <w:pPr>
              <w:spacing w:after="0"/>
              <w:rPr>
                <w:sz w:val="17"/>
                <w:szCs w:val="17"/>
                <w:color w:val="auto"/>
              </w:rPr>
            </w:pPr>
          </w:p>
        </w:tc>
        <w:tc>
          <w:tcPr>
            <w:tcW w:w="80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Certificate of Amendment of Certificate of Incorporation (incorporated herein by reference to Exhibit 3.1 to the</w:t>
              </w:r>
            </w:hyperlink>
          </w:p>
        </w:tc>
        <w:tc>
          <w:tcPr>
            <w:tcW w:w="880" w:type="dxa"/>
            <w:vAlign w:val="bottom"/>
            <w:gridSpan w:val="1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20" w:type="dxa"/>
            <w:vAlign w:val="bottom"/>
            <w:gridSpan w:val="31"/>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Registrant’s Current Report on Form 8-K filed with the Commission on June 27, 2017).</w:t>
              </w:r>
            </w:hyperlink>
          </w:p>
        </w:tc>
      </w:tr>
      <w:tr>
        <w:trPr>
          <w:trHeight w:val="20"/>
        </w:trPr>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3.7</w:t>
            </w:r>
          </w:p>
        </w:tc>
        <w:tc>
          <w:tcPr>
            <w:tcW w:w="200" w:type="dxa"/>
            <w:vAlign w:val="bottom"/>
          </w:tcPr>
          <w:p>
            <w:pPr>
              <w:spacing w:after="0"/>
              <w:rPr>
                <w:sz w:val="17"/>
                <w:szCs w:val="17"/>
                <w:color w:val="auto"/>
              </w:rPr>
            </w:pPr>
          </w:p>
        </w:tc>
        <w:tc>
          <w:tcPr>
            <w:tcW w:w="80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Certificate of Amendment of Certificate of Incorporation (incorporated herein by reference to Exhibit 3.1 to the</w:t>
              </w:r>
            </w:hyperlink>
          </w:p>
        </w:tc>
        <w:tc>
          <w:tcPr>
            <w:tcW w:w="880" w:type="dxa"/>
            <w:vAlign w:val="bottom"/>
            <w:gridSpan w:val="1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20" w:type="dxa"/>
            <w:vAlign w:val="bottom"/>
            <w:gridSpan w:val="31"/>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Registrant’s Current Report on Form 8 K filed with the Commission on June 11, 2019).</w:t>
              </w:r>
            </w:hyperlink>
          </w:p>
        </w:tc>
      </w:tr>
      <w:tr>
        <w:trPr>
          <w:trHeight w:val="20"/>
        </w:trPr>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3.8</w:t>
            </w:r>
          </w:p>
        </w:tc>
        <w:tc>
          <w:tcPr>
            <w:tcW w:w="200" w:type="dxa"/>
            <w:vAlign w:val="bottom"/>
          </w:tcPr>
          <w:p>
            <w:pPr>
              <w:spacing w:after="0"/>
              <w:rPr>
                <w:sz w:val="17"/>
                <w:szCs w:val="17"/>
                <w:color w:val="auto"/>
              </w:rPr>
            </w:pPr>
          </w:p>
        </w:tc>
        <w:tc>
          <w:tcPr>
            <w:tcW w:w="888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Third Amended and Restated Bylaws (incorporated herein by reference to Exhibit 3.1 to the Registrant’s Current Report on</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0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Form 8-K filed with the Commission on April 29, 2022).</w:t>
              </w:r>
            </w:hyperlink>
          </w:p>
        </w:tc>
        <w:tc>
          <w:tcPr>
            <w:tcW w:w="4820" w:type="dxa"/>
            <w:vAlign w:val="bottom"/>
            <w:gridSpan w:val="23"/>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4.1</w:t>
            </w:r>
          </w:p>
        </w:tc>
        <w:tc>
          <w:tcPr>
            <w:tcW w:w="200" w:type="dxa"/>
            <w:vAlign w:val="bottom"/>
          </w:tcPr>
          <w:p>
            <w:pPr>
              <w:spacing w:after="0"/>
              <w:rPr>
                <w:sz w:val="17"/>
                <w:szCs w:val="17"/>
                <w:color w:val="auto"/>
              </w:rPr>
            </w:pPr>
          </w:p>
        </w:tc>
        <w:tc>
          <w:tcPr>
            <w:tcW w:w="8920" w:type="dxa"/>
            <w:vAlign w:val="bottom"/>
            <w:gridSpan w:val="31"/>
          </w:tcPr>
          <w:p>
            <w:pPr>
              <w:spacing w:after="0" w:line="196" w:lineRule="exact"/>
              <w:rPr>
                <w:rFonts w:ascii="Arial" w:cs="Arial" w:eastAsia="Arial" w:hAnsi="Arial"/>
                <w:sz w:val="18"/>
                <w:szCs w:val="18"/>
                <w:color w:val="0000EE"/>
                <w:w w:val="97"/>
              </w:rPr>
            </w:pPr>
            <w:hyperlink r:id="rId125">
              <w:r>
                <w:rPr>
                  <w:rFonts w:ascii="Arial" w:cs="Arial" w:eastAsia="Arial" w:hAnsi="Arial"/>
                  <w:sz w:val="18"/>
                  <w:szCs w:val="18"/>
                  <w:color w:val="0000EE"/>
                  <w:w w:val="97"/>
                </w:rPr>
                <w:t>Specimen of Stock Certificate (incorporated herein by reference to Exhibit 4.2 to the Registrant’s Annual Report on</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Form 10-K filed with the Commission on March 12, 2018).</w:t>
              </w:r>
            </w:hyperlink>
          </w:p>
        </w:tc>
        <w:tc>
          <w:tcPr>
            <w:tcW w:w="4100" w:type="dxa"/>
            <w:vAlign w:val="bottom"/>
            <w:tcBorders>
              <w:top w:val="single" w:sz="8" w:color="0000EE"/>
            </w:tcBorders>
            <w:gridSpan w:val="9"/>
          </w:tcPr>
          <w:p>
            <w:pPr>
              <w:spacing w:after="0"/>
              <w:rPr>
                <w:sz w:val="17"/>
                <w:szCs w:val="17"/>
                <w:color w:val="auto"/>
              </w:rPr>
            </w:pPr>
          </w:p>
        </w:tc>
        <w:tc>
          <w:tcPr>
            <w:tcW w:w="540" w:type="dxa"/>
            <w:vAlign w:val="bottom"/>
            <w:gridSpan w:val="13"/>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4.2</w:t>
            </w:r>
          </w:p>
        </w:tc>
        <w:tc>
          <w:tcPr>
            <w:tcW w:w="200" w:type="dxa"/>
            <w:vAlign w:val="bottom"/>
          </w:tcPr>
          <w:p>
            <w:pPr>
              <w:spacing w:after="0"/>
              <w:rPr>
                <w:sz w:val="17"/>
                <w:szCs w:val="17"/>
                <w:color w:val="auto"/>
              </w:rPr>
            </w:pPr>
          </w:p>
        </w:tc>
        <w:tc>
          <w:tcPr>
            <w:tcW w:w="880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Description of Securities (incorporated herein by reference to Exhibit 4.3 to the Registrant’s Annual Report on Form 10-K</w:t>
              </w:r>
            </w:hyperlink>
          </w:p>
        </w:tc>
        <w:tc>
          <w:tcPr>
            <w:tcW w:w="12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filed with the Commission on March 6, 2019).</w:t>
              </w:r>
            </w:hyperlink>
          </w:p>
        </w:tc>
        <w:tc>
          <w:tcPr>
            <w:tcW w:w="5580" w:type="dxa"/>
            <w:vAlign w:val="bottom"/>
            <w:gridSpan w:val="25"/>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7"/>
                <w:szCs w:val="17"/>
                <w:color w:val="auto"/>
              </w:rPr>
            </w:pPr>
          </w:p>
        </w:tc>
        <w:tc>
          <w:tcPr>
            <w:tcW w:w="870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Genesis Biopharma, Inc. 2011 Equity Incentive Plan (incorporated herein by reference to Exhibit 10.3 to the Registrant’s</w:t>
              </w:r>
            </w:hyperlink>
          </w:p>
        </w:tc>
        <w:tc>
          <w:tcPr>
            <w:tcW w:w="22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Current Report on Form 8 K filed with the Commission on October 20, 2011).#</w:t>
              </w:r>
            </w:hyperlink>
          </w:p>
        </w:tc>
        <w:tc>
          <w:tcPr>
            <w:tcW w:w="3200" w:type="dxa"/>
            <w:vAlign w:val="bottom"/>
            <w:gridSpan w:val="20"/>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10.2</w:t>
            </w:r>
          </w:p>
        </w:tc>
        <w:tc>
          <w:tcPr>
            <w:tcW w:w="200" w:type="dxa"/>
            <w:vAlign w:val="bottom"/>
          </w:tcPr>
          <w:p>
            <w:pPr>
              <w:spacing w:after="0"/>
              <w:rPr>
                <w:sz w:val="17"/>
                <w:szCs w:val="17"/>
                <w:color w:val="auto"/>
              </w:rPr>
            </w:pPr>
          </w:p>
        </w:tc>
        <w:tc>
          <w:tcPr>
            <w:tcW w:w="86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Form of Incentive Stock Option Agreement under the Genesis Biopharma Inc. 2011 Equity Incentive Plan (incorporated</w:t>
              </w:r>
            </w:hyperlink>
          </w:p>
        </w:tc>
        <w:tc>
          <w:tcPr>
            <w:tcW w:w="260" w:type="dxa"/>
            <w:vAlign w:val="bottom"/>
            <w:gridSpan w:val="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20" w:type="dxa"/>
            <w:vAlign w:val="bottom"/>
            <w:gridSpan w:val="31"/>
          </w:tcPr>
          <w:p>
            <w:pPr>
              <w:spacing w:after="0" w:line="196" w:lineRule="exact"/>
              <w:rPr>
                <w:rFonts w:ascii="Arial" w:cs="Arial" w:eastAsia="Arial" w:hAnsi="Arial"/>
                <w:sz w:val="18"/>
                <w:szCs w:val="18"/>
                <w:color w:val="0000EE"/>
                <w:w w:val="99"/>
              </w:rPr>
            </w:pPr>
            <w:hyperlink r:id="rId128">
              <w:r>
                <w:rPr>
                  <w:rFonts w:ascii="Arial" w:cs="Arial" w:eastAsia="Arial" w:hAnsi="Arial"/>
                  <w:sz w:val="18"/>
                  <w:szCs w:val="18"/>
                  <w:color w:val="0000EE"/>
                  <w:w w:val="99"/>
                </w:rPr>
                <w:t>herein by reference to Exhibit 10.4 to the Registrant’s Annual Report on Form 10-K filed with the Commission on</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February 25, 2020).#</w:t>
              </w:r>
            </w:hyperlink>
          </w:p>
        </w:tc>
        <w:tc>
          <w:tcPr>
            <w:tcW w:w="6700" w:type="dxa"/>
            <w:vAlign w:val="bottom"/>
            <w:tcBorders>
              <w:top w:val="single" w:sz="8" w:color="0000EE"/>
            </w:tcBorders>
            <w:gridSpan w:val="15"/>
          </w:tcPr>
          <w:p>
            <w:pPr>
              <w:spacing w:after="0"/>
              <w:rPr>
                <w:sz w:val="17"/>
                <w:szCs w:val="17"/>
                <w:color w:val="auto"/>
              </w:rPr>
            </w:pPr>
          </w:p>
        </w:tc>
        <w:tc>
          <w:tcPr>
            <w:tcW w:w="700" w:type="dxa"/>
            <w:vAlign w:val="bottom"/>
            <w:gridSpan w:val="14"/>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10.3</w:t>
            </w:r>
          </w:p>
        </w:tc>
        <w:tc>
          <w:tcPr>
            <w:tcW w:w="200" w:type="dxa"/>
            <w:vAlign w:val="bottom"/>
          </w:tcPr>
          <w:p>
            <w:pPr>
              <w:spacing w:after="0"/>
              <w:rPr>
                <w:sz w:val="17"/>
                <w:szCs w:val="17"/>
                <w:color w:val="auto"/>
              </w:rPr>
            </w:pPr>
          </w:p>
        </w:tc>
        <w:tc>
          <w:tcPr>
            <w:tcW w:w="80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Form of Non-Qualified Stock Option Agreement under the Genesis Biopharma Inc. 2011 Equity Incentive Plan</w:t>
              </w:r>
            </w:hyperlink>
          </w:p>
        </w:tc>
        <w:tc>
          <w:tcPr>
            <w:tcW w:w="900" w:type="dxa"/>
            <w:vAlign w:val="bottom"/>
            <w:gridSpan w:val="1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(incorporated herein by reference to Exhibit 10.5 to the Registrant’s Annual Report on Form 10-K filed with the</w:t>
              </w:r>
            </w:hyperlink>
          </w:p>
        </w:tc>
        <w:tc>
          <w:tcPr>
            <w:tcW w:w="860" w:type="dxa"/>
            <w:vAlign w:val="bottom"/>
            <w:gridSpan w:val="1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Commission on February 25, 2020).#</w:t>
              </w:r>
            </w:hyperlink>
          </w:p>
        </w:tc>
        <w:tc>
          <w:tcPr>
            <w:tcW w:w="6220" w:type="dxa"/>
            <w:vAlign w:val="bottom"/>
            <w:gridSpan w:val="28"/>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10.4</w:t>
            </w:r>
          </w:p>
        </w:tc>
        <w:tc>
          <w:tcPr>
            <w:tcW w:w="200" w:type="dxa"/>
            <w:vAlign w:val="bottom"/>
          </w:tcPr>
          <w:p>
            <w:pPr>
              <w:spacing w:after="0"/>
              <w:rPr>
                <w:sz w:val="17"/>
                <w:szCs w:val="17"/>
                <w:color w:val="auto"/>
              </w:rPr>
            </w:pPr>
          </w:p>
        </w:tc>
        <w:tc>
          <w:tcPr>
            <w:tcW w:w="8920" w:type="dxa"/>
            <w:vAlign w:val="bottom"/>
            <w:gridSpan w:val="31"/>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Lion Biotechnologies, Inc. 2014 Equity Incentive Plan, as amended (incorporated herein by reference to Appendix A to the</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Registrant’s Definitive Proxy Statement on Schedule 14A filed with the Commission on July 7, 2016).#</w:t>
              </w:r>
            </w:hyperlink>
          </w:p>
        </w:tc>
        <w:tc>
          <w:tcPr>
            <w:tcW w:w="60" w:type="dxa"/>
            <w:vAlign w:val="bottom"/>
            <w:gridSpan w:val="2"/>
          </w:tcPr>
          <w:p>
            <w:pPr>
              <w:spacing w:after="0"/>
              <w:rPr>
                <w:sz w:val="17"/>
                <w:szCs w:val="17"/>
                <w:color w:val="auto"/>
              </w:rPr>
            </w:pPr>
          </w:p>
        </w:tc>
      </w:tr>
      <w:tr>
        <w:trPr>
          <w:trHeight w:val="20"/>
        </w:trPr>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60" w:type="dxa"/>
            <w:vAlign w:val="bottom"/>
            <w:gridSpan w:val="13"/>
            <w:shd w:val="clear" w:color="auto" w:fill="0000EE"/>
          </w:tcPr>
          <w:p>
            <w:pPr>
              <w:spacing w:after="0" w:line="20" w:lineRule="exact"/>
              <w:rPr>
                <w:sz w:val="1"/>
                <w:szCs w:val="1"/>
                <w:color w:val="auto"/>
              </w:rPr>
            </w:pPr>
          </w:p>
        </w:tc>
        <w:tc>
          <w:tcPr>
            <w:tcW w:w="1380" w:type="dxa"/>
            <w:vAlign w:val="bottom"/>
            <w:gridSpan w:val="1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10.5</w:t>
            </w:r>
          </w:p>
        </w:tc>
        <w:tc>
          <w:tcPr>
            <w:tcW w:w="200" w:type="dxa"/>
            <w:vAlign w:val="bottom"/>
          </w:tcPr>
          <w:p>
            <w:pPr>
              <w:spacing w:after="0"/>
              <w:rPr>
                <w:sz w:val="17"/>
                <w:szCs w:val="17"/>
                <w:color w:val="auto"/>
              </w:rPr>
            </w:pPr>
          </w:p>
        </w:tc>
        <w:tc>
          <w:tcPr>
            <w:tcW w:w="8920" w:type="dxa"/>
            <w:vAlign w:val="bottom"/>
            <w:gridSpan w:val="31"/>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Form of Incentive Stock Option Agreement under the Lion Biotechnologies, Inc. 2014 Equity Incentive Plan (incorporated</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tcBorders>
              <w:top w:val="single" w:sz="8" w:color="0000EE"/>
            </w:tcBorders>
            <w:gridSpan w:val="28"/>
          </w:tcPr>
          <w:p>
            <w:pPr>
              <w:spacing w:after="0" w:line="196" w:lineRule="exact"/>
              <w:rPr>
                <w:rFonts w:ascii="Arial" w:cs="Arial" w:eastAsia="Arial" w:hAnsi="Arial"/>
                <w:sz w:val="18"/>
                <w:szCs w:val="18"/>
                <w:color w:val="0000EE"/>
                <w:w w:val="98"/>
              </w:rPr>
            </w:pPr>
            <w:hyperlink r:id="rId131">
              <w:r>
                <w:rPr>
                  <w:rFonts w:ascii="Arial" w:cs="Arial" w:eastAsia="Arial" w:hAnsi="Arial"/>
                  <w:sz w:val="18"/>
                  <w:szCs w:val="18"/>
                  <w:color w:val="0000EE"/>
                  <w:w w:val="98"/>
                </w:rPr>
                <w:t>herein by reference to Exhibit 10.7 to the Registrant’s Annual Report on Form 10-K filed with the Commission on</w:t>
              </w:r>
            </w:hyperlink>
          </w:p>
        </w:tc>
        <w:tc>
          <w:tcPr>
            <w:tcW w:w="8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February 25, 2020).#</w:t>
              </w:r>
            </w:hyperlink>
          </w:p>
        </w:tc>
        <w:tc>
          <w:tcPr>
            <w:tcW w:w="6700" w:type="dxa"/>
            <w:vAlign w:val="bottom"/>
            <w:tcBorders>
              <w:top w:val="single" w:sz="8" w:color="0000EE"/>
            </w:tcBorders>
            <w:gridSpan w:val="15"/>
          </w:tcPr>
          <w:p>
            <w:pPr>
              <w:spacing w:after="0"/>
              <w:rPr>
                <w:sz w:val="17"/>
                <w:szCs w:val="17"/>
                <w:color w:val="auto"/>
              </w:rPr>
            </w:pPr>
          </w:p>
        </w:tc>
        <w:tc>
          <w:tcPr>
            <w:tcW w:w="700" w:type="dxa"/>
            <w:vAlign w:val="bottom"/>
            <w:gridSpan w:val="14"/>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10.6</w:t>
            </w:r>
          </w:p>
        </w:tc>
        <w:tc>
          <w:tcPr>
            <w:tcW w:w="8860" w:type="dxa"/>
            <w:vAlign w:val="bottom"/>
            <w:gridSpan w:val="38"/>
          </w:tcPr>
          <w:p>
            <w:pPr>
              <w:spacing w:after="0"/>
              <w:rPr>
                <w:rFonts w:ascii="Arial" w:cs="Arial" w:eastAsia="Arial" w:hAnsi="Arial"/>
                <w:sz w:val="18"/>
                <w:szCs w:val="18"/>
                <w:color w:val="0000EE"/>
                <w:w w:val="99"/>
              </w:rPr>
            </w:pPr>
            <w:hyperlink r:id="rId133">
              <w:r>
                <w:rPr>
                  <w:rFonts w:ascii="Arial" w:cs="Arial" w:eastAsia="Arial" w:hAnsi="Arial"/>
                  <w:sz w:val="18"/>
                  <w:szCs w:val="18"/>
                  <w:color w:val="0000EE"/>
                  <w:w w:val="99"/>
                </w:rPr>
                <w:t>Form of Non-Qualified Stock Option Agreement under the Lion Biotechnologies, Inc. 2014 Equity Incentive Plan</w:t>
              </w:r>
            </w:hyperlink>
          </w:p>
        </w:tc>
      </w:tr>
      <w:tr>
        <w:trPr>
          <w:trHeight w:val="196"/>
        </w:trPr>
        <w:tc>
          <w:tcPr>
            <w:tcW w:w="1000" w:type="dxa"/>
            <w:vAlign w:val="bottom"/>
          </w:tcPr>
          <w:p>
            <w:pPr>
              <w:spacing w:after="0"/>
              <w:rPr>
                <w:sz w:val="17"/>
                <w:szCs w:val="17"/>
                <w:color w:val="auto"/>
              </w:rPr>
            </w:pPr>
          </w:p>
        </w:tc>
        <w:tc>
          <w:tcPr>
            <w:tcW w:w="80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(incorporated herein by reference to Exhibit 10.8 to the Registrant’s Annual Report on Form 10-K filed with the</w:t>
              </w:r>
            </w:hyperlink>
          </w:p>
        </w:tc>
        <w:tc>
          <w:tcPr>
            <w:tcW w:w="140" w:type="dxa"/>
            <w:vAlign w:val="bottom"/>
            <w:tcBorders>
              <w:top w:val="single" w:sz="8" w:color="0000EE"/>
            </w:tcBorders>
            <w:gridSpan w:val="2"/>
          </w:tcPr>
          <w:p>
            <w:pPr>
              <w:spacing w:after="0"/>
              <w:rPr>
                <w:sz w:val="17"/>
                <w:szCs w:val="17"/>
                <w:color w:val="auto"/>
              </w:rPr>
            </w:pPr>
          </w:p>
        </w:tc>
        <w:tc>
          <w:tcPr>
            <w:tcW w:w="660" w:type="dxa"/>
            <w:vAlign w:val="bottom"/>
            <w:gridSpan w:val="1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7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Commission on February 25, 2020).#</w:t>
              </w:r>
            </w:hyperlink>
          </w:p>
        </w:tc>
        <w:tc>
          <w:tcPr>
            <w:tcW w:w="6160" w:type="dxa"/>
            <w:vAlign w:val="bottom"/>
            <w:gridSpan w:val="31"/>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8820" w:type="dxa"/>
            <w:vAlign w:val="bottom"/>
            <w:tcBorders>
              <w:bottom w:val="single" w:sz="8" w:color="0000EE"/>
            </w:tcBorders>
            <w:gridSpan w:val="36"/>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Iovance Biotherapeutics, Inc. 2018 Equity Incentive Plan, as amended (incorporated herein by reference to Exhibit 10.1 to</w:t>
              </w:r>
            </w:hyperlink>
          </w:p>
        </w:tc>
        <w:tc>
          <w:tcPr>
            <w:tcW w:w="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60" w:type="dxa"/>
            <w:vAlign w:val="bottom"/>
            <w:gridSpan w:val="38"/>
          </w:tcPr>
          <w:p>
            <w:pPr>
              <w:spacing w:after="0" w:line="196" w:lineRule="exact"/>
              <w:rPr>
                <w:rFonts w:ascii="Arial" w:cs="Arial" w:eastAsia="Arial" w:hAnsi="Arial"/>
                <w:sz w:val="18"/>
                <w:szCs w:val="18"/>
                <w:color w:val="0000EE"/>
                <w:w w:val="97"/>
              </w:rPr>
            </w:pPr>
            <w:hyperlink r:id="rId134">
              <w:r>
                <w:rPr>
                  <w:rFonts w:ascii="Arial" w:cs="Arial" w:eastAsia="Arial" w:hAnsi="Arial"/>
                  <w:sz w:val="18"/>
                  <w:szCs w:val="18"/>
                  <w:color w:val="0000EE"/>
                  <w:w w:val="97"/>
                </w:rPr>
                <w:t>the Registrant’s Current Report on Quarterly Report on Form 10-Q filed with the Commission on August 4, 2022).#</w:t>
              </w:r>
            </w:hyperlink>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80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Form of Incentive Stock Option Agreement under the Iovance Biotherapeutics, Inc. 2018 Equity Incentive Plan</w:t>
              </w:r>
            </w:hyperlink>
          </w:p>
        </w:tc>
        <w:tc>
          <w:tcPr>
            <w:tcW w:w="320" w:type="dxa"/>
            <w:vAlign w:val="bottom"/>
            <w:tcBorders>
              <w:top w:val="single" w:sz="8" w:color="0000EE"/>
            </w:tcBorders>
            <w:gridSpan w:val="6"/>
          </w:tcPr>
          <w:p>
            <w:pPr>
              <w:spacing w:after="0"/>
              <w:rPr>
                <w:sz w:val="17"/>
                <w:szCs w:val="17"/>
                <w:color w:val="auto"/>
              </w:rPr>
            </w:pPr>
          </w:p>
        </w:tc>
        <w:tc>
          <w:tcPr>
            <w:tcW w:w="520" w:type="dxa"/>
            <w:vAlign w:val="bottom"/>
            <w:gridSpan w:val="15"/>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60" w:type="dxa"/>
            <w:vAlign w:val="bottom"/>
            <w:gridSpan w:val="38"/>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(incorporated herein by reference to Exhibit 10.10 of Registrant’s Annual Report on Form 10-K filed with the Commission</w:t>
              </w:r>
            </w:hyperlink>
          </w:p>
        </w:tc>
      </w:tr>
      <w:tr>
        <w:trPr>
          <w:trHeight w:val="196"/>
        </w:trPr>
        <w:tc>
          <w:tcPr>
            <w:tcW w:w="100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35">
              <w:r>
                <w:rPr>
                  <w:rFonts w:ascii="Arial" w:cs="Arial" w:eastAsia="Arial" w:hAnsi="Arial"/>
                  <w:sz w:val="18"/>
                  <w:szCs w:val="18"/>
                  <w:color w:val="0000EE"/>
                  <w:w w:val="89"/>
                </w:rPr>
                <w:t>on February 25, 2020).#</w:t>
              </w:r>
            </w:hyperlink>
          </w:p>
        </w:tc>
        <w:tc>
          <w:tcPr>
            <w:tcW w:w="7100" w:type="dxa"/>
            <w:vAlign w:val="bottom"/>
            <w:tcBorders>
              <w:top w:val="single" w:sz="8" w:color="0000EE"/>
            </w:tcBorders>
            <w:gridSpan w:val="3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840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Form of Non-Qualified Stock Option Agreement under the Iovance Biotherapeutics, Inc. 2018 Equity Incentive Plan</w:t>
              </w:r>
            </w:hyperlink>
          </w:p>
        </w:tc>
        <w:tc>
          <w:tcPr>
            <w:tcW w:w="460" w:type="dxa"/>
            <w:vAlign w:val="bottom"/>
            <w:gridSpan w:val="1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00" w:type="dxa"/>
            <w:vAlign w:val="bottom"/>
            <w:tcBorders>
              <w:bottom w:val="single" w:sz="8" w:color="0000EE"/>
            </w:tcBorders>
            <w:gridSpan w:val="34"/>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(incorporated herein by reference to Exhibit 10.11 of Registrant’s Annual report on Form 10-K filed with the Commission</w:t>
              </w:r>
            </w:hyperlink>
          </w:p>
        </w:tc>
        <w:tc>
          <w:tcPr>
            <w:tcW w:w="6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7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36">
              <w:r>
                <w:rPr>
                  <w:rFonts w:ascii="Arial" w:cs="Arial" w:eastAsia="Arial" w:hAnsi="Arial"/>
                  <w:sz w:val="18"/>
                  <w:szCs w:val="18"/>
                  <w:color w:val="0000EE"/>
                  <w:w w:val="89"/>
                </w:rPr>
                <w:t>on February 25, 2020).#</w:t>
              </w:r>
            </w:hyperlink>
          </w:p>
        </w:tc>
        <w:tc>
          <w:tcPr>
            <w:tcW w:w="7120" w:type="dxa"/>
            <w:vAlign w:val="bottom"/>
            <w:gridSpan w:val="35"/>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8820" w:type="dxa"/>
            <w:vAlign w:val="bottom"/>
            <w:tcBorders>
              <w:bottom w:val="single" w:sz="8" w:color="0000EE"/>
            </w:tcBorders>
            <w:gridSpan w:val="36"/>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Form of Stock Unit Notice and Stock Unit Agreement under the Iovance Biotherapeutics, Inc. 2018 Equity Incentive Plan,</w:t>
              </w:r>
            </w:hyperlink>
          </w:p>
        </w:tc>
        <w:tc>
          <w:tcPr>
            <w:tcW w:w="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52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as amended (June 2021 Retention Equity Awards) (incorporated herein by reference to Exhibit 10.2 to the Registrant’s</w:t>
              </w:r>
            </w:hyperlink>
          </w:p>
        </w:tc>
        <w:tc>
          <w:tcPr>
            <w:tcW w:w="340" w:type="dxa"/>
            <w:vAlign w:val="bottom"/>
            <w:gridSpan w:val="11"/>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60" w:type="dxa"/>
            <w:vAlign w:val="bottom"/>
            <w:gridSpan w:val="38"/>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Quarterly Report on Form 10-Q filed with the Commission on August 5, 2021).#</w:t>
              </w:r>
            </w:hyperlink>
          </w:p>
        </w:tc>
      </w:tr>
      <w:tr>
        <w:trPr>
          <w:trHeight w:val="20"/>
        </w:trPr>
        <w:tc>
          <w:tcPr>
            <w:tcW w:w="10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8860" w:type="dxa"/>
            <w:vAlign w:val="bottom"/>
            <w:tcBorders>
              <w:bottom w:val="single" w:sz="8" w:color="0000EE"/>
            </w:tcBorders>
            <w:gridSpan w:val="38"/>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Form of Nonqualified Stock Option Award Agreement under the Iovance Biotherapeutics, Inc. 2018 Equity Incentive Plan,</w:t>
              </w:r>
            </w:hyperlink>
          </w:p>
        </w:tc>
      </w:tr>
      <w:tr>
        <w:trPr>
          <w:trHeight w:val="196"/>
        </w:trPr>
        <w:tc>
          <w:tcPr>
            <w:tcW w:w="1000" w:type="dxa"/>
            <w:vAlign w:val="bottom"/>
          </w:tcPr>
          <w:p>
            <w:pPr>
              <w:spacing w:after="0"/>
              <w:rPr>
                <w:sz w:val="17"/>
                <w:szCs w:val="17"/>
                <w:color w:val="auto"/>
              </w:rPr>
            </w:pPr>
          </w:p>
        </w:tc>
        <w:tc>
          <w:tcPr>
            <w:tcW w:w="852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as amended (June 2021 Retention Equity Awards) (incorporated herein by reference to Exhibit 10.3 to the Registrant’s</w:t>
              </w:r>
            </w:hyperlink>
          </w:p>
        </w:tc>
        <w:tc>
          <w:tcPr>
            <w:tcW w:w="340" w:type="dxa"/>
            <w:vAlign w:val="bottom"/>
            <w:gridSpan w:val="11"/>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60" w:type="dxa"/>
            <w:vAlign w:val="bottom"/>
            <w:gridSpan w:val="38"/>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Current Report on Form 10-Q filed with the Commission on August 5, 2021).#</w:t>
              </w:r>
            </w:hyperlink>
          </w:p>
        </w:tc>
      </w:tr>
      <w:tr>
        <w:trPr>
          <w:trHeight w:val="20"/>
        </w:trPr>
        <w:tc>
          <w:tcPr>
            <w:tcW w:w="10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8820" w:type="dxa"/>
            <w:vAlign w:val="bottom"/>
            <w:tcBorders>
              <w:bottom w:val="single" w:sz="8" w:color="0000EE"/>
            </w:tcBorders>
            <w:gridSpan w:val="36"/>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Iovance Biotherapeutics, Inc, 2020 Employee Stock Purchase Plan (incorporated herein by reference to Exhibit 10.1 to the</w:t>
              </w:r>
            </w:hyperlink>
          </w:p>
        </w:tc>
        <w:tc>
          <w:tcPr>
            <w:tcW w:w="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60" w:type="dxa"/>
            <w:vAlign w:val="bottom"/>
            <w:gridSpan w:val="38"/>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Registrant’s Current Report on Form 8-K filed with the Commission on June 9, 2020).#</w:t>
              </w:r>
            </w:hyperlink>
          </w:p>
        </w:tc>
      </w:tr>
      <w:tr>
        <w:trPr>
          <w:trHeight w:val="20"/>
        </w:trPr>
        <w:tc>
          <w:tcPr>
            <w:tcW w:w="10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870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Iovance Biotherapeutics, Inc. Amended and Restated 2021 Inducement Plan (incorporated herein by reference to Exhibit</w:t>
              </w:r>
            </w:hyperlink>
          </w:p>
        </w:tc>
        <w:tc>
          <w:tcPr>
            <w:tcW w:w="160" w:type="dxa"/>
            <w:vAlign w:val="bottom"/>
            <w:gridSpan w:val="7"/>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60" w:type="dxa"/>
            <w:vAlign w:val="bottom"/>
            <w:gridSpan w:val="38"/>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10.</w:t>
              </w:r>
              <w:r>
                <w:rPr>
                  <w:rFonts w:ascii="Arial" w:cs="Arial" w:eastAsia="Arial" w:hAnsi="Arial"/>
                  <w:sz w:val="18"/>
                  <w:szCs w:val="18"/>
                  <w:u w:val="single" w:color="auto"/>
                  <w:color w:val="0000EE"/>
                </w:rPr>
                <w:t>13</w:t>
              </w:r>
              <w:r>
                <w:rPr>
                  <w:rFonts w:ascii="Arial" w:cs="Arial" w:eastAsia="Arial" w:hAnsi="Arial"/>
                  <w:sz w:val="18"/>
                  <w:szCs w:val="18"/>
                  <w:color w:val="0000EE"/>
                </w:rPr>
                <w:t xml:space="preserve"> to the Registrant’s Annual Report on Form 10-K filed with the Commission on February 24, 2022).#**</w:t>
              </w:r>
            </w:hyperlink>
          </w:p>
        </w:tc>
      </w:tr>
      <w:tr>
        <w:trPr>
          <w:trHeight w:val="20"/>
        </w:trPr>
        <w:tc>
          <w:tcPr>
            <w:tcW w:w="10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8860" w:type="dxa"/>
            <w:vAlign w:val="bottom"/>
            <w:gridSpan w:val="38"/>
          </w:tcPr>
          <w:p>
            <w:pPr>
              <w:spacing w:after="0" w:line="196" w:lineRule="exact"/>
              <w:rPr>
                <w:rFonts w:ascii="Arial" w:cs="Arial" w:eastAsia="Arial" w:hAnsi="Arial"/>
                <w:sz w:val="18"/>
                <w:szCs w:val="18"/>
                <w:color w:val="0000EE"/>
                <w:w w:val="96"/>
              </w:rPr>
            </w:pPr>
            <w:hyperlink r:id="rId141">
              <w:r>
                <w:rPr>
                  <w:rFonts w:ascii="Arial" w:cs="Arial" w:eastAsia="Arial" w:hAnsi="Arial"/>
                  <w:sz w:val="18"/>
                  <w:szCs w:val="18"/>
                  <w:color w:val="0000EE"/>
                  <w:w w:val="96"/>
                </w:rPr>
                <w:t>Form of Stock Option Grant Notice and Stock Option Agreement under the 2021 Inducement Plan (incorporated by</w:t>
              </w:r>
            </w:hyperlink>
          </w:p>
        </w:tc>
      </w:tr>
      <w:tr>
        <w:trPr>
          <w:trHeight w:val="20"/>
        </w:trPr>
        <w:tc>
          <w:tcPr>
            <w:tcW w:w="10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780" w:type="dxa"/>
            <w:vAlign w:val="bottom"/>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860" w:type="dxa"/>
            <w:vAlign w:val="bottom"/>
            <w:gridSpan w:val="38"/>
          </w:tcPr>
          <w:p>
            <w:pPr>
              <w:spacing w:after="0" w:line="196" w:lineRule="exact"/>
              <w:rPr>
                <w:rFonts w:ascii="Arial" w:cs="Arial" w:eastAsia="Arial" w:hAnsi="Arial"/>
                <w:sz w:val="18"/>
                <w:szCs w:val="18"/>
                <w:color w:val="0000EE"/>
                <w:w w:val="94"/>
              </w:rPr>
            </w:pPr>
            <w:hyperlink r:id="rId141">
              <w:r>
                <w:rPr>
                  <w:rFonts w:ascii="Arial" w:cs="Arial" w:eastAsia="Arial" w:hAnsi="Arial"/>
                  <w:sz w:val="18"/>
                  <w:szCs w:val="18"/>
                  <w:color w:val="0000EE"/>
                  <w:w w:val="94"/>
                </w:rPr>
                <w:t>reference to Exhibit 10.2 to the Registrant’s Current Report on Form 8-K filed with the Commission on September 23,</w:t>
              </w:r>
            </w:hyperlink>
          </w:p>
        </w:tc>
      </w:tr>
      <w:tr>
        <w:trPr>
          <w:trHeight w:val="196"/>
        </w:trPr>
        <w:tc>
          <w:tcPr>
            <w:tcW w:w="100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r:id="rId141">
              <w:r>
                <w:rPr>
                  <w:rFonts w:ascii="Arial" w:cs="Arial" w:eastAsia="Arial" w:hAnsi="Arial"/>
                  <w:sz w:val="18"/>
                  <w:szCs w:val="18"/>
                  <w:color w:val="0000EE"/>
                  <w:w w:val="85"/>
                </w:rPr>
                <w:t>2021).#</w:t>
              </w:r>
            </w:hyperlink>
          </w:p>
        </w:tc>
        <w:tc>
          <w:tcPr>
            <w:tcW w:w="1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83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Form of Restricted Stock Unit Grant Notice and Restricted Stock Unit Agreement under the 2021 Inducement Plan</w:t>
              </w:r>
            </w:hyperlink>
          </w:p>
        </w:tc>
        <w:tc>
          <w:tcPr>
            <w:tcW w:w="540" w:type="dxa"/>
            <w:vAlign w:val="bottom"/>
            <w:gridSpan w:val="1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68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(incorporated by reference to Exhibit 10.3 to the Registrant’s Current Report on Form 8-K filed with the Commission on</w:t>
              </w:r>
            </w:hyperlink>
          </w:p>
        </w:tc>
        <w:tc>
          <w:tcPr>
            <w:tcW w:w="18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42">
              <w:r>
                <w:rPr>
                  <w:rFonts w:ascii="Arial" w:cs="Arial" w:eastAsia="Arial" w:hAnsi="Arial"/>
                  <w:sz w:val="18"/>
                  <w:szCs w:val="18"/>
                  <w:color w:val="0000EE"/>
                  <w:w w:val="87"/>
                </w:rPr>
                <w:t>September 23, 2021).#</w:t>
              </w:r>
            </w:hyperlink>
          </w:p>
        </w:tc>
        <w:tc>
          <w:tcPr>
            <w:tcW w:w="7220" w:type="dxa"/>
            <w:vAlign w:val="bottom"/>
            <w:gridSpan w:val="36"/>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854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Form of Deferred Stock Unit Notice and Deferred Stock Unit Agreement under the Iovance Biotherapeutics, Inc. 2018</w:t>
              </w:r>
            </w:hyperlink>
          </w:p>
        </w:tc>
        <w:tc>
          <w:tcPr>
            <w:tcW w:w="320" w:type="dxa"/>
            <w:vAlign w:val="bottom"/>
            <w:gridSpan w:val="10"/>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70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Equity Incentive Plan (incorporated by reference to Exhibit 10.2 to the Registrant’s Quarterly Report on Form 10-Q filed</w:t>
              </w:r>
            </w:hyperlink>
          </w:p>
        </w:tc>
        <w:tc>
          <w:tcPr>
            <w:tcW w:w="160" w:type="dxa"/>
            <w:vAlign w:val="bottom"/>
            <w:gridSpan w:val="7"/>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60" w:type="dxa"/>
            <w:vAlign w:val="bottom"/>
            <w:gridSpan w:val="38"/>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with the Commission on August 4, 2022).#</w:t>
              </w:r>
            </w:hyperlink>
          </w:p>
        </w:tc>
      </w:tr>
      <w:tr>
        <w:trPr>
          <w:trHeight w:val="20"/>
        </w:trPr>
        <w:tc>
          <w:tcPr>
            <w:tcW w:w="1000" w:type="dxa"/>
            <w:vAlign w:val="bottom"/>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82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Patent License Agreement by and between Genesis Biopharma, Inc. and the National Institutes of Health effective</w:t>
              </w:r>
            </w:hyperlink>
          </w:p>
        </w:tc>
        <w:tc>
          <w:tcPr>
            <w:tcW w:w="640" w:type="dxa"/>
            <w:vAlign w:val="bottom"/>
            <w:gridSpan w:val="17"/>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74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October 5, 2011 (incorporated herein by reference to Exhibit 10.1 to the Registrant’s Current Report on Form 8-K/A filed</w:t>
              </w:r>
            </w:hyperlink>
          </w:p>
        </w:tc>
        <w:tc>
          <w:tcPr>
            <w:tcW w:w="12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60" w:type="dxa"/>
            <w:vAlign w:val="bottom"/>
            <w:gridSpan w:val="38"/>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with the Commission on December 13, 2011).*</w:t>
              </w:r>
            </w:hyperlink>
          </w:p>
        </w:tc>
      </w:tr>
      <w:tr>
        <w:trPr>
          <w:trHeight w:val="20"/>
        </w:trPr>
        <w:tc>
          <w:tcPr>
            <w:tcW w:w="1000" w:type="dxa"/>
            <w:vAlign w:val="bottom"/>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8860" w:type="dxa"/>
            <w:vAlign w:val="bottom"/>
            <w:gridSpan w:val="38"/>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Cooperative Research and Development Agreement for Intramural-PHS Clinical Research, dated August 5, 2011, by and</w:t>
              </w:r>
            </w:hyperlink>
          </w:p>
        </w:tc>
      </w:tr>
      <w:tr>
        <w:trPr>
          <w:trHeight w:val="20"/>
        </w:trPr>
        <w:tc>
          <w:tcPr>
            <w:tcW w:w="1000" w:type="dxa"/>
            <w:vAlign w:val="bottom"/>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780" w:type="dxa"/>
            <w:vAlign w:val="bottom"/>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820" w:type="dxa"/>
            <w:vAlign w:val="bottom"/>
            <w:tcBorders>
              <w:bottom w:val="single" w:sz="8" w:color="0000EE"/>
            </w:tcBorders>
            <w:gridSpan w:val="35"/>
          </w:tcPr>
          <w:p>
            <w:pPr>
              <w:spacing w:after="0" w:line="196" w:lineRule="exact"/>
              <w:rPr>
                <w:rFonts w:ascii="Arial" w:cs="Arial" w:eastAsia="Arial" w:hAnsi="Arial"/>
                <w:sz w:val="18"/>
                <w:szCs w:val="18"/>
                <w:color w:val="0000EE"/>
                <w:w w:val="89"/>
              </w:rPr>
            </w:pPr>
            <w:hyperlink r:id="rId145">
              <w:r>
                <w:rPr>
                  <w:rFonts w:ascii="Arial" w:cs="Arial" w:eastAsia="Arial" w:hAnsi="Arial"/>
                  <w:sz w:val="18"/>
                  <w:szCs w:val="18"/>
                  <w:color w:val="0000EE"/>
                  <w:w w:val="89"/>
                </w:rPr>
                <w:t>between the U.S. Department of Health and Human Services, as represented by the National Cancer Institute, and Genesis</w:t>
              </w:r>
            </w:hyperlink>
          </w:p>
        </w:tc>
        <w:tc>
          <w:tcPr>
            <w:tcW w:w="4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3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Biopharma, Inc. (incorporated herein by reference to Exhibit 10.1 to the Registrant’s Current Report on Form 8-K/A</w:t>
              </w:r>
            </w:hyperlink>
          </w:p>
        </w:tc>
        <w:tc>
          <w:tcPr>
            <w:tcW w:w="480" w:type="dxa"/>
            <w:vAlign w:val="bottom"/>
            <w:gridSpan w:val="1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60" w:type="dxa"/>
            <w:vAlign w:val="bottom"/>
            <w:gridSpan w:val="38"/>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(Amendment No. 2) filed with the Commission on November 29, 2011).</w:t>
              </w:r>
            </w:hyperlink>
          </w:p>
        </w:tc>
      </w:tr>
      <w:tr>
        <w:trPr>
          <w:trHeight w:val="20"/>
        </w:trPr>
        <w:tc>
          <w:tcPr>
            <w:tcW w:w="1000" w:type="dxa"/>
            <w:vAlign w:val="bottom"/>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85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Form of Director Stock Award Agreement (incorporated herein by reference to Exhibit 10.2 to the Registrant’s Current</w:t>
              </w:r>
            </w:hyperlink>
          </w:p>
        </w:tc>
        <w:tc>
          <w:tcPr>
            <w:tcW w:w="300" w:type="dxa"/>
            <w:vAlign w:val="bottom"/>
            <w:gridSpan w:val="9"/>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60" w:type="dxa"/>
            <w:vAlign w:val="bottom"/>
            <w:gridSpan w:val="38"/>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Report on Form 8-K filed with the Commission on July 25, 2013).#</w:t>
              </w:r>
            </w:hyperlink>
          </w:p>
        </w:tc>
      </w:tr>
      <w:tr>
        <w:trPr>
          <w:trHeight w:val="20"/>
        </w:trPr>
        <w:tc>
          <w:tcPr>
            <w:tcW w:w="1000" w:type="dxa"/>
            <w:vAlign w:val="bottom"/>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79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Form of Registration Rights Agreement by and among Lion Biotechnologies, Inc. and the Investors thereunder</w:t>
              </w:r>
            </w:hyperlink>
          </w:p>
        </w:tc>
        <w:tc>
          <w:tcPr>
            <w:tcW w:w="880" w:type="dxa"/>
            <w:vAlign w:val="bottom"/>
            <w:gridSpan w:val="2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60" w:type="dxa"/>
            <w:vAlign w:val="bottom"/>
            <w:gridSpan w:val="38"/>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(incorporated herein by reference to Exhibit 10.2 to the Registrant’s Current Report on Form 8-K filed with the</w:t>
              </w:r>
            </w:hyperlink>
          </w:p>
        </w:tc>
      </w:tr>
      <w:tr>
        <w:trPr>
          <w:trHeight w:val="196"/>
        </w:trPr>
        <w:tc>
          <w:tcPr>
            <w:tcW w:w="100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Commission on October 31, 2013).</w:t>
              </w:r>
            </w:hyperlink>
          </w:p>
        </w:tc>
        <w:tc>
          <w:tcPr>
            <w:tcW w:w="5440" w:type="dxa"/>
            <w:vAlign w:val="bottom"/>
            <w:tcBorders>
              <w:top w:val="single" w:sz="8" w:color="0000EE"/>
            </w:tcBorders>
            <w:gridSpan w:val="11"/>
          </w:tcPr>
          <w:p>
            <w:pPr>
              <w:spacing w:after="0"/>
              <w:rPr>
                <w:sz w:val="17"/>
                <w:szCs w:val="17"/>
                <w:color w:val="auto"/>
              </w:rPr>
            </w:pPr>
          </w:p>
        </w:tc>
        <w:tc>
          <w:tcPr>
            <w:tcW w:w="880" w:type="dxa"/>
            <w:vAlign w:val="bottom"/>
            <w:gridSpan w:val="22"/>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880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Cooperative Research and Development Agreement for the Development and Evaluation of the NCI Proprietary Adoptive</w:t>
              </w:r>
            </w:hyperlink>
          </w:p>
        </w:tc>
        <w:tc>
          <w:tcPr>
            <w:tcW w:w="6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60" w:type="dxa"/>
            <w:vAlign w:val="bottom"/>
            <w:gridSpan w:val="38"/>
          </w:tcPr>
          <w:p>
            <w:pPr>
              <w:spacing w:after="0" w:line="196" w:lineRule="exact"/>
              <w:rPr>
                <w:rFonts w:ascii="Arial" w:cs="Arial" w:eastAsia="Arial" w:hAnsi="Arial"/>
                <w:sz w:val="18"/>
                <w:szCs w:val="18"/>
                <w:color w:val="0000EE"/>
                <w:w w:val="96"/>
              </w:rPr>
            </w:pPr>
            <w:hyperlink r:id="rId148">
              <w:r>
                <w:rPr>
                  <w:rFonts w:ascii="Arial" w:cs="Arial" w:eastAsia="Arial" w:hAnsi="Arial"/>
                  <w:sz w:val="18"/>
                  <w:szCs w:val="18"/>
                  <w:color w:val="0000EE"/>
                  <w:w w:val="96"/>
                </w:rPr>
                <w:t>Cell Transfer Immunotherapy Using Tumor Infiltrating Lymphocytes in Patients with Metastatic Melanoma, Bladder,</w:t>
              </w:r>
            </w:hyperlink>
          </w:p>
        </w:tc>
      </w:tr>
      <w:tr>
        <w:trPr>
          <w:trHeight w:val="20"/>
        </w:trPr>
        <w:tc>
          <w:tcPr>
            <w:tcW w:w="1000" w:type="dxa"/>
            <w:vAlign w:val="bottom"/>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580" w:type="dxa"/>
            <w:vAlign w:val="bottom"/>
            <w:gridSpan w:val="13"/>
            <w:shd w:val="clear" w:color="auto" w:fill="0000EE"/>
          </w:tcPr>
          <w:p>
            <w:pPr>
              <w:spacing w:after="0" w:line="20" w:lineRule="exact"/>
              <w:rPr>
                <w:sz w:val="1"/>
                <w:szCs w:val="1"/>
                <w:color w:val="auto"/>
              </w:rPr>
            </w:pPr>
          </w:p>
        </w:tc>
        <w:tc>
          <w:tcPr>
            <w:tcW w:w="260" w:type="dxa"/>
            <w:vAlign w:val="bottom"/>
            <w:gridSpan w:val="7"/>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860" w:type="dxa"/>
            <w:vAlign w:val="bottom"/>
            <w:gridSpan w:val="38"/>
          </w:tcPr>
          <w:p>
            <w:pPr>
              <w:spacing w:after="0" w:line="196"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Lung, Triple-negative Breast, and HPV-associated Cancers, Utilizing Lion Biotechnologies, Inc.’s Business Development</w:t>
              </w:r>
            </w:hyperlink>
          </w:p>
        </w:tc>
      </w:tr>
      <w:tr>
        <w:trPr>
          <w:trHeight w:val="196"/>
        </w:trPr>
        <w:tc>
          <w:tcPr>
            <w:tcW w:w="1000" w:type="dxa"/>
            <w:vAlign w:val="bottom"/>
          </w:tcPr>
          <w:p>
            <w:pPr>
              <w:spacing w:after="0"/>
              <w:rPr>
                <w:sz w:val="17"/>
                <w:szCs w:val="17"/>
                <w:color w:val="auto"/>
              </w:rPr>
            </w:pPr>
          </w:p>
        </w:tc>
        <w:tc>
          <w:tcPr>
            <w:tcW w:w="81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Expertise in Adoptive Cell Transfer Immunotherapy, executed by Lion Biotechnologies, Inc. on January 22, 2015</w:t>
              </w:r>
            </w:hyperlink>
          </w:p>
        </w:tc>
        <w:tc>
          <w:tcPr>
            <w:tcW w:w="560" w:type="dxa"/>
            <w:vAlign w:val="bottom"/>
            <w:tcBorders>
              <w:top w:val="single" w:sz="8" w:color="0000EE"/>
            </w:tcBorders>
            <w:gridSpan w:val="13"/>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60" w:type="dxa"/>
            <w:vAlign w:val="bottom"/>
            <w:gridSpan w:val="38"/>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(incorporated herein by reference to Exhibit 10.1 to the Registrant’s Current Report on Form 8-K filed with the</w:t>
              </w:r>
            </w:hyperlink>
          </w:p>
        </w:tc>
      </w:tr>
      <w:tr>
        <w:trPr>
          <w:trHeight w:val="196"/>
        </w:trPr>
        <w:tc>
          <w:tcPr>
            <w:tcW w:w="1000" w:type="dxa"/>
            <w:vAlign w:val="bottom"/>
          </w:tcPr>
          <w:p>
            <w:pPr>
              <w:spacing w:after="0"/>
              <w:rPr>
                <w:sz w:val="17"/>
                <w:szCs w:val="17"/>
                <w:color w:val="auto"/>
              </w:rPr>
            </w:pPr>
          </w:p>
        </w:tc>
        <w:tc>
          <w:tcPr>
            <w:tcW w:w="79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Commission on January 27, 2015).*</w:t>
              </w:r>
            </w:hyperlink>
          </w:p>
        </w:tc>
        <w:tc>
          <w:tcPr>
            <w:tcW w:w="880" w:type="dxa"/>
            <w:vAlign w:val="bottom"/>
            <w:gridSpan w:val="22"/>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180" w:type="dxa"/>
            <w:vAlign w:val="bottom"/>
            <w:gridSpan w:val="27"/>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878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Patent License Agreement, dated February 9, 2015, by and between Lion Biotechnologies, Inc. and the National Institutes</w:t>
              </w:r>
            </w:hyperlink>
          </w:p>
        </w:tc>
        <w:tc>
          <w:tcPr>
            <w:tcW w:w="80" w:type="dxa"/>
            <w:vAlign w:val="bottom"/>
            <w:gridSpan w:val="5"/>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60" w:type="dxa"/>
            <w:vAlign w:val="bottom"/>
            <w:tcBorders>
              <w:bottom w:val="single" w:sz="8" w:color="0000EE"/>
            </w:tcBorders>
            <w:gridSpan w:val="38"/>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of Health (incorporated herein by reference to Exhibit 10.47 to the Registrant’s Annual Report on Form 10 K filed with the</w:t>
              </w:r>
            </w:hyperlink>
          </w:p>
        </w:tc>
      </w:tr>
      <w:tr>
        <w:trPr>
          <w:trHeight w:val="196"/>
        </w:trPr>
        <w:tc>
          <w:tcPr>
            <w:tcW w:w="1000" w:type="dxa"/>
            <w:vAlign w:val="bottom"/>
          </w:tcPr>
          <w:p>
            <w:pPr>
              <w:spacing w:after="0"/>
              <w:rPr>
                <w:sz w:val="17"/>
                <w:szCs w:val="17"/>
                <w:color w:val="auto"/>
              </w:rPr>
            </w:pPr>
          </w:p>
        </w:tc>
        <w:tc>
          <w:tcPr>
            <w:tcW w:w="25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Commission on March 16, 2015).*</w:t>
              </w:r>
            </w:hyperlink>
          </w:p>
        </w:tc>
        <w:tc>
          <w:tcPr>
            <w:tcW w:w="6340" w:type="dxa"/>
            <w:vAlign w:val="bottom"/>
            <w:gridSpan w:val="34"/>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8860" w:type="dxa"/>
            <w:vAlign w:val="bottom"/>
            <w:tcBorders>
              <w:bottom w:val="single" w:sz="8" w:color="0000EE"/>
            </w:tcBorders>
            <w:gridSpan w:val="38"/>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Patent License Agreement, dated February 10, 2015, by and between Lion Biotechnologies, Inc. and the National Institutes</w:t>
              </w:r>
            </w:hyperlink>
          </w:p>
        </w:tc>
      </w:tr>
      <w:tr>
        <w:trPr>
          <w:trHeight w:val="196"/>
        </w:trPr>
        <w:tc>
          <w:tcPr>
            <w:tcW w:w="1000" w:type="dxa"/>
            <w:vAlign w:val="bottom"/>
          </w:tcPr>
          <w:p>
            <w:pPr>
              <w:spacing w:after="0"/>
              <w:rPr>
                <w:sz w:val="17"/>
                <w:szCs w:val="17"/>
                <w:color w:val="auto"/>
              </w:rPr>
            </w:pPr>
          </w:p>
        </w:tc>
        <w:tc>
          <w:tcPr>
            <w:tcW w:w="8860" w:type="dxa"/>
            <w:vAlign w:val="bottom"/>
            <w:tcBorders>
              <w:bottom w:val="single" w:sz="8" w:color="0000EE"/>
            </w:tcBorders>
            <w:gridSpan w:val="38"/>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of Health (incorporated herein by reference to Exhibit 10.46 to the Registrant’s Annual Report on Form 10-K filed with the</w:t>
              </w:r>
            </w:hyperlink>
          </w:p>
        </w:tc>
      </w:tr>
      <w:tr>
        <w:trPr>
          <w:trHeight w:val="196"/>
        </w:trPr>
        <w:tc>
          <w:tcPr>
            <w:tcW w:w="1000" w:type="dxa"/>
            <w:vAlign w:val="bottom"/>
          </w:tcPr>
          <w:p>
            <w:pPr>
              <w:spacing w:after="0"/>
              <w:rPr>
                <w:sz w:val="17"/>
                <w:szCs w:val="17"/>
                <w:color w:val="auto"/>
              </w:rPr>
            </w:pPr>
          </w:p>
        </w:tc>
        <w:tc>
          <w:tcPr>
            <w:tcW w:w="25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Commission on March 16, 2015).*</w:t>
              </w:r>
            </w:hyperlink>
          </w:p>
        </w:tc>
        <w:tc>
          <w:tcPr>
            <w:tcW w:w="6340" w:type="dxa"/>
            <w:vAlign w:val="bottom"/>
            <w:gridSpan w:val="34"/>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860"/>
          </w:cols>
          <w:pgMar w:left="980" w:top="665" w:right="1059" w:bottom="1440" w:gutter="0" w:footer="0" w:header="0"/>
        </w:sect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right="80" w:hanging="985"/>
        <w:spacing w:after="0" w:line="255"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52">
        <w:r>
          <w:rPr>
            <w:rFonts w:ascii="Arial" w:cs="Arial" w:eastAsia="Arial" w:hAnsi="Arial"/>
            <w:sz w:val="18"/>
            <w:szCs w:val="18"/>
            <w:u w:val="single" w:color="auto"/>
            <w:color w:val="0000EE"/>
          </w:rPr>
          <w:t>First Amendment to Patent License Agreement, effective October 2, 2015, by and between Lion Biotechnologies, Inc. and</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the National Institutes of Health (incorporated herein by reference to Exhibit 10.47 to the Registrant’s Quarterly Report on</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Form 10-Q filed with the Commission on November 6, 2015).*</w:t>
        </w:r>
      </w:hyperlink>
    </w:p>
    <w:p>
      <w:pPr>
        <w:spacing w:after="0" w:line="3" w:lineRule="exact"/>
        <w:rPr>
          <w:rFonts w:ascii="Arial" w:cs="Arial" w:eastAsia="Arial" w:hAnsi="Arial"/>
          <w:sz w:val="18"/>
          <w:szCs w:val="18"/>
          <w:u w:val="single" w:color="auto"/>
          <w:color w:val="0000EE"/>
        </w:rPr>
      </w:pPr>
    </w:p>
    <w:p>
      <w:pPr>
        <w:ind w:left="1000" w:right="26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53">
        <w:r>
          <w:rPr>
            <w:rFonts w:ascii="Arial" w:cs="Arial" w:eastAsia="Arial" w:hAnsi="Arial"/>
            <w:sz w:val="18"/>
            <w:szCs w:val="18"/>
            <w:u w:val="single" w:color="auto"/>
            <w:color w:val="0000EE"/>
          </w:rPr>
          <w:t>Amended and Restated Patent License Agreement, by and between Iovance Biotherapeutics, Inc. and the National</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Institutes of Health (incorporated herein by reference to Exhibit 10.1 to the Registrant’s Quarterly Report on Form 10 Q</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filed with the Commission on August 5, 2021).*</w:t>
        </w:r>
      </w:hyperlink>
    </w:p>
    <w:p>
      <w:pPr>
        <w:spacing w:after="0" w:line="1" w:lineRule="exact"/>
        <w:rPr>
          <w:rFonts w:ascii="Arial" w:cs="Arial" w:eastAsia="Arial" w:hAnsi="Arial"/>
          <w:sz w:val="18"/>
          <w:szCs w:val="18"/>
          <w:u w:val="single" w:color="auto"/>
          <w:color w:val="0000EE"/>
        </w:rPr>
      </w:pPr>
    </w:p>
    <w:p>
      <w:pPr>
        <w:ind w:left="1000" w:right="8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54">
        <w:r>
          <w:rPr>
            <w:rFonts w:ascii="Arial" w:cs="Arial" w:eastAsia="Arial" w:hAnsi="Arial"/>
            <w:sz w:val="18"/>
            <w:szCs w:val="18"/>
            <w:u w:val="single" w:color="auto"/>
            <w:color w:val="0000EE"/>
          </w:rPr>
          <w:t>Form of Securities Purchase Agreement, dated June 2, 2016, by and among Lion Biotechnologies, Inc. and the Investors</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thereunder (incorporated herein by reference to Exhibit 10.1 to the Registrant’s Current Report on Form 8-K filed with the</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Commission on June 3, 2016).</w:t>
        </w:r>
      </w:hyperlink>
    </w:p>
    <w:p>
      <w:pPr>
        <w:spacing w:after="0" w:line="1" w:lineRule="exact"/>
        <w:rPr>
          <w:rFonts w:ascii="Arial" w:cs="Arial" w:eastAsia="Arial" w:hAnsi="Arial"/>
          <w:sz w:val="18"/>
          <w:szCs w:val="18"/>
          <w:u w:val="single" w:color="auto"/>
          <w:color w:val="0000EE"/>
        </w:rPr>
      </w:pPr>
    </w:p>
    <w:p>
      <w:pPr>
        <w:ind w:left="1000" w:right="8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155">
        <w:r>
          <w:rPr>
            <w:rFonts w:ascii="Arial" w:cs="Arial" w:eastAsia="Arial" w:hAnsi="Arial"/>
            <w:sz w:val="18"/>
            <w:szCs w:val="18"/>
            <w:u w:val="single" w:color="auto"/>
            <w:color w:val="0000EE"/>
          </w:rPr>
          <w:t>Form of Registration Rights Agreement, dated June 2, 2016, by and among Lion Biotechnologies, Inc. and the Investors</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thereunder (incorporated herein by reference to Exhibit 10.2 to the Registrant’s Current Report on Form 8-K filed with the</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Commission on June 3, 2016).</w:t>
        </w:r>
      </w:hyperlink>
    </w:p>
    <w:p>
      <w:pPr>
        <w:spacing w:after="0" w:line="1" w:lineRule="exact"/>
        <w:rPr>
          <w:rFonts w:ascii="Arial" w:cs="Arial" w:eastAsia="Arial" w:hAnsi="Arial"/>
          <w:sz w:val="18"/>
          <w:szCs w:val="18"/>
          <w:u w:val="single" w:color="auto"/>
          <w:color w:val="0000EE"/>
        </w:rPr>
      </w:pPr>
    </w:p>
    <w:p>
      <w:pPr>
        <w:ind w:left="1000" w:hanging="985"/>
        <w:spacing w:after="0" w:line="281" w:lineRule="auto"/>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10.28</w:t>
      </w:r>
      <w:r>
        <w:rPr>
          <w:sz w:val="20"/>
          <w:szCs w:val="20"/>
          <w:color w:val="auto"/>
        </w:rPr>
        <w:tab/>
      </w:r>
      <w:hyperlink r:id="rId156">
        <w:r>
          <w:rPr>
            <w:rFonts w:ascii="Arial" w:cs="Arial" w:eastAsia="Arial" w:hAnsi="Arial"/>
            <w:sz w:val="16"/>
            <w:szCs w:val="16"/>
            <w:u w:val="single" w:color="auto"/>
            <w:color w:val="0000EE"/>
          </w:rPr>
          <w:t>Amendment #2 to the Cooperative Research and Development Agreement #02734, dated August 18, 2016, by and between</w:t>
        </w:r>
      </w:hyperlink>
      <w:r>
        <w:rPr>
          <w:rFonts w:ascii="Arial" w:cs="Arial" w:eastAsia="Arial" w:hAnsi="Arial"/>
          <w:sz w:val="16"/>
          <w:szCs w:val="16"/>
          <w:u w:val="single" w:color="auto"/>
          <w:color w:val="0000EE"/>
        </w:rPr>
        <w:t xml:space="preserve"> </w:t>
      </w:r>
      <w:hyperlink r:id="rId156">
        <w:r>
          <w:rPr>
            <w:rFonts w:ascii="Arial" w:cs="Arial" w:eastAsia="Arial" w:hAnsi="Arial"/>
            <w:sz w:val="16"/>
            <w:szCs w:val="16"/>
            <w:u w:val="single" w:color="auto"/>
            <w:color w:val="0000EE"/>
          </w:rPr>
          <w:t>the National Cancer Institute and Lion Biotechnologies, Inc. (incorporated herein by reference to Exhibit 10.3 to</w:t>
        </w:r>
      </w:hyperlink>
      <w:r>
        <w:rPr>
          <w:rFonts w:ascii="Arial" w:cs="Arial" w:eastAsia="Arial" w:hAnsi="Arial"/>
          <w:sz w:val="16"/>
          <w:szCs w:val="16"/>
          <w:u w:val="single" w:color="auto"/>
          <w:color w:val="0000EE"/>
        </w:rPr>
        <w:t xml:space="preserve"> </w:t>
      </w:r>
      <w:hyperlink r:id="rId156">
        <w:r>
          <w:rPr>
            <w:rFonts w:ascii="Arial" w:cs="Arial" w:eastAsia="Arial" w:hAnsi="Arial"/>
            <w:sz w:val="16"/>
            <w:szCs w:val="16"/>
            <w:u w:val="single" w:color="auto"/>
            <w:color w:val="0000EE"/>
          </w:rPr>
          <w:t>Amendment No. 2 to Registrant’s Registration Statement on Form S 1 filed with the Commission on August 31, 2016).</w:t>
        </w:r>
      </w:hyperlink>
    </w:p>
    <w:p>
      <w:pPr>
        <w:spacing w:after="0" w:line="2" w:lineRule="exact"/>
        <w:rPr>
          <w:rFonts w:ascii="Arial" w:cs="Arial" w:eastAsia="Arial" w:hAnsi="Arial"/>
          <w:sz w:val="16"/>
          <w:szCs w:val="16"/>
          <w:u w:val="single" w:color="auto"/>
          <w:color w:val="0000EE"/>
        </w:rPr>
      </w:pPr>
    </w:p>
    <w:p>
      <w:pPr>
        <w:jc w:val="both"/>
        <w:ind w:left="1000" w:right="8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57">
        <w:r>
          <w:rPr>
            <w:rFonts w:ascii="Arial" w:cs="Arial" w:eastAsia="Arial" w:hAnsi="Arial"/>
            <w:sz w:val="18"/>
            <w:szCs w:val="18"/>
            <w:u w:val="single" w:color="auto"/>
            <w:color w:val="0000EE"/>
          </w:rPr>
          <w:t>Manufacturing Services Agreement, dated November 23, 2015, by and between WuXi Advanced Therapies, Inc. and Lion</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Biotechnologies, Inc. (incorporated herein by reference to Exhibit 10.36 to the Registrant’s Annual Report on Form 10-K</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filed with the Commission on March 9, 2017).*</w:t>
        </w:r>
      </w:hyperlink>
    </w:p>
    <w:p>
      <w:pPr>
        <w:spacing w:after="0" w:line="1" w:lineRule="exact"/>
        <w:rPr>
          <w:rFonts w:ascii="Arial" w:cs="Arial" w:eastAsia="Arial" w:hAnsi="Arial"/>
          <w:sz w:val="18"/>
          <w:szCs w:val="18"/>
          <w:u w:val="single" w:color="auto"/>
          <w:color w:val="0000EE"/>
        </w:rPr>
      </w:pPr>
    </w:p>
    <w:p>
      <w:pPr>
        <w:ind w:left="1000" w:right="4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158">
        <w:r>
          <w:rPr>
            <w:rFonts w:ascii="Arial" w:cs="Arial" w:eastAsia="Arial" w:hAnsi="Arial"/>
            <w:sz w:val="18"/>
            <w:szCs w:val="18"/>
            <w:u w:val="single" w:color="auto"/>
            <w:color w:val="0000EE"/>
          </w:rPr>
          <w:t>Strategic Alliance Agreement, effective as of April 17, 2017, between Lion Biotechnologies, Inc. and The University of</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Texas M.D. Anderson Cancer Center (incorporated herein by reference to Exhibit 10.1 to the Registrant’s Quarterly Report</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on Form 10 Q filed with the Commission on August 3, 2017).*</w:t>
        </w:r>
      </w:hyperlink>
    </w:p>
    <w:p>
      <w:pPr>
        <w:spacing w:after="0" w:line="1" w:lineRule="exact"/>
        <w:rPr>
          <w:rFonts w:ascii="Arial" w:cs="Arial" w:eastAsia="Arial" w:hAnsi="Arial"/>
          <w:sz w:val="18"/>
          <w:szCs w:val="18"/>
          <w:u w:val="single" w:color="auto"/>
          <w:color w:val="0000EE"/>
        </w:rPr>
      </w:pPr>
    </w:p>
    <w:p>
      <w:pPr>
        <w:ind w:left="1000" w:right="40" w:hanging="985"/>
        <w:spacing w:after="0" w:line="265" w:lineRule="auto"/>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10.31</w:t>
      </w:r>
      <w:r>
        <w:rPr>
          <w:sz w:val="20"/>
          <w:szCs w:val="20"/>
          <w:color w:val="auto"/>
        </w:rPr>
        <w:tab/>
      </w:r>
      <w:hyperlink r:id="rId159">
        <w:r>
          <w:rPr>
            <w:rFonts w:ascii="Arial" w:cs="Arial" w:eastAsia="Arial" w:hAnsi="Arial"/>
            <w:sz w:val="17"/>
            <w:szCs w:val="17"/>
            <w:u w:val="single" w:color="auto"/>
            <w:color w:val="0000EE"/>
          </w:rPr>
          <w:t>First Amendment to the Strategic Alliance Agreement by and between Iovance Biotherapeutics, Inc. and The University of</w:t>
        </w:r>
      </w:hyperlink>
      <w:r>
        <w:rPr>
          <w:rFonts w:ascii="Arial" w:cs="Arial" w:eastAsia="Arial" w:hAnsi="Arial"/>
          <w:sz w:val="17"/>
          <w:szCs w:val="17"/>
          <w:u w:val="single" w:color="auto"/>
          <w:color w:val="0000EE"/>
        </w:rPr>
        <w:t xml:space="preserve"> </w:t>
      </w:r>
      <w:hyperlink r:id="rId159">
        <w:r>
          <w:rPr>
            <w:rFonts w:ascii="Arial" w:cs="Arial" w:eastAsia="Arial" w:hAnsi="Arial"/>
            <w:sz w:val="17"/>
            <w:szCs w:val="17"/>
            <w:u w:val="single" w:color="auto"/>
            <w:color w:val="0000EE"/>
          </w:rPr>
          <w:t>Texas M.D. Anderson Cancer Center, effective as of August 2, 2017 (incorporated herein by reference to Exhibit 10.34 to</w:t>
        </w:r>
      </w:hyperlink>
      <w:r>
        <w:rPr>
          <w:rFonts w:ascii="Arial" w:cs="Arial" w:eastAsia="Arial" w:hAnsi="Arial"/>
          <w:sz w:val="17"/>
          <w:szCs w:val="17"/>
          <w:u w:val="single" w:color="auto"/>
          <w:color w:val="0000EE"/>
        </w:rPr>
        <w:t xml:space="preserve"> </w:t>
      </w:r>
      <w:hyperlink r:id="rId159">
        <w:r>
          <w:rPr>
            <w:rFonts w:ascii="Arial" w:cs="Arial" w:eastAsia="Arial" w:hAnsi="Arial"/>
            <w:sz w:val="17"/>
            <w:szCs w:val="17"/>
            <w:u w:val="single" w:color="auto"/>
            <w:color w:val="0000EE"/>
          </w:rPr>
          <w:t>the Registrant’s Annual Report on Form 10-K filed with the Commission on March 12, 2018).</w:t>
        </w:r>
      </w:hyperlink>
    </w:p>
    <w:p>
      <w:pPr>
        <w:jc w:val="both"/>
        <w:ind w:left="1000" w:right="20" w:hanging="985"/>
        <w:spacing w:after="0" w:line="265" w:lineRule="auto"/>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10.32</w:t>
      </w:r>
      <w:r>
        <w:rPr>
          <w:sz w:val="20"/>
          <w:szCs w:val="20"/>
          <w:color w:val="auto"/>
        </w:rPr>
        <w:tab/>
      </w:r>
      <w:hyperlink r:id="rId160">
        <w:r>
          <w:rPr>
            <w:rFonts w:ascii="Arial" w:cs="Arial" w:eastAsia="Arial" w:hAnsi="Arial"/>
            <w:sz w:val="17"/>
            <w:szCs w:val="17"/>
            <w:u w:val="single" w:color="auto"/>
            <w:color w:val="0000EE"/>
          </w:rPr>
          <w:t>Second Amendment to the Strategic Alliance Agreement by and between Iovance Biotherapeutics, Inc. and The University</w:t>
        </w:r>
      </w:hyperlink>
      <w:r>
        <w:rPr>
          <w:rFonts w:ascii="Arial" w:cs="Arial" w:eastAsia="Arial" w:hAnsi="Arial"/>
          <w:sz w:val="17"/>
          <w:szCs w:val="17"/>
          <w:u w:val="single" w:color="auto"/>
          <w:color w:val="0000EE"/>
        </w:rPr>
        <w:t xml:space="preserve"> </w:t>
      </w:r>
      <w:hyperlink r:id="rId160">
        <w:r>
          <w:rPr>
            <w:rFonts w:ascii="Arial" w:cs="Arial" w:eastAsia="Arial" w:hAnsi="Arial"/>
            <w:sz w:val="17"/>
            <w:szCs w:val="17"/>
            <w:u w:val="single" w:color="auto"/>
            <w:color w:val="0000EE"/>
          </w:rPr>
          <w:t>of Texas M.D. Anderson Cancer Center, effective February 16, 2018 (incorporated herein by reference to Exhibit 10.35 to</w:t>
        </w:r>
      </w:hyperlink>
      <w:r>
        <w:rPr>
          <w:rFonts w:ascii="Arial" w:cs="Arial" w:eastAsia="Arial" w:hAnsi="Arial"/>
          <w:sz w:val="17"/>
          <w:szCs w:val="17"/>
          <w:u w:val="single" w:color="auto"/>
          <w:color w:val="0000EE"/>
        </w:rPr>
        <w:t xml:space="preserve"> </w:t>
      </w:r>
      <w:hyperlink r:id="rId160">
        <w:r>
          <w:rPr>
            <w:rFonts w:ascii="Arial" w:cs="Arial" w:eastAsia="Arial" w:hAnsi="Arial"/>
            <w:sz w:val="17"/>
            <w:szCs w:val="17"/>
            <w:u w:val="single" w:color="auto"/>
            <w:color w:val="0000EE"/>
          </w:rPr>
          <w:t>the Registrant’s Annual Report on Form 10-K filed with the Commission on March 12, 2018).</w:t>
        </w:r>
      </w:hyperlink>
    </w:p>
    <w:p>
      <w:pPr>
        <w:ind w:left="1000" w:right="14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161">
        <w:r>
          <w:rPr>
            <w:rFonts w:ascii="Arial" w:cs="Arial" w:eastAsia="Arial" w:hAnsi="Arial"/>
            <w:sz w:val="18"/>
            <w:szCs w:val="18"/>
            <w:u w:val="single" w:color="auto"/>
            <w:color w:val="0000EE"/>
          </w:rPr>
          <w:t>Executive Employment Agreement, effective as of June 1, 2016, by and between Maria Fardis and Lion Biotechnologies,</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Inc. (incorporated herein by reference to Exhibit 10.3 of the Registrant’s Quarterly Report on Form 10 Q filed with the</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Commission on August 9, 2016).*#</w:t>
        </w:r>
      </w:hyperlink>
    </w:p>
    <w:p>
      <w:pPr>
        <w:spacing w:after="0" w:line="1" w:lineRule="exact"/>
        <w:rPr>
          <w:rFonts w:ascii="Arial" w:cs="Arial" w:eastAsia="Arial" w:hAnsi="Arial"/>
          <w:sz w:val="18"/>
          <w:szCs w:val="18"/>
          <w:u w:val="single" w:color="auto"/>
          <w:color w:val="0000EE"/>
        </w:rPr>
      </w:pPr>
    </w:p>
    <w:p>
      <w:pPr>
        <w:ind w:left="1000" w:right="10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162">
        <w:r>
          <w:rPr>
            <w:rFonts w:ascii="Arial" w:cs="Arial" w:eastAsia="Arial" w:hAnsi="Arial"/>
            <w:sz w:val="18"/>
            <w:szCs w:val="18"/>
            <w:u w:val="single" w:color="auto"/>
            <w:color w:val="0000EE"/>
          </w:rPr>
          <w:t>Severance Agreement and General Release, effective as of July 8, 2020, between Iovance Biotherapeutics, Inc. and</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Timothy Morris (incorporated herein by reference to Exhibit 10.4 to the Registrant’s Quarterly Report on Form 10-Q filed</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with the Commission on August 6, 2020).*#</w:t>
        </w:r>
      </w:hyperlink>
    </w:p>
    <w:p>
      <w:pPr>
        <w:spacing w:after="0" w:line="1" w:lineRule="exact"/>
        <w:rPr>
          <w:rFonts w:ascii="Arial" w:cs="Arial" w:eastAsia="Arial" w:hAnsi="Arial"/>
          <w:sz w:val="18"/>
          <w:szCs w:val="18"/>
          <w:u w:val="single" w:color="auto"/>
          <w:color w:val="0000EE"/>
        </w:rPr>
      </w:pPr>
    </w:p>
    <w:p>
      <w:pPr>
        <w:ind w:left="1000" w:right="18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163">
        <w:r>
          <w:rPr>
            <w:rFonts w:ascii="Arial" w:cs="Arial" w:eastAsia="Arial" w:hAnsi="Arial"/>
            <w:sz w:val="18"/>
            <w:szCs w:val="18"/>
            <w:u w:val="single" w:color="auto"/>
            <w:color w:val="0000EE"/>
          </w:rPr>
          <w:t>Executive Employment Agreement, effective as of September 30, 2016, by and between Frederick G. Vogt and Lion</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Biotechnologies, Inc. (incorporated herein by reference to Exhibit 10.32 to the Registrant’s Annual Report on Form 10 K</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filed with the Commission on March 12, 2018).#</w:t>
        </w:r>
      </w:hyperlink>
    </w:p>
    <w:p>
      <w:pPr>
        <w:spacing w:after="0" w:line="1" w:lineRule="exact"/>
        <w:rPr>
          <w:rFonts w:ascii="Arial" w:cs="Arial" w:eastAsia="Arial" w:hAnsi="Arial"/>
          <w:sz w:val="18"/>
          <w:szCs w:val="18"/>
          <w:u w:val="single" w:color="auto"/>
          <w:color w:val="0000EE"/>
        </w:rPr>
      </w:pPr>
    </w:p>
    <w:p>
      <w:pPr>
        <w:ind w:left="1000" w:right="10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10.36</w:t>
      </w:r>
      <w:r>
        <w:rPr>
          <w:sz w:val="20"/>
          <w:szCs w:val="20"/>
          <w:color w:val="auto"/>
        </w:rPr>
        <w:tab/>
      </w:r>
      <w:hyperlink r:id="rId164">
        <w:r>
          <w:rPr>
            <w:rFonts w:ascii="Arial" w:cs="Arial" w:eastAsia="Arial" w:hAnsi="Arial"/>
            <w:sz w:val="18"/>
            <w:szCs w:val="18"/>
            <w:u w:val="single" w:color="auto"/>
            <w:color w:val="0000EE"/>
          </w:rPr>
          <w:t>Executive Employment Agreement effective as of July 18, 2019, by and between Friedrich-Reinhard Graf Finck von</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Finckenstein, M.D. and Iovance Biotherapeutics, Inc. (incorporated herein by reference to Exhibit 10.1 of the Registrant’s</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Quarterly Report on Form 10-Q filed with the Commission on August 1, 2019).</w:t>
        </w:r>
      </w:hyperlink>
    </w:p>
    <w:p>
      <w:pPr>
        <w:spacing w:after="0" w:line="1" w:lineRule="exact"/>
        <w:rPr>
          <w:rFonts w:ascii="Arial" w:cs="Arial" w:eastAsia="Arial" w:hAnsi="Arial"/>
          <w:sz w:val="18"/>
          <w:szCs w:val="18"/>
          <w:u w:val="single" w:color="auto"/>
          <w:color w:val="0000EE"/>
        </w:rPr>
      </w:pPr>
    </w:p>
    <w:p>
      <w:pPr>
        <w:jc w:val="both"/>
        <w:ind w:left="1000" w:right="14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10.37</w:t>
      </w:r>
      <w:r>
        <w:rPr>
          <w:sz w:val="20"/>
          <w:szCs w:val="20"/>
          <w:color w:val="auto"/>
        </w:rPr>
        <w:tab/>
      </w:r>
      <w:hyperlink r:id="rId165">
        <w:r>
          <w:rPr>
            <w:rFonts w:ascii="Arial" w:cs="Arial" w:eastAsia="Arial" w:hAnsi="Arial"/>
            <w:sz w:val="18"/>
            <w:szCs w:val="18"/>
            <w:u w:val="single" w:color="auto"/>
            <w:color w:val="0000EE"/>
          </w:rPr>
          <w:t>Executive Employment Agreement, effective as of December 14, 2020, by and between Jean-Marc Bellemin and Iovance</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Biotherapeutics, Inc. (incorporated herein by reference to Exhibit 10.30 of the Registrant’s Annual Report on Form 10-K</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filed with the Commission on February 25, 2021).#+</w:t>
        </w:r>
      </w:hyperlink>
    </w:p>
    <w:p>
      <w:pPr>
        <w:spacing w:after="0" w:line="1" w:lineRule="exact"/>
        <w:rPr>
          <w:rFonts w:ascii="Arial" w:cs="Arial" w:eastAsia="Arial" w:hAnsi="Arial"/>
          <w:sz w:val="18"/>
          <w:szCs w:val="18"/>
          <w:u w:val="single" w:color="auto"/>
          <w:color w:val="0000EE"/>
        </w:rPr>
      </w:pPr>
    </w:p>
    <w:p>
      <w:pPr>
        <w:ind w:left="1000" w:right="26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10.38</w:t>
      </w:r>
      <w:r>
        <w:rPr>
          <w:sz w:val="20"/>
          <w:szCs w:val="20"/>
          <w:color w:val="auto"/>
        </w:rPr>
        <w:tab/>
      </w:r>
      <w:hyperlink r:id="rId166">
        <w:r>
          <w:rPr>
            <w:rFonts w:ascii="Arial" w:cs="Arial" w:eastAsia="Arial" w:hAnsi="Arial"/>
            <w:sz w:val="18"/>
            <w:szCs w:val="18"/>
            <w:u w:val="single" w:color="auto"/>
            <w:color w:val="0000EE"/>
          </w:rPr>
          <w:t>Executive Employment Agreement, effective as of March 15, 2021, by and between Igor Bilinsky, Ph.D. and Iovance</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Biotherapeutics, Inc. (incorporated herein by reference to Exhibit 10.4 of the Registrant’s Current Report on Form 10-K</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filed with the Commission on May 6, 2021).#+</w:t>
        </w:r>
      </w:hyperlink>
    </w:p>
    <w:p>
      <w:pPr>
        <w:spacing w:after="0" w:line="1" w:lineRule="exact"/>
        <w:rPr>
          <w:rFonts w:ascii="Arial" w:cs="Arial" w:eastAsia="Arial" w:hAnsi="Arial"/>
          <w:sz w:val="18"/>
          <w:szCs w:val="18"/>
          <w:u w:val="single" w:color="auto"/>
          <w:color w:val="0000EE"/>
        </w:rPr>
      </w:pPr>
    </w:p>
    <w:p>
      <w:pPr>
        <w:ind w:left="1000" w:right="30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10.39</w:t>
      </w:r>
      <w:r>
        <w:rPr>
          <w:sz w:val="20"/>
          <w:szCs w:val="20"/>
          <w:color w:val="auto"/>
        </w:rPr>
        <w:tab/>
      </w:r>
      <w:hyperlink r:id="rId167">
        <w:r>
          <w:rPr>
            <w:rFonts w:ascii="Arial" w:cs="Arial" w:eastAsia="Arial" w:hAnsi="Arial"/>
            <w:sz w:val="18"/>
            <w:szCs w:val="18"/>
            <w:u w:val="single" w:color="auto"/>
            <w:color w:val="0000EE"/>
          </w:rPr>
          <w:t>Office Lease, effective as of August 4, 2016, by and between Lion Biotechnologies, Inc. and Hudson Skyway Landing,</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LLC (incorporated herein by reference to Exhibit 10.1 of the Registrant’s Current Report on Form 8 K filed with the</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Commission on August 8, 2016).</w:t>
        </w:r>
      </w:hyperlink>
    </w:p>
    <w:p>
      <w:pPr>
        <w:spacing w:after="0" w:line="1" w:lineRule="exact"/>
        <w:rPr>
          <w:rFonts w:ascii="Arial" w:cs="Arial" w:eastAsia="Arial" w:hAnsi="Arial"/>
          <w:sz w:val="18"/>
          <w:szCs w:val="18"/>
          <w:u w:val="single" w:color="auto"/>
          <w:color w:val="0000EE"/>
        </w:rPr>
      </w:pPr>
    </w:p>
    <w:p>
      <w:pPr>
        <w:ind w:left="1000" w:right="10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10.40</w:t>
      </w:r>
      <w:r>
        <w:rPr>
          <w:sz w:val="20"/>
          <w:szCs w:val="20"/>
          <w:color w:val="auto"/>
        </w:rPr>
        <w:tab/>
      </w:r>
      <w:hyperlink r:id="rId168">
        <w:r>
          <w:rPr>
            <w:rFonts w:ascii="Arial" w:cs="Arial" w:eastAsia="Arial" w:hAnsi="Arial"/>
            <w:sz w:val="18"/>
            <w:szCs w:val="18"/>
            <w:u w:val="single" w:color="auto"/>
            <w:color w:val="0000EE"/>
          </w:rPr>
          <w:t>Office Lease, effective as of October 19, 2018, by and between Iovance Biotechnologies, Inc. and Hudson Skyway</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Landing, LLC (incorporated herein by reference to Exhibit 10.1 to the Registrant’s Current Report on Form 8 K filed with</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the Commission on October 25, 2018).</w:t>
        </w:r>
      </w:hyperlink>
    </w:p>
    <w:p>
      <w:pPr>
        <w:spacing w:after="0" w:line="1" w:lineRule="exact"/>
        <w:rPr>
          <w:rFonts w:ascii="Arial" w:cs="Arial" w:eastAsia="Arial" w:hAnsi="Arial"/>
          <w:sz w:val="18"/>
          <w:szCs w:val="18"/>
          <w:u w:val="single" w:color="auto"/>
          <w:color w:val="0000EE"/>
        </w:rPr>
      </w:pPr>
    </w:p>
    <w:p>
      <w:pPr>
        <w:ind w:left="1000" w:right="80" w:hanging="985"/>
        <w:spacing w:after="0" w:line="255"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10.41</w:t>
      </w:r>
      <w:r>
        <w:rPr>
          <w:sz w:val="20"/>
          <w:szCs w:val="20"/>
          <w:color w:val="auto"/>
        </w:rPr>
        <w:tab/>
      </w:r>
      <w:hyperlink r:id="rId169">
        <w:r>
          <w:rPr>
            <w:rFonts w:ascii="Arial" w:cs="Arial" w:eastAsia="Arial" w:hAnsi="Arial"/>
            <w:sz w:val="18"/>
            <w:szCs w:val="18"/>
            <w:u w:val="single" w:color="auto"/>
            <w:color w:val="0000EE"/>
          </w:rPr>
          <w:t>First Amendment to the Office Lease, effective as of June 19, 2019, between Iovance Biotherapeutics, Inc. and Hudson</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Skyway Landing, LLC (incorporated herein by reference to Exhibit 10.1 of the Registrant’s Quarterly Report on Form 10-</w:t>
        </w:r>
      </w:hyperlink>
      <w:hyperlink r:id="rId169">
        <w:r>
          <w:rPr>
            <w:rFonts w:ascii="Arial" w:cs="Arial" w:eastAsia="Arial" w:hAnsi="Arial"/>
            <w:sz w:val="18"/>
            <w:szCs w:val="18"/>
            <w:u w:val="single" w:color="auto"/>
            <w:color w:val="0000EE"/>
          </w:rPr>
          <w:t>Q filed with the Commission on November 4, 2019).</w:t>
        </w:r>
      </w:hyperlink>
    </w:p>
    <w:p>
      <w:pPr>
        <w:sectPr>
          <w:pgSz w:w="11900" w:h="16838" w:orient="portrait"/>
          <w:cols w:equalWidth="0" w:num="1">
            <w:col w:w="9880"/>
          </w:cols>
          <w:pgMar w:left="980" w:top="665" w:right="1039" w:bottom="1440" w:gutter="0" w:footer="0" w:header="0"/>
        </w:sectPr>
      </w:pPr>
    </w:p>
    <w:p>
      <w:pPr>
        <w:spacing w:after="0" w:line="200" w:lineRule="exact"/>
        <w:rPr>
          <w:rFonts w:ascii="Arial" w:cs="Arial" w:eastAsia="Arial" w:hAnsi="Arial"/>
          <w:sz w:val="18"/>
          <w:szCs w:val="18"/>
          <w:u w:val="single" w:color="auto"/>
          <w:color w:val="0000EE"/>
        </w:rPr>
      </w:pPr>
    </w:p>
    <w:p>
      <w:pPr>
        <w:spacing w:after="0" w:line="206" w:lineRule="exact"/>
        <w:rPr>
          <w:rFonts w:ascii="Arial" w:cs="Arial" w:eastAsia="Arial" w:hAnsi="Arial"/>
          <w:sz w:val="18"/>
          <w:szCs w:val="18"/>
          <w:u w:val="single" w:color="auto"/>
          <w:color w:val="0000EE"/>
        </w:rPr>
      </w:pPr>
    </w:p>
    <w:p>
      <w:pPr>
        <w:jc w:val="center"/>
        <w:ind w:right="-39"/>
        <w:spacing w:after="0"/>
        <w:rPr>
          <w:sz w:val="20"/>
          <w:szCs w:val="20"/>
          <w:color w:val="auto"/>
        </w:rPr>
      </w:pPr>
      <w:r>
        <w:rPr>
          <w:rFonts w:ascii="Arial" w:cs="Arial" w:eastAsia="Arial" w:hAnsi="Arial"/>
          <w:sz w:val="16"/>
          <w:szCs w:val="16"/>
          <w:color w:val="auto"/>
        </w:rPr>
        <w:t>103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10.42</w:t>
            </w:r>
          </w:p>
        </w:tc>
        <w:tc>
          <w:tcPr>
            <w:tcW w:w="8640" w:type="dxa"/>
            <w:vAlign w:val="bottom"/>
            <w:tcBorders>
              <w:bottom w:val="single" w:sz="8" w:color="0000EE"/>
            </w:tcBorders>
            <w:gridSpan w:val="15"/>
          </w:tcPr>
          <w:p>
            <w:pPr>
              <w:spacing w:after="0"/>
              <w:rPr>
                <w:rFonts w:ascii="Arial" w:cs="Arial" w:eastAsia="Arial" w:hAnsi="Arial"/>
                <w:sz w:val="18"/>
                <w:szCs w:val="18"/>
                <w:color w:val="0000EE"/>
                <w:w w:val="90"/>
              </w:rPr>
            </w:pPr>
            <w:hyperlink r:id="rId171">
              <w:r>
                <w:rPr>
                  <w:rFonts w:ascii="Arial" w:cs="Arial" w:eastAsia="Arial" w:hAnsi="Arial"/>
                  <w:sz w:val="18"/>
                  <w:szCs w:val="18"/>
                  <w:color w:val="0000EE"/>
                  <w:w w:val="90"/>
                </w:rPr>
                <w:t>Second Amendment to the Office Lease, effective as of February 8, 2021, by and between Iovance Biotherapeutics, Inc.</w:t>
              </w:r>
            </w:hyperlink>
          </w:p>
        </w:tc>
        <w:tc>
          <w:tcPr>
            <w:tcW w:w="22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and Hudson Skyway Landing, LLC (incorporated herein by reference to Exhibit 10.2 of the Registrant’s Current Report on</w:t>
              </w:r>
            </w:hyperlink>
          </w:p>
        </w:tc>
      </w:tr>
      <w:tr>
        <w:trPr>
          <w:trHeight w:val="196"/>
        </w:trPr>
        <w:tc>
          <w:tcPr>
            <w:tcW w:w="1000" w:type="dxa"/>
            <w:vAlign w:val="bottom"/>
          </w:tcPr>
          <w:p>
            <w:pPr>
              <w:spacing w:after="0"/>
              <w:rPr>
                <w:sz w:val="17"/>
                <w:szCs w:val="17"/>
                <w:color w:val="auto"/>
              </w:rPr>
            </w:pPr>
          </w:p>
        </w:tc>
        <w:tc>
          <w:tcPr>
            <w:tcW w:w="42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71">
              <w:r>
                <w:rPr>
                  <w:rFonts w:ascii="Arial" w:cs="Arial" w:eastAsia="Arial" w:hAnsi="Arial"/>
                  <w:sz w:val="18"/>
                  <w:szCs w:val="18"/>
                  <w:color w:val="0000EE"/>
                  <w:w w:val="92"/>
                </w:rPr>
                <w:t>Form 8-K filed with the Commission on February 9, 2021).</w:t>
              </w:r>
            </w:hyperlink>
          </w:p>
        </w:tc>
        <w:tc>
          <w:tcPr>
            <w:tcW w:w="4580" w:type="dxa"/>
            <w:vAlign w:val="bottom"/>
            <w:gridSpan w:val="16"/>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10.43</w:t>
            </w:r>
          </w:p>
        </w:tc>
        <w:tc>
          <w:tcPr>
            <w:tcW w:w="87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First Amendment to the Office Lease, effective as of February 8, 2021, by and between Iovance Biotherapeutics, Inc. and</w:t>
              </w:r>
            </w:hyperlink>
          </w:p>
        </w:tc>
        <w:tc>
          <w:tcPr>
            <w:tcW w:w="120" w:type="dxa"/>
            <w:vAlign w:val="bottom"/>
            <w:gridSpan w:val="5"/>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5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Hudson Skyway Landing, LLC (incorporated herein by reference to Exhibit 10.3 of the Registrant’s Current Report on</w:t>
              </w:r>
            </w:hyperlink>
          </w:p>
        </w:tc>
        <w:tc>
          <w:tcPr>
            <w:tcW w:w="320" w:type="dxa"/>
            <w:vAlign w:val="bottom"/>
            <w:gridSpan w:val="9"/>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2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72">
              <w:r>
                <w:rPr>
                  <w:rFonts w:ascii="Arial" w:cs="Arial" w:eastAsia="Arial" w:hAnsi="Arial"/>
                  <w:sz w:val="18"/>
                  <w:szCs w:val="18"/>
                  <w:color w:val="0000EE"/>
                  <w:w w:val="92"/>
                </w:rPr>
                <w:t>Form 8-K filed with the Commission on February 9, 2021).</w:t>
              </w:r>
            </w:hyperlink>
          </w:p>
        </w:tc>
        <w:tc>
          <w:tcPr>
            <w:tcW w:w="4580" w:type="dxa"/>
            <w:vAlign w:val="bottom"/>
            <w:gridSpan w:val="16"/>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10.44</w:t>
            </w:r>
          </w:p>
        </w:tc>
        <w:tc>
          <w:tcPr>
            <w:tcW w:w="87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Lease Agreement, effective as of May 28, 2019, by and between Iovance Biotherapeutics, Inc. and 300 Rouse Boulevard,</w:t>
              </w:r>
            </w:hyperlink>
          </w:p>
        </w:tc>
        <w:tc>
          <w:tcPr>
            <w:tcW w:w="120" w:type="dxa"/>
            <w:vAlign w:val="bottom"/>
            <w:gridSpan w:val="5"/>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60" w:type="dxa"/>
            <w:vAlign w:val="bottom"/>
            <w:gridSpan w:val="23"/>
          </w:tcPr>
          <w:p>
            <w:pPr>
              <w:spacing w:after="0" w:line="196" w:lineRule="exact"/>
              <w:rPr>
                <w:rFonts w:ascii="Arial" w:cs="Arial" w:eastAsia="Arial" w:hAnsi="Arial"/>
                <w:sz w:val="18"/>
                <w:szCs w:val="18"/>
                <w:color w:val="0000EE"/>
                <w:w w:val="97"/>
              </w:rPr>
            </w:pPr>
            <w:hyperlink r:id="rId173">
              <w:r>
                <w:rPr>
                  <w:rFonts w:ascii="Arial" w:cs="Arial" w:eastAsia="Arial" w:hAnsi="Arial"/>
                  <w:sz w:val="18"/>
                  <w:szCs w:val="18"/>
                  <w:color w:val="0000EE"/>
                  <w:w w:val="97"/>
                </w:rPr>
                <w:t>LLC (incorporated herein by reference to Exhibit 10.1 of the Registrant’s Current Report on Form 8-K filed with the</w:t>
              </w:r>
            </w:hyperlink>
          </w:p>
        </w:tc>
      </w:tr>
      <w:tr>
        <w:trPr>
          <w:trHeight w:val="196"/>
        </w:trPr>
        <w:tc>
          <w:tcPr>
            <w:tcW w:w="1000" w:type="dxa"/>
            <w:vAlign w:val="bottom"/>
          </w:tcPr>
          <w:p>
            <w:pPr>
              <w:spacing w:after="0"/>
              <w:rPr>
                <w:sz w:val="17"/>
                <w:szCs w:val="17"/>
                <w:color w:val="auto"/>
              </w:rPr>
            </w:pPr>
          </w:p>
        </w:tc>
        <w:tc>
          <w:tcPr>
            <w:tcW w:w="2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73">
              <w:r>
                <w:rPr>
                  <w:rFonts w:ascii="Arial" w:cs="Arial" w:eastAsia="Arial" w:hAnsi="Arial"/>
                  <w:sz w:val="18"/>
                  <w:szCs w:val="18"/>
                  <w:color w:val="0000EE"/>
                  <w:w w:val="89"/>
                </w:rPr>
                <w:t>Commission on June 3, 2019).</w:t>
              </w:r>
            </w:hyperlink>
          </w:p>
        </w:tc>
        <w:tc>
          <w:tcPr>
            <w:tcW w:w="6180" w:type="dxa"/>
            <w:vAlign w:val="bottom"/>
            <w:tcBorders>
              <w:top w:val="single" w:sz="8" w:color="0000EE"/>
            </w:tcBorders>
            <w:gridSpan w:val="12"/>
          </w:tcPr>
          <w:p>
            <w:pPr>
              <w:spacing w:after="0"/>
              <w:rPr>
                <w:sz w:val="17"/>
                <w:szCs w:val="17"/>
                <w:color w:val="auto"/>
              </w:rPr>
            </w:pPr>
          </w:p>
        </w:tc>
        <w:tc>
          <w:tcPr>
            <w:tcW w:w="480" w:type="dxa"/>
            <w:vAlign w:val="bottom"/>
            <w:gridSpan w:val="10"/>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10.45</w:t>
            </w:r>
          </w:p>
        </w:tc>
        <w:tc>
          <w:tcPr>
            <w:tcW w:w="88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74">
              <w:r>
                <w:rPr>
                  <w:rFonts w:ascii="Arial" w:cs="Arial" w:eastAsia="Arial" w:hAnsi="Arial"/>
                  <w:sz w:val="18"/>
                  <w:szCs w:val="18"/>
                  <w:color w:val="0000EE"/>
                  <w:w w:val="90"/>
                </w:rPr>
                <w:t>First Amendment to the Lease Agreement, effective as of August 20, 2019, between Iovance Biotherapeutics, Inc. and 300</w:t>
              </w:r>
            </w:hyperlink>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Rouse Boulevard, LLC (incorporated herein by reference to Exhibit 10.2 of the Registrant’s Quarterly Report on Form 10-</w:t>
              </w:r>
            </w:hyperlink>
          </w:p>
        </w:tc>
        <w:tc>
          <w:tcPr>
            <w:tcW w:w="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60" w:type="dxa"/>
            <w:vAlign w:val="bottom"/>
            <w:gridSpan w:val="23"/>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Q filed with the Commission on November 4, 2019).</w:t>
              </w:r>
            </w:hyperlink>
          </w:p>
        </w:tc>
      </w:tr>
      <w:tr>
        <w:trPr>
          <w:trHeight w:val="20"/>
        </w:trPr>
        <w:tc>
          <w:tcPr>
            <w:tcW w:w="100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10.46</w:t>
            </w:r>
          </w:p>
        </w:tc>
        <w:tc>
          <w:tcPr>
            <w:tcW w:w="884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75">
              <w:r>
                <w:rPr>
                  <w:rFonts w:ascii="Arial" w:cs="Arial" w:eastAsia="Arial" w:hAnsi="Arial"/>
                  <w:sz w:val="18"/>
                  <w:szCs w:val="18"/>
                  <w:color w:val="0000EE"/>
                  <w:w w:val="89"/>
                </w:rPr>
                <w:t>Second Amendment to the Lease Agreement, effective as of June 30, 2020, between Iovance Biotherapeutics, Inc. and 300</w:t>
              </w:r>
            </w:hyperlink>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Rouse Boulevard, LLC (incorporated herein by reference to Exhibit 10.3 of the Registrant’s Quarterly Report on Form 10-</w:t>
              </w:r>
            </w:hyperlink>
          </w:p>
        </w:tc>
        <w:tc>
          <w:tcPr>
            <w:tcW w:w="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60" w:type="dxa"/>
            <w:vAlign w:val="bottom"/>
            <w:gridSpan w:val="23"/>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Q filed with the Commission on August 6, 2020).</w:t>
              </w:r>
            </w:hyperlink>
          </w:p>
        </w:tc>
      </w:tr>
      <w:tr>
        <w:trPr>
          <w:trHeight w:val="20"/>
        </w:trPr>
        <w:tc>
          <w:tcPr>
            <w:tcW w:w="100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10.47</w:t>
            </w:r>
          </w:p>
        </w:tc>
        <w:tc>
          <w:tcPr>
            <w:tcW w:w="87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76">
              <w:r>
                <w:rPr>
                  <w:rFonts w:ascii="Arial" w:cs="Arial" w:eastAsia="Arial" w:hAnsi="Arial"/>
                  <w:sz w:val="18"/>
                  <w:szCs w:val="18"/>
                  <w:color w:val="0000EE"/>
                  <w:w w:val="90"/>
                </w:rPr>
                <w:t>Third Amendment to the Lease Agreement, effective as of November 1, 2021, between Iovance Biotherapeutics, Inc. and</w:t>
              </w:r>
            </w:hyperlink>
          </w:p>
        </w:tc>
        <w:tc>
          <w:tcPr>
            <w:tcW w:w="8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176">
              <w:r>
                <w:rPr>
                  <w:rFonts w:ascii="Arial" w:cs="Arial" w:eastAsia="Arial" w:hAnsi="Arial"/>
                  <w:sz w:val="18"/>
                  <w:szCs w:val="18"/>
                  <w:color w:val="0000EE"/>
                  <w:w w:val="92"/>
                </w:rPr>
                <w:t>300 Rouse Boulevard, LLC (incorporated herein by reference to Exhibit 10.46 to the Registrant’s Annual Report on Form</w:t>
              </w:r>
            </w:hyperlink>
          </w:p>
        </w:tc>
      </w:tr>
      <w:tr>
        <w:trPr>
          <w:trHeight w:val="196"/>
        </w:trPr>
        <w:tc>
          <w:tcPr>
            <w:tcW w:w="1000" w:type="dxa"/>
            <w:vAlign w:val="bottom"/>
          </w:tcPr>
          <w:p>
            <w:pPr>
              <w:spacing w:after="0"/>
              <w:rPr>
                <w:sz w:val="17"/>
                <w:szCs w:val="17"/>
                <w:color w:val="auto"/>
              </w:rPr>
            </w:pPr>
          </w:p>
        </w:tc>
        <w:tc>
          <w:tcPr>
            <w:tcW w:w="8860" w:type="dxa"/>
            <w:vAlign w:val="bottom"/>
            <w:gridSpan w:val="23"/>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10-K filed with the Commission on February 24, 2022).</w:t>
              </w:r>
            </w:hyperlink>
          </w:p>
        </w:tc>
      </w:tr>
      <w:tr>
        <w:trPr>
          <w:trHeight w:val="20"/>
        </w:trPr>
        <w:tc>
          <w:tcPr>
            <w:tcW w:w="100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10.48</w:t>
            </w:r>
          </w:p>
        </w:tc>
        <w:tc>
          <w:tcPr>
            <w:tcW w:w="880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77">
              <w:r>
                <w:rPr>
                  <w:rFonts w:ascii="Arial" w:cs="Arial" w:eastAsia="Arial" w:hAnsi="Arial"/>
                  <w:sz w:val="18"/>
                  <w:szCs w:val="18"/>
                  <w:color w:val="0000EE"/>
                  <w:w w:val="89"/>
                </w:rPr>
                <w:t>Lease Agreement, effective as of February 8, 2021, by and between Iovance Biotherapeutics, Inc. and ARE-San Francisco</w:t>
              </w:r>
            </w:hyperlink>
          </w:p>
        </w:tc>
        <w:tc>
          <w:tcPr>
            <w:tcW w:w="6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7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77">
              <w:r>
                <w:rPr>
                  <w:rFonts w:ascii="Arial" w:cs="Arial" w:eastAsia="Arial" w:hAnsi="Arial"/>
                  <w:sz w:val="18"/>
                  <w:szCs w:val="18"/>
                  <w:color w:val="0000EE"/>
                  <w:w w:val="92"/>
                </w:rPr>
                <w:t>No. 63, LLC (incorporated herein by reference to Exhibit 10.1 of the Registrant’s Current Report on Form 8-K filed with</w:t>
              </w:r>
            </w:hyperlink>
          </w:p>
        </w:tc>
        <w:tc>
          <w:tcPr>
            <w:tcW w:w="16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7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77">
              <w:r>
                <w:rPr>
                  <w:rFonts w:ascii="Arial" w:cs="Arial" w:eastAsia="Arial" w:hAnsi="Arial"/>
                  <w:sz w:val="18"/>
                  <w:szCs w:val="18"/>
                  <w:color w:val="0000EE"/>
                  <w:w w:val="89"/>
                </w:rPr>
                <w:t>the Commission on February 9, 2021).</w:t>
              </w:r>
            </w:hyperlink>
          </w:p>
        </w:tc>
        <w:tc>
          <w:tcPr>
            <w:tcW w:w="6080" w:type="dxa"/>
            <w:vAlign w:val="bottom"/>
            <w:gridSpan w:val="20"/>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10.49</w:t>
            </w:r>
          </w:p>
        </w:tc>
        <w:tc>
          <w:tcPr>
            <w:tcW w:w="88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Option Agreement, dated January 23, 2023, by and among Iovance Biotherapeutics, Inc., Iovance Biotherapeutics UK Ltd,</w:t>
              </w:r>
            </w:hyperlink>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60" w:type="dxa"/>
            <w:vAlign w:val="bottom"/>
            <w:gridSpan w:val="23"/>
          </w:tcPr>
          <w:p>
            <w:pPr>
              <w:spacing w:after="0" w:line="196" w:lineRule="exact"/>
              <w:rPr>
                <w:rFonts w:ascii="Arial" w:cs="Arial" w:eastAsia="Arial" w:hAnsi="Arial"/>
                <w:sz w:val="18"/>
                <w:szCs w:val="18"/>
                <w:color w:val="0000EE"/>
                <w:w w:val="94"/>
              </w:rPr>
            </w:pPr>
            <w:hyperlink r:id="rId178">
              <w:r>
                <w:rPr>
                  <w:rFonts w:ascii="Arial" w:cs="Arial" w:eastAsia="Arial" w:hAnsi="Arial"/>
                  <w:sz w:val="18"/>
                  <w:szCs w:val="18"/>
                  <w:color w:val="0000EE"/>
                  <w:w w:val="94"/>
                </w:rPr>
                <w:t>Clinigen Holdings Limited, Clinigen Healthcare Limited, and Clinigen, Inc. (incorporated herein by reference to Exhibit</w:t>
              </w:r>
            </w:hyperlink>
          </w:p>
        </w:tc>
      </w:tr>
      <w:tr>
        <w:trPr>
          <w:trHeight w:val="196"/>
        </w:trPr>
        <w:tc>
          <w:tcPr>
            <w:tcW w:w="1000" w:type="dxa"/>
            <w:vAlign w:val="bottom"/>
          </w:tcPr>
          <w:p>
            <w:pPr>
              <w:spacing w:after="0"/>
              <w:rPr>
                <w:sz w:val="17"/>
                <w:szCs w:val="17"/>
                <w:color w:val="auto"/>
              </w:rPr>
            </w:pPr>
          </w:p>
        </w:tc>
        <w:tc>
          <w:tcPr>
            <w:tcW w:w="75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of the Registrant’s Current Report on Form 8-K/A filed with the Commission on January 27, 2023).</w:t>
              </w:r>
            </w:hyperlink>
          </w:p>
        </w:tc>
        <w:tc>
          <w:tcPr>
            <w:tcW w:w="1120" w:type="dxa"/>
            <w:vAlign w:val="bottom"/>
            <w:tcBorders>
              <w:top w:val="single" w:sz="8" w:color="0000EE"/>
            </w:tcBorders>
            <w:gridSpan w:val="4"/>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23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Subsidiaries of the Company.**</w:t>
            </w:r>
          </w:p>
        </w:tc>
        <w:tc>
          <w:tcPr>
            <w:tcW w:w="6560" w:type="dxa"/>
            <w:vAlign w:val="bottom"/>
            <w:gridSpan w:val="21"/>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8860" w:type="dxa"/>
            <w:vAlign w:val="bottom"/>
            <w:gridSpan w:val="23"/>
          </w:tcPr>
          <w:p>
            <w:pPr>
              <w:spacing w:after="0" w:line="196" w:lineRule="exact"/>
              <w:rPr>
                <w:sz w:val="20"/>
                <w:szCs w:val="20"/>
                <w:color w:val="auto"/>
              </w:rPr>
            </w:pPr>
            <w:r>
              <w:rPr>
                <w:rFonts w:ascii="Arial" w:cs="Arial" w:eastAsia="Arial" w:hAnsi="Arial"/>
                <w:sz w:val="18"/>
                <w:szCs w:val="18"/>
                <w:color w:val="0000EE"/>
              </w:rPr>
              <w:t>Consent of Ernst &amp; Young LLP, Independent Registered Public Accounting Firm.</w:t>
            </w:r>
            <w:r>
              <w:rPr>
                <w:rFonts w:ascii="Arial" w:cs="Arial" w:eastAsia="Arial" w:hAnsi="Arial"/>
                <w:sz w:val="18"/>
                <w:szCs w:val="18"/>
                <w:color w:val="000000"/>
              </w:rPr>
              <w:t>**</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23.2</w:t>
            </w:r>
          </w:p>
        </w:tc>
        <w:tc>
          <w:tcPr>
            <w:tcW w:w="588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6"/>
              </w:rPr>
              <w:t>Consent of Marcum, LLP, Independent Registered Public Accounting Firm.**</w:t>
            </w:r>
          </w:p>
        </w:tc>
        <w:tc>
          <w:tcPr>
            <w:tcW w:w="2980" w:type="dxa"/>
            <w:vAlign w:val="bottom"/>
            <w:gridSpan w:val="12"/>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24.1</w:t>
            </w:r>
          </w:p>
        </w:tc>
        <w:tc>
          <w:tcPr>
            <w:tcW w:w="538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1"/>
              </w:rPr>
              <w:t>Power of Attorney (included on the signature page of this Annual Report).</w:t>
            </w:r>
          </w:p>
        </w:tc>
        <w:tc>
          <w:tcPr>
            <w:tcW w:w="240" w:type="dxa"/>
            <w:vAlign w:val="bottom"/>
            <w:tcBorders>
              <w:top w:val="single" w:sz="8" w:color="0000EE"/>
            </w:tcBorders>
          </w:tcPr>
          <w:p>
            <w:pPr>
              <w:spacing w:after="0"/>
              <w:rPr>
                <w:sz w:val="17"/>
                <w:szCs w:val="17"/>
                <w:color w:val="auto"/>
              </w:rPr>
            </w:pPr>
          </w:p>
        </w:tc>
        <w:tc>
          <w:tcPr>
            <w:tcW w:w="3240" w:type="dxa"/>
            <w:vAlign w:val="bottom"/>
            <w:gridSpan w:val="13"/>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8860" w:type="dxa"/>
            <w:vAlign w:val="bottom"/>
            <w:gridSpan w:val="23"/>
          </w:tcPr>
          <w:p>
            <w:pPr>
              <w:spacing w:after="0" w:line="196" w:lineRule="exact"/>
              <w:rPr>
                <w:sz w:val="20"/>
                <w:szCs w:val="20"/>
                <w:color w:val="auto"/>
              </w:rPr>
            </w:pPr>
            <w:r>
              <w:rPr>
                <w:rFonts w:ascii="Arial" w:cs="Arial" w:eastAsia="Arial" w:hAnsi="Arial"/>
                <w:sz w:val="18"/>
                <w:szCs w:val="18"/>
                <w:color w:val="0000EE"/>
              </w:rPr>
              <w:t>Rule 13a-14(a)/15d-14(a) Certification of Chief Executive Officer.</w:t>
            </w:r>
            <w:r>
              <w:rPr>
                <w:rFonts w:ascii="Arial" w:cs="Arial" w:eastAsia="Arial" w:hAnsi="Arial"/>
                <w:sz w:val="18"/>
                <w:szCs w:val="18"/>
                <w:color w:val="000000"/>
              </w:rPr>
              <w:t>**</w:t>
            </w:r>
          </w:p>
        </w:tc>
      </w:tr>
      <w:tr>
        <w:trPr>
          <w:trHeight w:val="20"/>
        </w:trPr>
        <w:tc>
          <w:tcPr>
            <w:tcW w:w="1000" w:type="dxa"/>
            <w:vAlign w:val="bottom"/>
          </w:tcPr>
          <w:p>
            <w:pPr>
              <w:spacing w:after="0" w:line="20" w:lineRule="exact"/>
              <w:rPr>
                <w:sz w:val="1"/>
                <w:szCs w:val="1"/>
                <w:color w:val="auto"/>
              </w:rPr>
            </w:pPr>
          </w:p>
        </w:tc>
        <w:tc>
          <w:tcPr>
            <w:tcW w:w="4740" w:type="dxa"/>
            <w:vAlign w:val="bottom"/>
            <w:gridSpan w:val="8"/>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3480" w:type="dxa"/>
            <w:vAlign w:val="bottom"/>
            <w:gridSpan w:val="14"/>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8860" w:type="dxa"/>
            <w:vAlign w:val="bottom"/>
            <w:gridSpan w:val="23"/>
          </w:tcPr>
          <w:p>
            <w:pPr>
              <w:spacing w:after="0" w:line="196" w:lineRule="exact"/>
              <w:rPr>
                <w:sz w:val="20"/>
                <w:szCs w:val="20"/>
                <w:color w:val="auto"/>
              </w:rPr>
            </w:pPr>
            <w:r>
              <w:rPr>
                <w:rFonts w:ascii="Arial" w:cs="Arial" w:eastAsia="Arial" w:hAnsi="Arial"/>
                <w:sz w:val="18"/>
                <w:szCs w:val="18"/>
                <w:color w:val="0000EE"/>
              </w:rPr>
              <w:t>Rule 13a-14(a)/15d-14(a) Certification of Chief Financial Officer.</w:t>
            </w:r>
            <w:r>
              <w:rPr>
                <w:rFonts w:ascii="Arial" w:cs="Arial" w:eastAsia="Arial" w:hAnsi="Arial"/>
                <w:sz w:val="18"/>
                <w:szCs w:val="18"/>
                <w:color w:val="000000"/>
              </w:rPr>
              <w:t>**</w:t>
            </w:r>
          </w:p>
        </w:tc>
      </w:tr>
      <w:tr>
        <w:trPr>
          <w:trHeight w:val="20"/>
        </w:trPr>
        <w:tc>
          <w:tcPr>
            <w:tcW w:w="1000" w:type="dxa"/>
            <w:vAlign w:val="bottom"/>
          </w:tcPr>
          <w:p>
            <w:pPr>
              <w:spacing w:after="0" w:line="20" w:lineRule="exact"/>
              <w:rPr>
                <w:sz w:val="1"/>
                <w:szCs w:val="1"/>
                <w:color w:val="auto"/>
              </w:rPr>
            </w:pPr>
          </w:p>
        </w:tc>
        <w:tc>
          <w:tcPr>
            <w:tcW w:w="4740" w:type="dxa"/>
            <w:vAlign w:val="bottom"/>
            <w:gridSpan w:val="8"/>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80" w:type="dxa"/>
            <w:vAlign w:val="bottom"/>
            <w:gridSpan w:val="14"/>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8860" w:type="dxa"/>
            <w:vAlign w:val="bottom"/>
            <w:gridSpan w:val="23"/>
          </w:tcPr>
          <w:p>
            <w:pPr>
              <w:spacing w:after="0" w:line="196" w:lineRule="exact"/>
              <w:rPr>
                <w:sz w:val="20"/>
                <w:szCs w:val="20"/>
                <w:color w:val="auto"/>
              </w:rPr>
            </w:pPr>
            <w:r>
              <w:rPr>
                <w:rFonts w:ascii="Arial" w:cs="Arial" w:eastAsia="Arial" w:hAnsi="Arial"/>
                <w:sz w:val="18"/>
                <w:szCs w:val="18"/>
                <w:color w:val="0000EE"/>
              </w:rPr>
              <w:t>Section 1350 Certification of Chief Executive Officer (furnished herewith).</w:t>
            </w:r>
            <w:r>
              <w:rPr>
                <w:rFonts w:ascii="Arial" w:cs="Arial" w:eastAsia="Arial" w:hAnsi="Arial"/>
                <w:sz w:val="18"/>
                <w:szCs w:val="18"/>
                <w:color w:val="000000"/>
              </w:rPr>
              <w:t>**</w:t>
            </w:r>
          </w:p>
        </w:tc>
      </w:tr>
      <w:tr>
        <w:trPr>
          <w:trHeight w:val="20"/>
        </w:trPr>
        <w:tc>
          <w:tcPr>
            <w:tcW w:w="1000" w:type="dxa"/>
            <w:vAlign w:val="bottom"/>
          </w:tcPr>
          <w:p>
            <w:pPr>
              <w:spacing w:after="0" w:line="20" w:lineRule="exact"/>
              <w:rPr>
                <w:sz w:val="1"/>
                <w:szCs w:val="1"/>
                <w:color w:val="auto"/>
              </w:rPr>
            </w:pPr>
          </w:p>
        </w:tc>
        <w:tc>
          <w:tcPr>
            <w:tcW w:w="5380" w:type="dxa"/>
            <w:vAlign w:val="bottom"/>
            <w:tcBorders>
              <w:right w:val="single" w:sz="8" w:color="0000EE"/>
            </w:tcBorders>
            <w:gridSpan w:val="9"/>
            <w:shd w:val="clear" w:color="auto" w:fill="0000EE"/>
          </w:tcPr>
          <w:p>
            <w:pPr>
              <w:spacing w:after="0" w:line="20" w:lineRule="exact"/>
              <w:rPr>
                <w:sz w:val="1"/>
                <w:szCs w:val="1"/>
                <w:color w:val="auto"/>
              </w:rPr>
            </w:pPr>
          </w:p>
        </w:tc>
        <w:tc>
          <w:tcPr>
            <w:tcW w:w="3480" w:type="dxa"/>
            <w:vAlign w:val="bottom"/>
            <w:tcBorders>
              <w:left w:val="single" w:sz="8" w:color="0000EE"/>
            </w:tcBorders>
            <w:gridSpan w:val="14"/>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8860" w:type="dxa"/>
            <w:vAlign w:val="bottom"/>
            <w:gridSpan w:val="23"/>
          </w:tcPr>
          <w:p>
            <w:pPr>
              <w:spacing w:after="0" w:line="196" w:lineRule="exact"/>
              <w:rPr>
                <w:sz w:val="20"/>
                <w:szCs w:val="20"/>
                <w:color w:val="auto"/>
              </w:rPr>
            </w:pPr>
            <w:r>
              <w:rPr>
                <w:rFonts w:ascii="Arial" w:cs="Arial" w:eastAsia="Arial" w:hAnsi="Arial"/>
                <w:sz w:val="18"/>
                <w:szCs w:val="18"/>
                <w:color w:val="0000EE"/>
              </w:rPr>
              <w:t>Section 1350 Certification of Chief Financial Officer (furnished herewith).</w:t>
            </w:r>
            <w:r>
              <w:rPr>
                <w:rFonts w:ascii="Arial" w:cs="Arial" w:eastAsia="Arial" w:hAnsi="Arial"/>
                <w:sz w:val="18"/>
                <w:szCs w:val="18"/>
                <w:color w:val="000000"/>
              </w:rPr>
              <w:t>**</w:t>
            </w:r>
          </w:p>
        </w:tc>
      </w:tr>
      <w:tr>
        <w:trPr>
          <w:trHeight w:val="20"/>
        </w:trPr>
        <w:tc>
          <w:tcPr>
            <w:tcW w:w="100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ind w:left="1000" w:right="140" w:hanging="992"/>
        <w:spacing w:after="0" w:line="286"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following financial information from the Annual Report on Form 10-K of Iovance Biotherapeutics, Inc. for the year ended December 31, 2022, formatted inline XBRL (eXtensible Business Reporting Language): (1) Balance Sheets as of December 31, 2022 and 2021 (2) Statements of Income for the years ended December 31, 2022 and 2021; (3) Statements of Shareholders’ Equity for the years ended December 31, 2022 and 2021; (4) Statements of Cash Flows for the years</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ended December 31, 2022 and 2021; and (5) Notes to Financial Statements.</w:t>
      </w:r>
    </w:p>
    <w:p>
      <w:pPr>
        <w:spacing w:after="0" w:line="9" w:lineRule="exact"/>
        <w:rPr>
          <w:sz w:val="20"/>
          <w:szCs w:val="20"/>
          <w:color w:val="auto"/>
        </w:rPr>
      </w:pPr>
    </w:p>
    <w:p>
      <w:pPr>
        <w:ind w:left="1000" w:right="80" w:hanging="992"/>
        <w:spacing w:after="0" w:line="260"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date file does not appear in the Interactive Date File because its XBRL tags are embedded within the Inline XBRL document.</w:t>
      </w:r>
    </w:p>
    <w:p>
      <w:pPr>
        <w:spacing w:after="0" w:line="185" w:lineRule="exact"/>
        <w:rPr>
          <w:sz w:val="20"/>
          <w:szCs w:val="20"/>
          <w:color w:val="auto"/>
        </w:rPr>
      </w:pPr>
    </w:p>
    <w:p>
      <w:pPr>
        <w:ind w:left="340" w:right="100" w:hanging="332"/>
        <w:spacing w:after="0" w:line="258"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based upon a request for confidential treatment filed by us with the Commission. The omitted portions of the Exhibit have been separately filed by us with the Commission.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9"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9"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Certain portions of the Exhibit have been redacted pursuant to Item 601(b)(10)(iv) of Regulation S-K.</w:t>
      </w:r>
    </w:p>
    <w:p>
      <w:pPr>
        <w:spacing w:after="0" w:line="20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right="60" w:firstLine="492"/>
        <w:spacing w:after="0" w:line="277" w:lineRule="auto"/>
        <w:rPr>
          <w:sz w:val="20"/>
          <w:szCs w:val="20"/>
          <w:color w:val="auto"/>
        </w:rPr>
      </w:pPr>
      <w:r>
        <w:rPr>
          <w:rFonts w:ascii="Arial" w:cs="Arial" w:eastAsia="Arial" w:hAnsi="Arial"/>
          <w:sz w:val="18"/>
          <w:szCs w:val="18"/>
          <w:color w:val="auto"/>
        </w:rPr>
        <w:t>We may voluntarily include a summary of information required by Form 10-K under this Item 16. We have elected not to include such summary information.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49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7060" w:type="dxa"/>
            <w:vAlign w:val="bottom"/>
            <w:gridSpan w:val="2"/>
          </w:tcPr>
          <w:p>
            <w:pPr>
              <w:ind w:left="1940"/>
              <w:spacing w:after="0"/>
              <w:rPr>
                <w:sz w:val="20"/>
                <w:szCs w:val="20"/>
                <w:color w:val="auto"/>
              </w:rPr>
            </w:pPr>
            <w:r>
              <w:rPr>
                <w:rFonts w:ascii="Arial" w:cs="Arial" w:eastAsia="Arial" w:hAnsi="Arial"/>
                <w:sz w:val="18"/>
                <w:szCs w:val="18"/>
                <w:b w:val="1"/>
                <w:bCs w:val="1"/>
                <w:color w:val="auto"/>
              </w:rPr>
              <w:t>IOVANCE BIOTHERAPEUTICS, INC.</w:t>
            </w:r>
          </w:p>
        </w:tc>
      </w:tr>
      <w:tr>
        <w:trPr>
          <w:trHeight w:val="432"/>
        </w:trPr>
        <w:tc>
          <w:tcPr>
            <w:tcW w:w="2860" w:type="dxa"/>
            <w:vAlign w:val="bottom"/>
          </w:tcPr>
          <w:p>
            <w:pPr>
              <w:spacing w:after="0"/>
              <w:rPr>
                <w:sz w:val="20"/>
                <w:szCs w:val="20"/>
                <w:color w:val="auto"/>
              </w:rPr>
            </w:pPr>
            <w:r>
              <w:rPr>
                <w:rFonts w:ascii="Arial" w:cs="Arial" w:eastAsia="Arial" w:hAnsi="Arial"/>
                <w:sz w:val="18"/>
                <w:szCs w:val="18"/>
                <w:color w:val="auto"/>
              </w:rPr>
              <w:t>Date: February 28, 2023</w:t>
            </w:r>
          </w:p>
        </w:tc>
        <w:tc>
          <w:tcPr>
            <w:tcW w:w="7060" w:type="dxa"/>
            <w:vAlign w:val="bottom"/>
            <w:gridSpan w:val="2"/>
          </w:tcPr>
          <w:p>
            <w:pPr>
              <w:ind w:left="1940"/>
              <w:spacing w:after="0"/>
              <w:rPr>
                <w:sz w:val="20"/>
                <w:szCs w:val="20"/>
                <w:color w:val="auto"/>
              </w:rPr>
            </w:pPr>
            <w:r>
              <w:rPr>
                <w:rFonts w:ascii="Arial" w:cs="Arial" w:eastAsia="Arial" w:hAnsi="Arial"/>
                <w:sz w:val="18"/>
                <w:szCs w:val="18"/>
                <w:color w:val="auto"/>
              </w:rPr>
              <w:t>By: /s/ Frederick G. Vogt</w:t>
            </w:r>
          </w:p>
        </w:tc>
      </w:tr>
      <w:tr>
        <w:trPr>
          <w:trHeight w:val="195"/>
        </w:trPr>
        <w:tc>
          <w:tcPr>
            <w:tcW w:w="28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Frederick G. Vogt, Ph.D., J.D.</w:t>
            </w:r>
          </w:p>
        </w:tc>
      </w:tr>
      <w:tr>
        <w:trPr>
          <w:trHeight w:val="216"/>
        </w:trPr>
        <w:tc>
          <w:tcPr>
            <w:tcW w:w="2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Title:   Interim Chief Executive Officer and President, and</w:t>
            </w:r>
          </w:p>
        </w:tc>
      </w:tr>
      <w:tr>
        <w:trPr>
          <w:trHeight w:val="230"/>
        </w:trPr>
        <w:tc>
          <w:tcPr>
            <w:tcW w:w="28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780" w:type="dxa"/>
            <w:vAlign w:val="bottom"/>
          </w:tcPr>
          <w:p>
            <w:pPr>
              <w:ind w:left="600"/>
              <w:spacing w:after="0"/>
              <w:rPr>
                <w:sz w:val="20"/>
                <w:szCs w:val="20"/>
                <w:color w:val="auto"/>
              </w:rPr>
            </w:pPr>
            <w:r>
              <w:rPr>
                <w:rFonts w:ascii="Arial" w:cs="Arial" w:eastAsia="Arial" w:hAnsi="Arial"/>
                <w:sz w:val="18"/>
                <w:szCs w:val="18"/>
                <w:color w:val="auto"/>
              </w:rPr>
              <w:t>General Counsel</w:t>
            </w:r>
          </w:p>
        </w:tc>
      </w:tr>
      <w:tr>
        <w:trPr>
          <w:trHeight w:val="432"/>
        </w:trPr>
        <w:tc>
          <w:tcPr>
            <w:tcW w:w="2860" w:type="dxa"/>
            <w:vAlign w:val="bottom"/>
          </w:tcPr>
          <w:p>
            <w:pPr>
              <w:spacing w:after="0"/>
              <w:rPr>
                <w:sz w:val="24"/>
                <w:szCs w:val="24"/>
                <w:color w:val="auto"/>
              </w:rPr>
            </w:pPr>
          </w:p>
        </w:tc>
        <w:tc>
          <w:tcPr>
            <w:tcW w:w="7060" w:type="dxa"/>
            <w:vAlign w:val="bottom"/>
            <w:gridSpan w:val="2"/>
          </w:tcPr>
          <w:p>
            <w:pPr>
              <w:ind w:left="1100"/>
              <w:spacing w:after="0"/>
              <w:rPr>
                <w:sz w:val="20"/>
                <w:szCs w:val="20"/>
                <w:color w:val="auto"/>
              </w:rPr>
            </w:pPr>
            <w:r>
              <w:rPr>
                <w:rFonts w:ascii="Arial" w:cs="Arial" w:eastAsia="Arial" w:hAnsi="Arial"/>
                <w:sz w:val="18"/>
                <w:szCs w:val="18"/>
                <w:b w:val="1"/>
                <w:bCs w:val="1"/>
                <w:color w:val="auto"/>
              </w:rPr>
              <w:t>POWER OF ATTORNEY</w:t>
            </w:r>
          </w:p>
        </w:tc>
      </w:tr>
    </w:tbl>
    <w:p>
      <w:pPr>
        <w:spacing w:after="0" w:line="202"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Frederick G. Vogt, and Jean-Marc Bellemin, and each of them, as his or her true and lawful attorneys-in-fact and agents, with full power of substitution and resubstitution, for him or her and in his or her name, place, and stead, in any and all capacities, to sign any and all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that all said attorneys-in-fact and agents, or any of them or their or his or her substitute or substituted, may lawfully do or cause to be done by virtue thereof.</w:t>
      </w:r>
    </w:p>
    <w:p>
      <w:pPr>
        <w:spacing w:after="0" w:line="178" w:lineRule="exact"/>
        <w:rPr>
          <w:sz w:val="20"/>
          <w:szCs w:val="20"/>
          <w:color w:val="auto"/>
        </w:rPr>
      </w:pPr>
    </w:p>
    <w:p>
      <w:pPr>
        <w:ind w:right="160" w:firstLine="49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Signature</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Title</w:t>
            </w:r>
          </w:p>
        </w:tc>
        <w:tc>
          <w:tcPr>
            <w:tcW w:w="2400" w:type="dxa"/>
            <w:vAlign w:val="bottom"/>
          </w:tcPr>
          <w:p>
            <w:pPr>
              <w:spacing w:after="0"/>
              <w:rPr>
                <w:sz w:val="20"/>
                <w:szCs w:val="20"/>
                <w:color w:val="auto"/>
              </w:rPr>
            </w:pPr>
            <w:r>
              <w:rPr>
                <w:rFonts w:ascii="Arial" w:cs="Arial" w:eastAsia="Arial" w:hAnsi="Arial"/>
                <w:sz w:val="18"/>
                <w:szCs w:val="18"/>
                <w:color w:val="auto"/>
              </w:rPr>
              <w:t>Date</w:t>
            </w:r>
          </w:p>
        </w:tc>
      </w:tr>
      <w:tr>
        <w:trPr>
          <w:trHeight w:val="20"/>
        </w:trPr>
        <w:tc>
          <w:tcPr>
            <w:tcW w:w="3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r>
      <w:tr>
        <w:trPr>
          <w:trHeight w:val="426"/>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Frederick G. Vogt</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Interim Chief Executive Officer and President, and</w:t>
            </w:r>
          </w:p>
        </w:tc>
        <w:tc>
          <w:tcPr>
            <w:tcW w:w="2400" w:type="dxa"/>
            <w:vAlign w:val="bottom"/>
          </w:tcPr>
          <w:p>
            <w:pPr>
              <w:spacing w:after="0"/>
              <w:rPr>
                <w:sz w:val="20"/>
                <w:szCs w:val="20"/>
                <w:color w:val="auto"/>
              </w:rPr>
            </w:pPr>
            <w:r>
              <w:rPr>
                <w:rFonts w:ascii="Arial" w:cs="Arial" w:eastAsia="Arial" w:hAnsi="Arial"/>
                <w:sz w:val="18"/>
                <w:szCs w:val="18"/>
                <w:color w:val="auto"/>
              </w:rPr>
              <w:t>February 28, 2023</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Frederick G. Vogt, Ph.D., J.D.</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General Counsel (Principal Executive Officer)</w:t>
            </w:r>
          </w:p>
        </w:tc>
        <w:tc>
          <w:tcPr>
            <w:tcW w:w="2400" w:type="dxa"/>
            <w:vAlign w:val="bottom"/>
          </w:tcPr>
          <w:p>
            <w:pPr>
              <w:spacing w:after="0"/>
              <w:rPr>
                <w:sz w:val="19"/>
                <w:szCs w:val="19"/>
                <w:color w:val="auto"/>
              </w:rPr>
            </w:pPr>
          </w:p>
        </w:tc>
      </w:tr>
      <w:tr>
        <w:trPr>
          <w:trHeight w:val="418"/>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Jean-Marc Bellemin</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 and Treasurer</w:t>
            </w:r>
          </w:p>
        </w:tc>
        <w:tc>
          <w:tcPr>
            <w:tcW w:w="2400" w:type="dxa"/>
            <w:vAlign w:val="bottom"/>
          </w:tcPr>
          <w:p>
            <w:pPr>
              <w:spacing w:after="0"/>
              <w:rPr>
                <w:sz w:val="20"/>
                <w:szCs w:val="20"/>
                <w:color w:val="auto"/>
              </w:rPr>
            </w:pPr>
            <w:r>
              <w:rPr>
                <w:rFonts w:ascii="Arial" w:cs="Arial" w:eastAsia="Arial" w:hAnsi="Arial"/>
                <w:sz w:val="18"/>
                <w:szCs w:val="18"/>
                <w:color w:val="auto"/>
              </w:rPr>
              <w:t>February 28, 2023</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Jean-Marc Bellemin</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(Principal Financial Officer and Accounting Officer)</w:t>
            </w:r>
          </w:p>
        </w:tc>
        <w:tc>
          <w:tcPr>
            <w:tcW w:w="2400" w:type="dxa"/>
            <w:vAlign w:val="bottom"/>
          </w:tcPr>
          <w:p>
            <w:pPr>
              <w:spacing w:after="0"/>
              <w:rPr>
                <w:sz w:val="19"/>
                <w:szCs w:val="19"/>
                <w:color w:val="auto"/>
              </w:rPr>
            </w:pPr>
          </w:p>
        </w:tc>
      </w:tr>
      <w:tr>
        <w:trPr>
          <w:trHeight w:val="418"/>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Merrill A. McPeak</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00" w:type="dxa"/>
            <w:vAlign w:val="bottom"/>
          </w:tcPr>
          <w:p>
            <w:pPr>
              <w:spacing w:after="0"/>
              <w:rPr>
                <w:sz w:val="20"/>
                <w:szCs w:val="20"/>
                <w:color w:val="auto"/>
              </w:rPr>
            </w:pPr>
            <w:r>
              <w:rPr>
                <w:rFonts w:ascii="Arial" w:cs="Arial" w:eastAsia="Arial" w:hAnsi="Arial"/>
                <w:sz w:val="18"/>
                <w:szCs w:val="18"/>
                <w:color w:val="auto"/>
              </w:rPr>
              <w:t>February 28, 2023</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Merrill A. McPeak</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Weiser</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00" w:type="dxa"/>
            <w:vAlign w:val="bottom"/>
          </w:tcPr>
          <w:p>
            <w:pPr>
              <w:spacing w:after="0"/>
              <w:rPr>
                <w:sz w:val="20"/>
                <w:szCs w:val="20"/>
                <w:color w:val="auto"/>
              </w:rPr>
            </w:pPr>
            <w:r>
              <w:rPr>
                <w:rFonts w:ascii="Arial" w:cs="Arial" w:eastAsia="Arial" w:hAnsi="Arial"/>
                <w:sz w:val="18"/>
                <w:szCs w:val="18"/>
                <w:color w:val="auto"/>
              </w:rPr>
              <w:t>February 28, 2023</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Michael Weiser, M.D., Ph.D.</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D. Maynard</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00" w:type="dxa"/>
            <w:vAlign w:val="bottom"/>
          </w:tcPr>
          <w:p>
            <w:pPr>
              <w:spacing w:after="0"/>
              <w:rPr>
                <w:sz w:val="20"/>
                <w:szCs w:val="20"/>
                <w:color w:val="auto"/>
              </w:rPr>
            </w:pPr>
            <w:r>
              <w:rPr>
                <w:rFonts w:ascii="Arial" w:cs="Arial" w:eastAsia="Arial" w:hAnsi="Arial"/>
                <w:sz w:val="18"/>
                <w:szCs w:val="18"/>
                <w:color w:val="auto"/>
              </w:rPr>
              <w:t>February 28, 2023</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Ryan D. Maynard</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Iain Dukes</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00" w:type="dxa"/>
            <w:vAlign w:val="bottom"/>
          </w:tcPr>
          <w:p>
            <w:pPr>
              <w:spacing w:after="0"/>
              <w:rPr>
                <w:sz w:val="20"/>
                <w:szCs w:val="20"/>
                <w:color w:val="auto"/>
              </w:rPr>
            </w:pPr>
            <w:r>
              <w:rPr>
                <w:rFonts w:ascii="Arial" w:cs="Arial" w:eastAsia="Arial" w:hAnsi="Arial"/>
                <w:sz w:val="18"/>
                <w:szCs w:val="18"/>
                <w:color w:val="auto"/>
              </w:rPr>
              <w:t>February 28, 2023</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Iain Dukes, D.Phil.</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Wayne Rothbaum</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00" w:type="dxa"/>
            <w:vAlign w:val="bottom"/>
          </w:tcPr>
          <w:p>
            <w:pPr>
              <w:spacing w:after="0"/>
              <w:rPr>
                <w:sz w:val="20"/>
                <w:szCs w:val="20"/>
                <w:color w:val="auto"/>
              </w:rPr>
            </w:pPr>
            <w:r>
              <w:rPr>
                <w:rFonts w:ascii="Arial" w:cs="Arial" w:eastAsia="Arial" w:hAnsi="Arial"/>
                <w:sz w:val="18"/>
                <w:szCs w:val="18"/>
                <w:color w:val="auto"/>
              </w:rPr>
              <w:t>February 28, 2023</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Wayne Rothbaum</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Athena Countouriotis</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00" w:type="dxa"/>
            <w:vAlign w:val="bottom"/>
          </w:tcPr>
          <w:p>
            <w:pPr>
              <w:spacing w:after="0"/>
              <w:rPr>
                <w:sz w:val="20"/>
                <w:szCs w:val="20"/>
                <w:color w:val="auto"/>
              </w:rPr>
            </w:pPr>
            <w:r>
              <w:rPr>
                <w:rFonts w:ascii="Arial" w:cs="Arial" w:eastAsia="Arial" w:hAnsi="Arial"/>
                <w:sz w:val="18"/>
                <w:szCs w:val="18"/>
                <w:color w:val="auto"/>
              </w:rPr>
              <w:t>February 28, 2023</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Athena Countouriotis, M.D.</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04"/>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Wendy L. Dixon</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00" w:type="dxa"/>
            <w:vAlign w:val="bottom"/>
          </w:tcPr>
          <w:p>
            <w:pPr>
              <w:spacing w:after="0"/>
              <w:rPr>
                <w:sz w:val="20"/>
                <w:szCs w:val="20"/>
                <w:color w:val="auto"/>
              </w:rPr>
            </w:pPr>
            <w:r>
              <w:rPr>
                <w:rFonts w:ascii="Arial" w:cs="Arial" w:eastAsia="Arial" w:hAnsi="Arial"/>
                <w:sz w:val="18"/>
                <w:szCs w:val="18"/>
                <w:color w:val="auto"/>
              </w:rPr>
              <w:t>February 28, 2023</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Wendy L. Dixon, Ph.D.</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8940" w:type="dxa"/>
            <w:vAlign w:val="bottom"/>
            <w:gridSpan w:val="12"/>
          </w:tcPr>
          <w:p>
            <w:pPr>
              <w:spacing w:after="0"/>
              <w:rPr>
                <w:sz w:val="20"/>
                <w:szCs w:val="20"/>
                <w:color w:val="auto"/>
              </w:rPr>
            </w:pPr>
            <w:r>
              <w:rPr>
                <w:rFonts w:ascii="Arial" w:cs="Arial" w:eastAsia="Arial" w:hAnsi="Arial"/>
                <w:sz w:val="18"/>
                <w:szCs w:val="18"/>
                <w:color w:val="0000EE"/>
              </w:rPr>
              <w:t>Table of Contents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0" w:type="dxa"/>
            <w:vAlign w:val="bottom"/>
            <w:gridSpan w:val="5"/>
          </w:tcPr>
          <w:p>
            <w:pPr>
              <w:jc w:val="center"/>
              <w:ind w:right="2360"/>
              <w:spacing w:after="0"/>
              <w:rPr>
                <w:sz w:val="20"/>
                <w:szCs w:val="20"/>
                <w:color w:val="auto"/>
              </w:rPr>
            </w:pPr>
            <w:r>
              <w:rPr>
                <w:rFonts w:ascii="Arial" w:cs="Arial" w:eastAsia="Arial" w:hAnsi="Arial"/>
                <w:sz w:val="18"/>
                <w:szCs w:val="18"/>
                <w:b w:val="1"/>
                <w:bCs w:val="1"/>
                <w:color w:val="auto"/>
              </w:rPr>
              <w:t>IOVANCE BIOTHERAPEUTICS, INC.</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gridSpan w:val="3"/>
          </w:tcPr>
          <w:p>
            <w:pPr>
              <w:jc w:val="center"/>
              <w:ind w:right="2740"/>
              <w:spacing w:after="0"/>
              <w:rPr>
                <w:sz w:val="20"/>
                <w:szCs w:val="20"/>
                <w:color w:val="auto"/>
              </w:rPr>
            </w:pPr>
            <w:r>
              <w:rPr>
                <w:rFonts w:ascii="Arial" w:cs="Arial" w:eastAsia="Arial" w:hAnsi="Arial"/>
                <w:sz w:val="18"/>
                <w:szCs w:val="18"/>
                <w:b w:val="1"/>
                <w:bCs w:val="1"/>
                <w:color w:val="auto"/>
                <w:w w:val="90"/>
              </w:rPr>
              <w:t>Index to Financial Statements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3"/>
          </w:tcPr>
          <w:p>
            <w:pPr>
              <w:jc w:val="center"/>
              <w:ind w:right="2760"/>
              <w:spacing w:after="0"/>
              <w:rPr>
                <w:sz w:val="20"/>
                <w:szCs w:val="20"/>
                <w:color w:val="auto"/>
              </w:rPr>
            </w:pPr>
            <w:r>
              <w:rPr>
                <w:rFonts w:ascii="Arial" w:cs="Arial" w:eastAsia="Arial" w:hAnsi="Arial"/>
                <w:sz w:val="18"/>
                <w:szCs w:val="18"/>
                <w:b w:val="1"/>
                <w:bCs w:val="1"/>
                <w:color w:val="auto"/>
                <w:w w:val="87"/>
              </w:rPr>
              <w:t>Contents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2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color w:val="0000EE"/>
              </w:rPr>
              <w:t xml:space="preserve">Report of Ernst &amp; Young LLP, Independent Registered Public Accounting Firm </w:t>
            </w:r>
            <w:r>
              <w:rPr>
                <w:rFonts w:ascii="Arial" w:cs="Arial" w:eastAsia="Arial" w:hAnsi="Arial"/>
                <w:sz w:val="18"/>
                <w:szCs w:val="18"/>
                <w:color w:val="000000"/>
              </w:rPr>
              <w:t>(PCAOB ID: 42)</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2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color w:val="0000EE"/>
              </w:rPr>
              <w:t xml:space="preserve">Report of Ernst &amp; Young LLP, Independent Registered Public Accounting Firm </w:t>
            </w:r>
            <w:r>
              <w:rPr>
                <w:rFonts w:ascii="Arial" w:cs="Arial" w:eastAsia="Arial" w:hAnsi="Arial"/>
                <w:sz w:val="18"/>
                <w:szCs w:val="18"/>
                <w:color w:val="000000"/>
              </w:rPr>
              <w:t>(PCAOB ID: 42)</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2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color w:val="0000EE"/>
              </w:rPr>
              <w:t xml:space="preserve">Report of Marcum LLP, Independent Registered Public Accounting Firm </w:t>
            </w:r>
            <w:r>
              <w:rPr>
                <w:rFonts w:ascii="Arial" w:cs="Arial" w:eastAsia="Arial" w:hAnsi="Arial"/>
                <w:sz w:val="18"/>
                <w:szCs w:val="18"/>
                <w:color w:val="000000"/>
              </w:rPr>
              <w:t>(PCAOB ID: 688)</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0000EE"/>
              </w:rPr>
              <w:t>Consolidated Balance Sheets</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Operations</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Comprehensive Loss</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Stockholders’ Equity</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Cash Flows</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0000EE"/>
              </w:rPr>
              <w:t>Notes to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F-11</w:t>
            </w:r>
          </w:p>
        </w:tc>
        <w:tc>
          <w:tcPr>
            <w:tcW w:w="0" w:type="dxa"/>
            <w:vAlign w:val="bottom"/>
          </w:tcPr>
          <w:p>
            <w:pPr>
              <w:spacing w:after="0"/>
              <w:rPr>
                <w:sz w:val="1"/>
                <w:szCs w:val="1"/>
                <w:color w:val="auto"/>
              </w:rPr>
            </w:pPr>
          </w:p>
        </w:tc>
      </w:tr>
      <w:tr>
        <w:trPr>
          <w:trHeight w:val="1438"/>
        </w:trPr>
        <w:tc>
          <w:tcPr>
            <w:tcW w:w="20" w:type="dxa"/>
            <w:vAlign w:val="bottom"/>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54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320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48" w:right="99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120"/>
        <w:spacing w:after="0"/>
        <w:rPr>
          <w:sz w:val="20"/>
          <w:szCs w:val="20"/>
          <w:color w:val="auto"/>
        </w:rPr>
      </w:pPr>
      <w:r>
        <w:rPr>
          <w:rFonts w:ascii="Arial" w:cs="Arial" w:eastAsia="Arial" w:hAnsi="Arial"/>
          <w:sz w:val="18"/>
          <w:szCs w:val="18"/>
          <w:u w:val="single" w:color="auto"/>
          <w:color w:val="auto"/>
        </w:rPr>
        <w:t>REPORT OF ERNST &amp; YOUNG LLP,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Iovance Biotherapeutics,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have audited the accompanying consolidated balance sheets of Iovance Biotherapeutics, Inc. (the Company) as of December 31, 2022 and 2021, the related consolidated statements of operations, comprehensive loss, stockholders’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17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28, 2023 expressed an unqualified opinion thereon.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clinical development costs</w:t>
      </w:r>
    </w:p>
    <w:p>
      <w:pPr>
        <w:spacing w:after="0" w:line="243" w:lineRule="exact"/>
        <w:rPr>
          <w:sz w:val="20"/>
          <w:szCs w:val="20"/>
          <w:color w:val="auto"/>
        </w:rPr>
      </w:pPr>
    </w:p>
    <w:p>
      <w:pPr>
        <w:ind w:left="20"/>
        <w:spacing w:after="0"/>
        <w:tabs>
          <w:tab w:leader="none" w:pos="160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During 2022, the Company incurred $294.8 million of research and development expenses and accrued</w:t>
      </w:r>
    </w:p>
    <w:p>
      <w:pPr>
        <w:spacing w:after="0" w:line="23" w:lineRule="exact"/>
        <w:rPr>
          <w:sz w:val="20"/>
          <w:szCs w:val="20"/>
          <w:color w:val="auto"/>
        </w:rPr>
      </w:pPr>
    </w:p>
    <w:p>
      <w:pPr>
        <w:ind w:left="1620" w:right="459" w:hanging="1599"/>
        <w:spacing w:after="0" w:line="286" w:lineRule="auto"/>
        <w:tabs>
          <w:tab w:leader="none" w:pos="1600" w:val="left"/>
        </w:tabs>
        <w:rPr>
          <w:sz w:val="20"/>
          <w:szCs w:val="20"/>
          <w:color w:val="auto"/>
        </w:rPr>
      </w:pPr>
      <w:r>
        <w:rPr>
          <w:rFonts w:ascii="Arial" w:cs="Arial" w:eastAsia="Arial" w:hAnsi="Arial"/>
          <w:sz w:val="16"/>
          <w:szCs w:val="16"/>
          <w:i w:val="1"/>
          <w:iCs w:val="1"/>
          <w:color w:val="auto"/>
        </w:rPr>
        <w:t>Matter</w:t>
      </w:r>
      <w:r>
        <w:rPr>
          <w:sz w:val="20"/>
          <w:szCs w:val="20"/>
          <w:color w:val="auto"/>
        </w:rPr>
        <w:tab/>
      </w:r>
      <w:r>
        <w:rPr>
          <w:rFonts w:ascii="Arial" w:cs="Arial" w:eastAsia="Arial" w:hAnsi="Arial"/>
          <w:sz w:val="16"/>
          <w:szCs w:val="16"/>
          <w:color w:val="auto"/>
        </w:rPr>
        <w:t>$14.8 million of clinical development costs as of December 31, 2022. As described in Note 2 to the Financial Statements, the Company determines accruals for clinical development costs based on the various clinical trial activities performed pursuant to contracts with third-party contract research organizations (“CROs”), which comprise a significant component of the Company’s research and development expenses. Clinical development costs are accrued and expensed based on the percentage of work completed in accordance with agreements established with CROs. The timing and amount of payments required under each individual arrangement are often different from the pattern of costs actually incurred. The Company accrues clinical development costs under its contracts with third-party service providers based on the progress or stage of completion of trials or services completed by vendors over the life of the individual trial, number of subjects enrolled, and number of sites activated.</w:t>
      </w:r>
    </w:p>
    <w:p>
      <w:pPr>
        <w:spacing w:after="0" w:line="210" w:lineRule="exact"/>
        <w:rPr>
          <w:sz w:val="20"/>
          <w:szCs w:val="20"/>
          <w:color w:val="auto"/>
        </w:rPr>
      </w:pPr>
    </w:p>
    <w:p>
      <w:pPr>
        <w:ind w:left="1620" w:right="459"/>
        <w:spacing w:after="0" w:line="272" w:lineRule="auto"/>
        <w:rPr>
          <w:sz w:val="20"/>
          <w:szCs w:val="20"/>
          <w:color w:val="auto"/>
        </w:rPr>
      </w:pPr>
      <w:r>
        <w:rPr>
          <w:rFonts w:ascii="Arial" w:cs="Arial" w:eastAsia="Arial" w:hAnsi="Arial"/>
          <w:sz w:val="17"/>
          <w:szCs w:val="17"/>
          <w:color w:val="auto"/>
        </w:rPr>
        <w:t>Auditing management’s accounting for accrued clinical development costs is especially challenging because the evaluation is dependent on a high volume of data exchanged between third-party service providers, internal clinical personnel, and the Company’s finance team. Determining accrued amounts is based on an evaluation of the unique terms and conditions set in each respective CRO agreement. Additionally, due to the duration of clinical trial activities and the timing of invoices received from third parties, the determination of the accrual for services incurred requires management to ensure they have complete and accurate information from vendors.</w:t>
      </w:r>
    </w:p>
    <w:p>
      <w:pPr>
        <w:spacing w:after="0" w:line="191" w:lineRule="exact"/>
        <w:rPr>
          <w:sz w:val="20"/>
          <w:szCs w:val="20"/>
          <w:color w:val="auto"/>
        </w:rPr>
      </w:pPr>
    </w:p>
    <w:p>
      <w:pPr>
        <w:jc w:val="both"/>
        <w:ind w:left="20" w:right="659"/>
        <w:spacing w:after="0" w:line="291" w:lineRule="auto"/>
        <w:rPr>
          <w:sz w:val="20"/>
          <w:szCs w:val="20"/>
          <w:color w:val="auto"/>
        </w:rPr>
      </w:pPr>
      <w:r>
        <w:rPr>
          <w:rFonts w:ascii="Arial" w:cs="Arial" w:eastAsia="Arial" w:hAnsi="Arial"/>
          <w:sz w:val="16"/>
          <w:szCs w:val="16"/>
          <w:i w:val="1"/>
          <w:iCs w:val="1"/>
          <w:color w:val="auto"/>
        </w:rPr>
        <w:t xml:space="preserve">How We Addressed </w:t>
      </w:r>
      <w:r>
        <w:rPr>
          <w:rFonts w:ascii="Arial" w:cs="Arial" w:eastAsia="Arial" w:hAnsi="Arial"/>
          <w:sz w:val="16"/>
          <w:szCs w:val="16"/>
          <w:color w:val="auto"/>
        </w:rPr>
        <w:t>To test accrued clinical development costs, our audit procedures included, among others, testing the</w:t>
      </w:r>
      <w:r>
        <w:rPr>
          <w:rFonts w:ascii="Arial" w:cs="Arial" w:eastAsia="Arial" w:hAnsi="Arial"/>
          <w:sz w:val="16"/>
          <w:szCs w:val="16"/>
          <w:i w:val="1"/>
          <w:iCs w:val="1"/>
          <w:color w:val="auto"/>
        </w:rPr>
        <w:t xml:space="preserve"> the Matter in Our </w:t>
      </w:r>
      <w:r>
        <w:rPr>
          <w:rFonts w:ascii="Arial" w:cs="Arial" w:eastAsia="Arial" w:hAnsi="Arial"/>
          <w:sz w:val="16"/>
          <w:szCs w:val="16"/>
          <w:color w:val="auto"/>
        </w:rPr>
        <w:t>accuracy and completeness of the inputs used in management’s analysis to determine costs incurred.</w:t>
      </w:r>
    </w:p>
    <w:p>
      <w:pPr>
        <w:ind w:left="1620" w:right="459" w:hanging="1599"/>
        <w:spacing w:after="0" w:line="268" w:lineRule="auto"/>
        <w:tabs>
          <w:tab w:leader="none" w:pos="1600" w:val="left"/>
        </w:tabs>
        <w:rPr>
          <w:sz w:val="20"/>
          <w:szCs w:val="20"/>
          <w:color w:val="auto"/>
        </w:rPr>
      </w:pPr>
      <w:r>
        <w:rPr>
          <w:rFonts w:ascii="Arial" w:cs="Arial" w:eastAsia="Arial" w:hAnsi="Arial"/>
          <w:sz w:val="17"/>
          <w:szCs w:val="17"/>
          <w:i w:val="1"/>
          <w:iCs w:val="1"/>
          <w:color w:val="auto"/>
        </w:rPr>
        <w:t>Audit</w:t>
      </w:r>
      <w:r>
        <w:rPr>
          <w:sz w:val="20"/>
          <w:szCs w:val="20"/>
          <w:color w:val="auto"/>
        </w:rPr>
        <w:tab/>
      </w:r>
      <w:r>
        <w:rPr>
          <w:rFonts w:ascii="Arial" w:cs="Arial" w:eastAsia="Arial" w:hAnsi="Arial"/>
          <w:sz w:val="17"/>
          <w:szCs w:val="17"/>
          <w:color w:val="auto"/>
        </w:rPr>
        <w:t>We also inspected terms and conditions for selected CRO contracts and change orders and compared these to the cost models management used in tracking the progress of service agreements. We met with internal clinical personnel to understand the status of significant clinical activities. We evaluated services provided by third parties by understanding the terms and timeline of significant projects, evaluated management’s determination of work performed, subjects enrolled, sites activated and costs incurred, and obtained external confirmation of the direct cost, and contracts and change orders executed by the Company for selected CROs as well as key terms and conditions of those contracts. Further, we inspected selected invoices received from third parties after the balance sheet date and evaluated whether services performed prior to the balance sheet date had been properly included in costs accrued.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665" w:right="1440"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120"/>
        <w:spacing w:after="0"/>
        <w:rPr>
          <w:sz w:val="20"/>
          <w:szCs w:val="20"/>
          <w:color w:val="auto"/>
        </w:rPr>
      </w:pPr>
      <w:r>
        <w:rPr>
          <w:rFonts w:ascii="Arial" w:cs="Arial" w:eastAsia="Arial" w:hAnsi="Arial"/>
          <w:sz w:val="18"/>
          <w:szCs w:val="18"/>
          <w:u w:val="single" w:color="auto"/>
          <w:color w:val="auto"/>
        </w:rPr>
        <w:t>REPORT OF ERNST &amp; YOUNG LLP,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Iovance Biotherapeutics,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We have audited Iovance Biotherapeutics, Inc.’s internal control over financial reporting as of December 31, 2022, based on criteria established in Internal Control—Integrated Framework issued by the Committee of Sponsoring Organizations of the Treadway Commission (2013 framework) (the COSO criteria). In our opinion, Iovance Biotherapeutics, Inc. (the Company) maintained, in all material respects, effective internal control over financial reporting as of December 31, 2022, based on the COSO criteria.</w:t>
      </w:r>
    </w:p>
    <w:p>
      <w:pPr>
        <w:spacing w:after="0" w:line="15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balance sheets of the Company as of December 31, 2022 and 2021, the related statements of operations, comprehensive loss, stockholders’ equity and cash flows for each of the two years in the period ended December 31, 2022, and the related notes, and our report dated February 28, 2023 expressed an unqualified opinion thereon.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9880"/>
          </w:cols>
          <w:pgMar w:left="980" w:top="665" w:right="10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2060"/>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Iovance Biotherapeutics,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audited the accompanying consolidated balance sheet of Iovance Biotherapeutics, Inc. (the “Company”) as of December 31, 2020, the related consolidated statements of operations, comprehensive loss, stockholders’ equity and cash flows for the year ended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year ended December 31, 2020, in conformity with accounting principles generally accepted in the United States of America.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Incremental Borrowing Rate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Matter</w:t>
      </w:r>
    </w:p>
    <w:p>
      <w:pPr>
        <w:spacing w:after="0" w:line="198"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As discussed in Note 10 to the 2020 consolidated financial statements, the Company’s reported right-of-use assets, current lease liabilities and long-term lease liabilities, utilize discount rates to calculate the estimated present value of future lease payments. Since the Company’s leases do not provide an implicit rate, management utilized a third-party valuation specialist to assist in estimating the incremental borrowing rates used in its present value calculation, which required subjectivity. The incremental borrowing rate is the rate of interest that a lessee would have to pay to borrow on a collateralized basis over a similar term an amount equal to the lease payments in a similar economic environment. As of December 31, 2020, the weighted average incremental borrowing rate used to determine the operating lease liability is 8.3%.</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492"/>
        <w:spacing w:after="0" w:line="272" w:lineRule="auto"/>
        <w:rPr>
          <w:sz w:val="20"/>
          <w:szCs w:val="20"/>
          <w:color w:val="auto"/>
        </w:rPr>
      </w:pPr>
      <w:r>
        <w:rPr>
          <w:rFonts w:ascii="Arial" w:cs="Arial" w:eastAsia="Arial" w:hAnsi="Arial"/>
          <w:sz w:val="17"/>
          <w:szCs w:val="17"/>
          <w:color w:val="auto"/>
        </w:rPr>
        <w:t>Auditing management’s assessment of its incremental borrowing rate is highly subjective and judgmental as the Company has no outstanding debt nor committed credit facilities, secured or otherwise, that would have comparable collateral or similar terms as their underlying leases. Further, changes in the incremental borrowing rate may have a material impact on the measurement of the Company’s right-of-use assets, current lease liabilities and long-term lease liabilities. Based on the level of management judgment, we have determined the incremental borrowing rate to be a critical audit matter. This required a high degree of auditor judgment and an increased extent of effort, including the need to involve our valuation specialists, when performing audit procedures to evaluate the reasonableness of management’s estimation of the incremental borrowing rate.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included, amongst others:</w:t>
      </w:r>
    </w:p>
    <w:p>
      <w:pPr>
        <w:spacing w:after="0" w:line="198" w:lineRule="exact"/>
        <w:rPr>
          <w:sz w:val="20"/>
          <w:szCs w:val="20"/>
          <w:color w:val="auto"/>
        </w:rPr>
      </w:pPr>
    </w:p>
    <w:p>
      <w:pPr>
        <w:ind w:left="680" w:right="280" w:hanging="321"/>
        <w:spacing w:after="0" w:line="263"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obtained an understanding, evaluated the design, and tested the operating effectiveness of management’s controls with regards to the methodology, inputs, and assumptions used to determine the incremental borrowing rate, including those over management’s review of its third-party specialist valuation report.</w:t>
      </w:r>
    </w:p>
    <w:p>
      <w:pPr>
        <w:spacing w:after="0" w:line="143" w:lineRule="exact"/>
        <w:rPr>
          <w:rFonts w:ascii="Arial" w:cs="Arial" w:eastAsia="Arial" w:hAnsi="Arial"/>
          <w:sz w:val="18"/>
          <w:szCs w:val="18"/>
          <w:color w:val="auto"/>
        </w:rPr>
      </w:pPr>
    </w:p>
    <w:p>
      <w:pPr>
        <w:jc w:val="both"/>
        <w:ind w:left="680" w:right="40" w:hanging="321"/>
        <w:spacing w:after="0" w:line="286" w:lineRule="auto"/>
        <w:tabs>
          <w:tab w:leader="none" w:pos="6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obtained an understanding of the factors considered and assumptions made by management and the valuation specialists in developing the estimate of the incremental borrowing rate, the sources of data relevant to these factors and assumptions and the procedures used to obtain the data, and the methods used to calculate the estimate.</w:t>
      </w:r>
    </w:p>
    <w:p>
      <w:pPr>
        <w:spacing w:after="0" w:line="124" w:lineRule="exact"/>
        <w:rPr>
          <w:rFonts w:ascii="Arial" w:cs="Arial" w:eastAsia="Arial" w:hAnsi="Arial"/>
          <w:sz w:val="17"/>
          <w:szCs w:val="17"/>
          <w:color w:val="auto"/>
        </w:rPr>
      </w:pPr>
    </w:p>
    <w:p>
      <w:pPr>
        <w:ind w:left="680" w:hanging="321"/>
        <w:spacing w:after="0" w:line="263"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reviewed the contractual terms of the lease agreements to ensure the commencement dates, any lease term extensions and/or early termination clauses were properly considered in determining the appropriate lease term for calculating the incremental borrowing rates.</w:t>
      </w:r>
    </w:p>
    <w:p>
      <w:pPr>
        <w:spacing w:after="0" w:line="156" w:lineRule="exact"/>
        <w:rPr>
          <w:rFonts w:ascii="Arial" w:cs="Arial" w:eastAsia="Arial" w:hAnsi="Arial"/>
          <w:sz w:val="18"/>
          <w:szCs w:val="18"/>
          <w:color w:val="auto"/>
        </w:rPr>
      </w:pPr>
    </w:p>
    <w:p>
      <w:pPr>
        <w:ind w:left="680" w:right="220" w:hanging="321"/>
        <w:spacing w:after="0" w:line="277"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the assistance of our valuation specialists, we performed an independent estimate of the incremental borrowing rate and compared the results to the Company’s estimate.</w:t>
      </w:r>
    </w:p>
    <w:p>
      <w:pPr>
        <w:spacing w:after="0" w:line="129" w:lineRule="exact"/>
        <w:rPr>
          <w:rFonts w:ascii="Arial" w:cs="Arial" w:eastAsia="Arial" w:hAnsi="Arial"/>
          <w:sz w:val="18"/>
          <w:szCs w:val="18"/>
          <w:color w:val="auto"/>
        </w:rPr>
      </w:pPr>
    </w:p>
    <w:p>
      <w:pPr>
        <w:jc w:val="both"/>
        <w:ind w:left="680" w:right="80" w:hanging="321"/>
        <w:spacing w:after="0" w:line="263"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evaluated the reasonableness of the valuation methods and assumptions used by management and the Company’s valuation specialist to estimate the incremental borrowing rates for borrowing amounts and terms comparable to their outstanding leases by:</w:t>
      </w:r>
    </w:p>
    <w:p>
      <w:pPr>
        <w:spacing w:after="0" w:line="143" w:lineRule="exact"/>
        <w:rPr>
          <w:sz w:val="20"/>
          <w:szCs w:val="20"/>
          <w:color w:val="auto"/>
        </w:rPr>
      </w:pPr>
    </w:p>
    <w:p>
      <w:pPr>
        <w:ind w:left="1340" w:right="40" w:hanging="333"/>
        <w:spacing w:after="0" w:line="323" w:lineRule="auto"/>
        <w:tabs>
          <w:tab w:leader="none" w:pos="1340" w:val="left"/>
        </w:tabs>
        <w:numPr>
          <w:ilvl w:val="0"/>
          <w:numId w:val="49"/>
        </w:numPr>
        <w:rPr>
          <w:rFonts w:ascii="Courier New" w:cs="Courier New" w:eastAsia="Courier New" w:hAnsi="Courier New"/>
          <w:sz w:val="16"/>
          <w:szCs w:val="16"/>
          <w:color w:val="auto"/>
        </w:rPr>
      </w:pPr>
      <w:r>
        <w:rPr>
          <w:rFonts w:ascii="Arial" w:cs="Arial" w:eastAsia="Arial" w:hAnsi="Arial"/>
          <w:sz w:val="16"/>
          <w:szCs w:val="16"/>
          <w:color w:val="auto"/>
        </w:rPr>
        <w:t>Developing an independent estimate of the incremental borrowing rates with the assistance of our valuation specialists by utilizing third party data related to comparable company borrowings with comparable payment terms.</w:t>
      </w:r>
    </w:p>
    <w:p>
      <w:pPr>
        <w:spacing w:after="0" w:line="106" w:lineRule="exact"/>
        <w:rPr>
          <w:rFonts w:ascii="Courier New" w:cs="Courier New" w:eastAsia="Courier New" w:hAnsi="Courier New"/>
          <w:sz w:val="16"/>
          <w:szCs w:val="16"/>
          <w:color w:val="auto"/>
        </w:rPr>
      </w:pPr>
    </w:p>
    <w:p>
      <w:pPr>
        <w:ind w:left="1340" w:right="20" w:hanging="333"/>
        <w:spacing w:after="0" w:line="323" w:lineRule="auto"/>
        <w:tabs>
          <w:tab w:leader="none" w:pos="1340" w:val="left"/>
        </w:tabs>
        <w:numPr>
          <w:ilvl w:val="0"/>
          <w:numId w:val="49"/>
        </w:numPr>
        <w:rPr>
          <w:rFonts w:ascii="Courier New" w:cs="Courier New" w:eastAsia="Courier New" w:hAnsi="Courier New"/>
          <w:sz w:val="16"/>
          <w:szCs w:val="16"/>
          <w:color w:val="auto"/>
        </w:rPr>
      </w:pPr>
      <w:r>
        <w:rPr>
          <w:rFonts w:ascii="Arial" w:cs="Arial" w:eastAsia="Arial" w:hAnsi="Arial"/>
          <w:sz w:val="16"/>
          <w:szCs w:val="16"/>
          <w:color w:val="auto"/>
        </w:rPr>
        <w:t>Performing a sensitivity analysis on incremental borrowing rates used to determine the impact rate changes could have on the present value calculation of the Company’s operating lease right-of-use assets and operating lease liabilities.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2016 to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231,731</w:t>
            </w:r>
          </w:p>
        </w:tc>
        <w:tc>
          <w:tcPr>
            <w:tcW w:w="220" w:type="dxa"/>
            <w:vAlign w:val="bottom"/>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78,229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Short-term investments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240,114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426,181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Prepaid expenses and other assets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7,271</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Current Assets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479,116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507,956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Property and equipment, net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105,232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73,015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68,983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investments</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6,430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assets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663,982</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777,333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26,603</w:t>
            </w:r>
          </w:p>
        </w:tc>
        <w:tc>
          <w:tcPr>
            <w:tcW w:w="220" w:type="dxa"/>
            <w:vAlign w:val="bottom"/>
            <w:shd w:val="clear" w:color="auto" w:fill="CCEEFF"/>
          </w:tcPr>
          <w:p>
            <w:pPr>
              <w:spacing w:after="0"/>
              <w:rPr>
                <w:sz w:val="17"/>
                <w:szCs w:val="17"/>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200"/>
              <w:spacing w:after="0"/>
              <w:rPr>
                <w:sz w:val="20"/>
                <w:szCs w:val="20"/>
                <w:color w:val="auto"/>
              </w:rPr>
            </w:pPr>
            <w:r>
              <w:rPr>
                <w:rFonts w:ascii="Arial" w:cs="Arial" w:eastAsia="Arial" w:hAnsi="Arial"/>
                <w:sz w:val="16"/>
                <w:szCs w:val="16"/>
                <w:color w:val="auto"/>
              </w:rPr>
              <w:t>Accrued expenses</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52,295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56,766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Current Liabilities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91,485</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89,200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 – non-current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71,859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Long-term note payable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Non-Current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72,859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Liabilities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164,344</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155,674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4"/>
              </w:rPr>
              <w:t>Series A Convertible Preferred stock, $0.001 par value; 17,000 shares designated, 194 shares issued and</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outstanding as of December 31, 2022 and December 31, 2021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40" w:type="dxa"/>
            <w:vAlign w:val="bottom"/>
          </w:tcPr>
          <w:p>
            <w:pPr>
              <w:ind w:left="100"/>
              <w:spacing w:after="0"/>
              <w:rPr>
                <w:sz w:val="20"/>
                <w:szCs w:val="20"/>
                <w:color w:val="auto"/>
              </w:rPr>
            </w:pPr>
            <w:r>
              <w:rPr>
                <w:rFonts w:ascii="Arial" w:cs="Arial" w:eastAsia="Arial" w:hAnsi="Arial"/>
                <w:sz w:val="16"/>
                <w:szCs w:val="16"/>
                <w:color w:val="auto"/>
                <w:w w:val="95"/>
              </w:rPr>
              <w:t>Series B Convertible Preferred stock, $0.001 par value; 11,500,000 shares designated, 2,842,158 shares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Arial" w:cs="Arial" w:eastAsia="Arial" w:hAnsi="Arial"/>
                <w:sz w:val="16"/>
                <w:szCs w:val="16"/>
                <w:color w:val="auto"/>
              </w:rPr>
              <w:t>issued and outstanding as of December 31, 2022 and December 31, 2021</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Common stock, $0.000041666 par value; 300,000,000 shares authorized, 187,812,072 and 157,004,742</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shares issued and outstanding as of December 31, 2022 and December 31, 2021, respectively</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00"/>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(902)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2,068,867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1,794,695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00"/>
              <w:spacing w:after="0"/>
              <w:rPr>
                <w:sz w:val="20"/>
                <w:szCs w:val="20"/>
                <w:color w:val="auto"/>
              </w:rPr>
            </w:pPr>
            <w:r>
              <w:rPr>
                <w:rFonts w:ascii="Arial" w:cs="Arial" w:eastAsia="Arial" w:hAnsi="Arial"/>
                <w:sz w:val="16"/>
                <w:szCs w:val="16"/>
                <w:color w:val="auto"/>
              </w:rPr>
              <w:t>Accumulated deficit</w:t>
            </w:r>
          </w:p>
        </w:tc>
        <w:tc>
          <w:tcPr>
            <w:tcW w:w="10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(1,568,338)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(1,172,445)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499,638</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621,659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tcPr>
          <w:p>
            <w:pPr>
              <w:ind w:left="100"/>
              <w:spacing w:after="0"/>
              <w:rPr>
                <w:sz w:val="20"/>
                <w:szCs w:val="20"/>
                <w:color w:val="auto"/>
              </w:rPr>
            </w:pPr>
            <w:r>
              <w:rPr>
                <w:rFonts w:ascii="Arial" w:cs="Arial" w:eastAsia="Arial" w:hAnsi="Arial"/>
                <w:sz w:val="16"/>
                <w:szCs w:val="16"/>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663,982</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information)</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right"/>
              <w:ind w:right="107"/>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294,781</w:t>
            </w:r>
          </w:p>
        </w:tc>
        <w:tc>
          <w:tcPr>
            <w:tcW w:w="10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259,039</w:t>
            </w:r>
          </w:p>
        </w:tc>
        <w:tc>
          <w:tcPr>
            <w:tcW w:w="24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83,664</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costs and expenses</w:t>
            </w:r>
          </w:p>
        </w:tc>
        <w:tc>
          <w:tcPr>
            <w:tcW w:w="5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398,878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342,703</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(398,878)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(342,703)</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(261,937)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income, net</w:t>
            </w:r>
          </w:p>
        </w:tc>
        <w:tc>
          <w:tcPr>
            <w:tcW w:w="5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(395,893)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(342,252)</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Share of Common Stock, Basic and Diluted</w:t>
            </w:r>
          </w:p>
        </w:tc>
        <w:tc>
          <w:tcPr>
            <w:tcW w:w="5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gridSpan w:val="2"/>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w:t>
            </w:r>
          </w:p>
        </w:tc>
        <w:tc>
          <w:tcPr>
            <w:tcW w:w="1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w:t>
            </w:r>
          </w:p>
        </w:tc>
        <w:tc>
          <w:tcPr>
            <w:tcW w:w="240" w:type="dxa"/>
            <w:vAlign w:val="bottom"/>
            <w:vMerge w:val="continue"/>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72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7"/>
                <w:szCs w:val="17"/>
                <w:b w:val="1"/>
                <w:bCs w:val="1"/>
                <w:color w:val="auto"/>
              </w:rPr>
              <w:t>Weighted Average Shares of Common Stock Outstanding, Basic and</w:t>
            </w:r>
          </w:p>
        </w:tc>
        <w:tc>
          <w:tcPr>
            <w:tcW w:w="5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159,259</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153,406</w:t>
            </w:r>
          </w:p>
        </w:tc>
        <w:tc>
          <w:tcPr>
            <w:tcW w:w="2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138,301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5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ind w:right="127"/>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4"/>
                <w:szCs w:val="14"/>
                <w:color w:val="auto"/>
              </w:rPr>
            </w:pPr>
          </w:p>
        </w:tc>
      </w:tr>
      <w:tr>
        <w:trPr>
          <w:trHeight w:val="142"/>
        </w:trPr>
        <w:tc>
          <w:tcPr>
            <w:tcW w:w="6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(342,252)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(259,581)</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on investments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10"/>
        </w:trPr>
        <w:tc>
          <w:tcPr>
            <w:tcW w:w="622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(396,194)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(342,872)</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(259,782)</w:t>
            </w:r>
          </w:p>
        </w:tc>
      </w:tr>
      <w:tr>
        <w:trPr>
          <w:trHeight w:val="20"/>
        </w:trPr>
        <w:tc>
          <w:tcPr>
            <w:tcW w:w="6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tbl>
      <w:tblPr>
        <w:tblLayout w:type="fixed"/>
        <w:tblInd w:w="0" w:type="dxa"/>
        <w:tblCellMar>
          <w:top w:w="0" w:type="dxa"/>
          <w:left w:w="0" w:type="dxa"/>
          <w:bottom w:w="0" w:type="dxa"/>
          <w:right w:w="0" w:type="dxa"/>
        </w:tblCellMar>
      </w:tblPr>
      <w:tr>
        <w:trPr>
          <w:trHeight w:val="139"/>
        </w:trPr>
        <w:tc>
          <w:tcPr>
            <w:tcW w:w="2540" w:type="dxa"/>
            <w:vAlign w:val="bottom"/>
          </w:tcPr>
          <w:p>
            <w:pPr>
              <w:spacing w:after="0"/>
              <w:rPr>
                <w:sz w:val="12"/>
                <w:szCs w:val="12"/>
                <w:color w:val="auto"/>
              </w:rPr>
            </w:pPr>
          </w:p>
        </w:tc>
        <w:tc>
          <w:tcPr>
            <w:tcW w:w="740" w:type="dxa"/>
            <w:vAlign w:val="bottom"/>
            <w:gridSpan w:val="4"/>
          </w:tcPr>
          <w:p>
            <w:pPr>
              <w:jc w:val="center"/>
              <w:ind w:left="117"/>
              <w:spacing w:after="0" w:line="139" w:lineRule="exact"/>
              <w:rPr>
                <w:sz w:val="20"/>
                <w:szCs w:val="20"/>
                <w:color w:val="auto"/>
              </w:rPr>
            </w:pPr>
            <w:r>
              <w:rPr>
                <w:rFonts w:ascii="Arial" w:cs="Arial" w:eastAsia="Arial" w:hAnsi="Arial"/>
                <w:sz w:val="13"/>
                <w:szCs w:val="13"/>
                <w:b w:val="1"/>
                <w:bCs w:val="1"/>
                <w:color w:val="auto"/>
                <w:w w:val="84"/>
              </w:rPr>
              <w:t>Series A</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tcPr>
          <w:p>
            <w:pPr>
              <w:jc w:val="center"/>
              <w:ind w:left="137"/>
              <w:spacing w:after="0" w:line="139" w:lineRule="exact"/>
              <w:rPr>
                <w:sz w:val="20"/>
                <w:szCs w:val="20"/>
                <w:color w:val="auto"/>
              </w:rPr>
            </w:pPr>
            <w:r>
              <w:rPr>
                <w:rFonts w:ascii="Arial" w:cs="Arial" w:eastAsia="Arial" w:hAnsi="Arial"/>
                <w:sz w:val="13"/>
                <w:szCs w:val="13"/>
                <w:b w:val="1"/>
                <w:bCs w:val="1"/>
                <w:color w:val="auto"/>
                <w:w w:val="84"/>
              </w:rPr>
              <w:t>Series B</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5"/>
        </w:trPr>
        <w:tc>
          <w:tcPr>
            <w:tcW w:w="2540" w:type="dxa"/>
            <w:vAlign w:val="bottom"/>
          </w:tcPr>
          <w:p>
            <w:pPr>
              <w:spacing w:after="0"/>
              <w:rPr>
                <w:sz w:val="11"/>
                <w:szCs w:val="11"/>
                <w:color w:val="auto"/>
              </w:rPr>
            </w:pPr>
          </w:p>
        </w:tc>
        <w:tc>
          <w:tcPr>
            <w:tcW w:w="1080" w:type="dxa"/>
            <w:vAlign w:val="bottom"/>
            <w:gridSpan w:val="6"/>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960" w:type="dxa"/>
            <w:vAlign w:val="bottom"/>
            <w:gridSpan w:val="4"/>
          </w:tcPr>
          <w:p>
            <w:pPr>
              <w:jc w:val="center"/>
              <w:ind w:left="137"/>
              <w:spacing w:after="0" w:line="135" w:lineRule="exact"/>
              <w:rPr>
                <w:sz w:val="20"/>
                <w:szCs w:val="20"/>
                <w:color w:val="auto"/>
              </w:rPr>
            </w:pPr>
            <w:r>
              <w:rPr>
                <w:rFonts w:ascii="Arial" w:cs="Arial" w:eastAsia="Arial" w:hAnsi="Arial"/>
                <w:sz w:val="13"/>
                <w:szCs w:val="13"/>
                <w:b w:val="1"/>
                <w:bCs w:val="1"/>
                <w:color w:val="auto"/>
                <w:w w:val="89"/>
              </w:rPr>
              <w:t>Convertible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0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6"/>
              </w:rPr>
              <w:t>Accumulated other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Total</w:t>
            </w:r>
          </w:p>
        </w:tc>
      </w:tr>
      <w:tr>
        <w:trPr>
          <w:trHeight w:val="153"/>
        </w:trPr>
        <w:tc>
          <w:tcPr>
            <w:tcW w:w="2540" w:type="dxa"/>
            <w:vAlign w:val="bottom"/>
          </w:tcPr>
          <w:p>
            <w:pPr>
              <w:spacing w:after="0"/>
              <w:rPr>
                <w:sz w:val="13"/>
                <w:szCs w:val="13"/>
                <w:color w:val="auto"/>
              </w:rPr>
            </w:pPr>
          </w:p>
        </w:tc>
        <w:tc>
          <w:tcPr>
            <w:tcW w:w="108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86"/>
              </w:rPr>
              <w:t>Preferred Sock</w:t>
            </w:r>
          </w:p>
        </w:tc>
        <w:tc>
          <w:tcPr>
            <w:tcW w:w="130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88"/>
              </w:rPr>
              <w:t>Preferred Stock</w:t>
            </w:r>
          </w:p>
        </w:tc>
        <w:tc>
          <w:tcPr>
            <w:tcW w:w="1100" w:type="dxa"/>
            <w:vAlign w:val="bottom"/>
            <w:gridSpan w:val="4"/>
          </w:tcPr>
          <w:p>
            <w:pPr>
              <w:ind w:left="240"/>
              <w:spacing w:after="0"/>
              <w:rPr>
                <w:sz w:val="20"/>
                <w:szCs w:val="20"/>
                <w:color w:val="auto"/>
              </w:rPr>
            </w:pPr>
            <w:r>
              <w:rPr>
                <w:rFonts w:ascii="Arial" w:cs="Arial" w:eastAsia="Arial" w:hAnsi="Arial"/>
                <w:sz w:val="13"/>
                <w:szCs w:val="13"/>
                <w:b w:val="1"/>
                <w:bCs w:val="1"/>
                <w:color w:val="auto"/>
                <w:w w:val="88"/>
              </w:rPr>
              <w:t>Common Stock</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3"/>
                <w:szCs w:val="13"/>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b w:val="1"/>
                <w:bCs w:val="1"/>
                <w:color w:val="auto"/>
                <w:w w:val="84"/>
              </w:rPr>
              <w:t>Comprehensive</w:t>
            </w:r>
          </w:p>
        </w:tc>
        <w:tc>
          <w:tcPr>
            <w:tcW w:w="980" w:type="dxa"/>
            <w:vAlign w:val="bottom"/>
            <w:gridSpan w:val="4"/>
          </w:tcPr>
          <w:p>
            <w:pPr>
              <w:ind w:left="140"/>
              <w:spacing w:after="0"/>
              <w:rPr>
                <w:sz w:val="20"/>
                <w:szCs w:val="20"/>
                <w:color w:val="auto"/>
              </w:rPr>
            </w:pPr>
            <w:r>
              <w:rPr>
                <w:rFonts w:ascii="Arial" w:cs="Arial" w:eastAsia="Arial" w:hAnsi="Arial"/>
                <w:sz w:val="13"/>
                <w:szCs w:val="13"/>
                <w:b w:val="1"/>
                <w:bCs w:val="1"/>
                <w:color w:val="auto"/>
              </w:rPr>
              <w:t>Accumulated</w:t>
            </w: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w w:val="86"/>
              </w:rPr>
              <w:t>Stockholders’</w:t>
            </w:r>
          </w:p>
        </w:tc>
      </w:tr>
      <w:tr>
        <w:trPr>
          <w:trHeight w:val="129"/>
        </w:trPr>
        <w:tc>
          <w:tcPr>
            <w:tcW w:w="2540" w:type="dxa"/>
            <w:vAlign w:val="bottom"/>
          </w:tcPr>
          <w:p>
            <w:pPr>
              <w:spacing w:after="0"/>
              <w:rPr>
                <w:sz w:val="11"/>
                <w:szCs w:val="11"/>
                <w:color w:val="auto"/>
              </w:rPr>
            </w:pPr>
          </w:p>
        </w:tc>
        <w:tc>
          <w:tcPr>
            <w:tcW w:w="5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Shares</w:t>
            </w:r>
          </w:p>
        </w:tc>
        <w:tc>
          <w:tcPr>
            <w:tcW w:w="4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1"/>
                <w:szCs w:val="11"/>
                <w:color w:val="auto"/>
              </w:rPr>
            </w:pPr>
          </w:p>
        </w:tc>
        <w:tc>
          <w:tcPr>
            <w:tcW w:w="72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3"/>
                <w:szCs w:val="13"/>
                <w:b w:val="1"/>
                <w:bCs w:val="1"/>
                <w:color w:val="auto"/>
              </w:rPr>
              <w:t>Shares</w:t>
            </w:r>
          </w:p>
        </w:tc>
        <w:tc>
          <w:tcPr>
            <w:tcW w:w="4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86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3"/>
                <w:szCs w:val="13"/>
                <w:b w:val="1"/>
                <w:bCs w:val="1"/>
                <w:color w:val="auto"/>
              </w:rPr>
              <w:t>Shares</w:t>
            </w:r>
          </w:p>
        </w:tc>
        <w:tc>
          <w:tcPr>
            <w:tcW w:w="4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940" w:type="dxa"/>
            <w:vAlign w:val="bottom"/>
          </w:tcPr>
          <w:p>
            <w:pPr>
              <w:jc w:val="right"/>
              <w:ind w:right="257"/>
              <w:spacing w:after="0" w:line="129" w:lineRule="exact"/>
              <w:rPr>
                <w:sz w:val="20"/>
                <w:szCs w:val="20"/>
                <w:color w:val="auto"/>
              </w:rPr>
            </w:pPr>
            <w:r>
              <w:rPr>
                <w:rFonts w:ascii="Arial" w:cs="Arial" w:eastAsia="Arial" w:hAnsi="Arial"/>
                <w:sz w:val="13"/>
                <w:szCs w:val="13"/>
                <w:b w:val="1"/>
                <w:bCs w:val="1"/>
                <w:color w:val="auto"/>
              </w:rPr>
              <w:t>Income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1"/>
                <w:szCs w:val="11"/>
                <w:color w:val="auto"/>
              </w:rPr>
            </w:pPr>
          </w:p>
        </w:tc>
        <w:tc>
          <w:tcPr>
            <w:tcW w:w="660" w:type="dxa"/>
            <w:vAlign w:val="bottom"/>
          </w:tcPr>
          <w:p>
            <w:pPr>
              <w:jc w:val="right"/>
              <w:ind w:right="137"/>
              <w:spacing w:after="0" w:line="129" w:lineRule="exact"/>
              <w:rPr>
                <w:sz w:val="20"/>
                <w:szCs w:val="20"/>
                <w:color w:val="auto"/>
              </w:rPr>
            </w:pPr>
            <w:r>
              <w:rPr>
                <w:rFonts w:ascii="Arial" w:cs="Arial" w:eastAsia="Arial" w:hAnsi="Arial"/>
                <w:sz w:val="13"/>
                <w:szCs w:val="13"/>
                <w:b w:val="1"/>
                <w:bCs w:val="1"/>
                <w:color w:val="auto"/>
              </w:rPr>
              <w:t>Equity</w:t>
            </w:r>
          </w:p>
        </w:tc>
      </w:tr>
      <w:tr>
        <w:trPr>
          <w:trHeight w:val="128"/>
        </w:trPr>
        <w:tc>
          <w:tcPr>
            <w:tcW w:w="25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 January 1, 2020</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ind w:left="4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3,581,119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1"/>
              </w:rPr>
              <w:t>126,411,808</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869,354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(570,612)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298,971</w:t>
            </w:r>
          </w:p>
        </w:tc>
      </w:tr>
      <w:tr>
        <w:trPr>
          <w:trHeight w:val="135"/>
        </w:trPr>
        <w:tc>
          <w:tcPr>
            <w:tcW w:w="2540" w:type="dxa"/>
            <w:vAlign w:val="bottom"/>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40,775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40,775</w:t>
            </w:r>
          </w:p>
        </w:tc>
      </w:tr>
      <w:tr>
        <w:trPr>
          <w:trHeight w:val="121"/>
        </w:trPr>
        <w:tc>
          <w:tcPr>
            <w:tcW w:w="25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Vesting of restricted stock shares issued for</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services</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13,449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r>
      <w:tr>
        <w:trPr>
          <w:trHeight w:val="121"/>
        </w:trPr>
        <w:tc>
          <w:tcPr>
            <w:tcW w:w="2540" w:type="dxa"/>
            <w:vAlign w:val="bottom"/>
          </w:tcPr>
          <w:p>
            <w:pPr>
              <w:spacing w:after="0" w:line="121" w:lineRule="exact"/>
              <w:rPr>
                <w:sz w:val="20"/>
                <w:szCs w:val="20"/>
                <w:color w:val="auto"/>
              </w:rPr>
            </w:pPr>
            <w:r>
              <w:rPr>
                <w:rFonts w:ascii="Arial" w:cs="Arial" w:eastAsia="Arial" w:hAnsi="Arial"/>
                <w:sz w:val="13"/>
                <w:szCs w:val="13"/>
                <w:color w:val="auto"/>
                <w:w w:val="99"/>
              </w:rPr>
              <w:t>Tax payments related to shares withheld for</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540" w:type="dxa"/>
            <w:vAlign w:val="bottom"/>
          </w:tcPr>
          <w:p>
            <w:pPr>
              <w:spacing w:after="0"/>
              <w:rPr>
                <w:sz w:val="20"/>
                <w:szCs w:val="20"/>
                <w:color w:val="auto"/>
              </w:rPr>
            </w:pPr>
            <w:r>
              <w:rPr>
                <w:rFonts w:ascii="Arial" w:cs="Arial" w:eastAsia="Arial" w:hAnsi="Arial"/>
                <w:sz w:val="13"/>
                <w:szCs w:val="13"/>
                <w:color w:val="auto"/>
              </w:rPr>
              <w:t>vested restricted stock units</w:t>
            </w: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(284)</w:t>
            </w:r>
          </w:p>
        </w:tc>
      </w:tr>
      <w:tr>
        <w:trPr>
          <w:trHeight w:val="121"/>
        </w:trPr>
        <w:tc>
          <w:tcPr>
            <w:tcW w:w="25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Common stock issued upon exercise of stock</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options</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973,854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9,663</w:t>
            </w:r>
          </w:p>
        </w:tc>
      </w:tr>
      <w:tr>
        <w:trPr>
          <w:trHeight w:val="121"/>
        </w:trPr>
        <w:tc>
          <w:tcPr>
            <w:tcW w:w="2540" w:type="dxa"/>
            <w:vAlign w:val="bottom"/>
          </w:tcPr>
          <w:p>
            <w:pPr>
              <w:spacing w:after="0" w:line="121" w:lineRule="exact"/>
              <w:rPr>
                <w:sz w:val="20"/>
                <w:szCs w:val="20"/>
                <w:color w:val="auto"/>
              </w:rPr>
            </w:pPr>
            <w:r>
              <w:rPr>
                <w:rFonts w:ascii="Arial" w:cs="Arial" w:eastAsia="Arial" w:hAnsi="Arial"/>
                <w:sz w:val="13"/>
                <w:szCs w:val="13"/>
                <w:color w:val="auto"/>
                <w:w w:val="99"/>
              </w:rPr>
              <w:t>Common stock sold in public offering, net of</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540" w:type="dxa"/>
            <w:vAlign w:val="bottom"/>
          </w:tcPr>
          <w:p>
            <w:pPr>
              <w:spacing w:after="0"/>
              <w:rPr>
                <w:sz w:val="20"/>
                <w:szCs w:val="20"/>
                <w:color w:val="auto"/>
              </w:rPr>
            </w:pPr>
            <w:r>
              <w:rPr>
                <w:rFonts w:ascii="Arial" w:cs="Arial" w:eastAsia="Arial" w:hAnsi="Arial"/>
                <w:sz w:val="13"/>
                <w:szCs w:val="13"/>
                <w:color w:val="auto"/>
              </w:rPr>
              <w:t>offering costs</w:t>
            </w: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19,475,806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567,042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567,043</w:t>
            </w:r>
          </w:p>
        </w:tc>
      </w:tr>
      <w:tr>
        <w:trPr>
          <w:trHeight w:val="135"/>
        </w:trPr>
        <w:tc>
          <w:tcPr>
            <w:tcW w:w="2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Unrealized loss on investments</w:t>
            </w: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(201)</w:t>
            </w:r>
          </w:p>
        </w:tc>
      </w:tr>
      <w:tr>
        <w:trPr>
          <w:trHeight w:val="135"/>
        </w:trPr>
        <w:tc>
          <w:tcPr>
            <w:tcW w:w="254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(259,581)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(259,581)</w:t>
            </w:r>
          </w:p>
        </w:tc>
      </w:tr>
      <w:tr>
        <w:trPr>
          <w:trHeight w:val="128"/>
        </w:trPr>
        <w:tc>
          <w:tcPr>
            <w:tcW w:w="25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 December 31, 2020</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ind w:left="4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3,581,119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1"/>
              </w:rPr>
              <w:t>146,874,917</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1,486,662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w:t>
            </w:r>
          </w:p>
        </w:tc>
        <w:tc>
          <w:tcPr>
            <w:tcW w:w="220" w:type="dxa"/>
            <w:vAlign w:val="bottom"/>
            <w:tcBorders>
              <w:top w:val="single" w:sz="8" w:color="CCEEFF"/>
            </w:tcBorders>
            <w:gridSpan w:val="2"/>
            <w:shd w:val="clear" w:color="auto" w:fill="CCEEFF"/>
          </w:tcPr>
          <w:p>
            <w:pPr>
              <w:ind w:left="140"/>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(830,193)</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656,498</w:t>
            </w:r>
          </w:p>
        </w:tc>
      </w:tr>
      <w:tr>
        <w:trPr>
          <w:trHeight w:val="135"/>
        </w:trPr>
        <w:tc>
          <w:tcPr>
            <w:tcW w:w="2540" w:type="dxa"/>
            <w:vAlign w:val="bottom"/>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69,765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69,765</w:t>
            </w:r>
          </w:p>
        </w:tc>
      </w:tr>
      <w:tr>
        <w:trPr>
          <w:trHeight w:val="121"/>
        </w:trPr>
        <w:tc>
          <w:tcPr>
            <w:tcW w:w="25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5"/>
              </w:rPr>
              <w:t>Common stock issued upon purchase through</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employee stock purchase plan</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94,148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1,586</w:t>
            </w:r>
          </w:p>
        </w:tc>
      </w:tr>
      <w:tr>
        <w:trPr>
          <w:trHeight w:val="121"/>
        </w:trPr>
        <w:tc>
          <w:tcPr>
            <w:tcW w:w="2540" w:type="dxa"/>
            <w:vAlign w:val="bottom"/>
          </w:tcPr>
          <w:p>
            <w:pPr>
              <w:spacing w:after="0" w:line="121" w:lineRule="exact"/>
              <w:rPr>
                <w:sz w:val="20"/>
                <w:szCs w:val="20"/>
                <w:color w:val="auto"/>
              </w:rPr>
            </w:pPr>
            <w:r>
              <w:rPr>
                <w:rFonts w:ascii="Arial" w:cs="Arial" w:eastAsia="Arial" w:hAnsi="Arial"/>
                <w:sz w:val="13"/>
                <w:szCs w:val="13"/>
                <w:color w:val="auto"/>
                <w:w w:val="96"/>
              </w:rPr>
              <w:t>Common stock issued upon exercise of stock</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540" w:type="dxa"/>
            <w:vAlign w:val="bottom"/>
          </w:tcPr>
          <w:p>
            <w:pPr>
              <w:spacing w:after="0"/>
              <w:rPr>
                <w:sz w:val="20"/>
                <w:szCs w:val="20"/>
                <w:color w:val="auto"/>
              </w:rPr>
            </w:pPr>
            <w:r>
              <w:rPr>
                <w:rFonts w:ascii="Arial" w:cs="Arial" w:eastAsia="Arial" w:hAnsi="Arial"/>
                <w:sz w:val="13"/>
                <w:szCs w:val="13"/>
                <w:color w:val="auto"/>
              </w:rPr>
              <w:t>options</w:t>
            </w: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2,822,617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33,526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33,526</w:t>
            </w:r>
          </w:p>
        </w:tc>
      </w:tr>
      <w:tr>
        <w:trPr>
          <w:trHeight w:val="121"/>
        </w:trPr>
        <w:tc>
          <w:tcPr>
            <w:tcW w:w="25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9"/>
              </w:rPr>
              <w:t>Common stock sold in public offering, net of</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offering costs</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6,474,099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203,155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203,156</w:t>
            </w:r>
          </w:p>
        </w:tc>
      </w:tr>
      <w:tr>
        <w:trPr>
          <w:trHeight w:val="121"/>
        </w:trPr>
        <w:tc>
          <w:tcPr>
            <w:tcW w:w="2540" w:type="dxa"/>
            <w:vAlign w:val="bottom"/>
          </w:tcPr>
          <w:p>
            <w:pPr>
              <w:spacing w:after="0" w:line="121" w:lineRule="exact"/>
              <w:rPr>
                <w:sz w:val="20"/>
                <w:szCs w:val="20"/>
                <w:color w:val="auto"/>
              </w:rPr>
            </w:pPr>
            <w:r>
              <w:rPr>
                <w:rFonts w:ascii="Arial" w:cs="Arial" w:eastAsia="Arial" w:hAnsi="Arial"/>
                <w:sz w:val="13"/>
                <w:szCs w:val="13"/>
                <w:color w:val="auto"/>
              </w:rPr>
              <w:t>Common stock issued from preferred stock</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540" w:type="dxa"/>
            <w:vAlign w:val="bottom"/>
          </w:tcPr>
          <w:p>
            <w:pPr>
              <w:spacing w:after="0"/>
              <w:rPr>
                <w:sz w:val="20"/>
                <w:szCs w:val="20"/>
                <w:color w:val="auto"/>
              </w:rPr>
            </w:pPr>
            <w:r>
              <w:rPr>
                <w:rFonts w:ascii="Arial" w:cs="Arial" w:eastAsia="Arial" w:hAnsi="Arial"/>
                <w:sz w:val="13"/>
                <w:szCs w:val="13"/>
                <w:color w:val="auto"/>
              </w:rPr>
              <w:t>conversion</w:t>
            </w: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(738,961)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738,961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2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Unrealized loss on investments</w:t>
            </w: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(620)</w:t>
            </w:r>
          </w:p>
        </w:tc>
      </w:tr>
      <w:tr>
        <w:trPr>
          <w:trHeight w:val="135"/>
        </w:trPr>
        <w:tc>
          <w:tcPr>
            <w:tcW w:w="254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(342,252)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(342,252)</w:t>
            </w:r>
          </w:p>
        </w:tc>
      </w:tr>
      <w:tr>
        <w:trPr>
          <w:trHeight w:val="128"/>
        </w:trPr>
        <w:tc>
          <w:tcPr>
            <w:tcW w:w="25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 December 31, 2021</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ind w:left="4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2,842,158</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1"/>
              </w:rPr>
              <w:t>157,004,742</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1,794,695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(601)</w:t>
            </w:r>
          </w:p>
        </w:tc>
        <w:tc>
          <w:tcPr>
            <w:tcW w:w="220" w:type="dxa"/>
            <w:vAlign w:val="bottom"/>
            <w:tcBorders>
              <w:top w:val="single" w:sz="8" w:color="CCEEFF"/>
            </w:tcBorders>
            <w:gridSpan w:val="2"/>
            <w:shd w:val="clear" w:color="auto" w:fill="CCEEFF"/>
          </w:tcPr>
          <w:p>
            <w:pPr>
              <w:ind w:left="140"/>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(1,172,445)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621,659</w:t>
            </w:r>
          </w:p>
        </w:tc>
      </w:tr>
      <w:tr>
        <w:trPr>
          <w:trHeight w:val="135"/>
        </w:trPr>
        <w:tc>
          <w:tcPr>
            <w:tcW w:w="2540" w:type="dxa"/>
            <w:vAlign w:val="bottom"/>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84,022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84,022</w:t>
            </w:r>
          </w:p>
        </w:tc>
      </w:tr>
      <w:tr>
        <w:trPr>
          <w:trHeight w:val="121"/>
        </w:trPr>
        <w:tc>
          <w:tcPr>
            <w:tcW w:w="25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5"/>
              </w:rPr>
              <w:t>Common stock issued upon purchase through</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employee stock purchase plan</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262,701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1,655</w:t>
            </w:r>
          </w:p>
        </w:tc>
      </w:tr>
      <w:tr>
        <w:trPr>
          <w:trHeight w:val="135"/>
        </w:trPr>
        <w:tc>
          <w:tcPr>
            <w:tcW w:w="2540" w:type="dxa"/>
            <w:vAlign w:val="bottom"/>
          </w:tcPr>
          <w:p>
            <w:pPr>
              <w:spacing w:after="0" w:line="135" w:lineRule="exact"/>
              <w:rPr>
                <w:sz w:val="20"/>
                <w:szCs w:val="20"/>
                <w:color w:val="auto"/>
              </w:rPr>
            </w:pPr>
            <w:r>
              <w:rPr>
                <w:rFonts w:ascii="Arial" w:cs="Arial" w:eastAsia="Arial" w:hAnsi="Arial"/>
                <w:sz w:val="13"/>
                <w:szCs w:val="13"/>
                <w:color w:val="auto"/>
                <w:w w:val="93"/>
              </w:rPr>
              <w:t>Vesting of restricted shares issued for services</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894,760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25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Tax payments related to shares retired for</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vested restricted stock units</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(342,703)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(2,649)</w:t>
            </w:r>
          </w:p>
        </w:tc>
      </w:tr>
      <w:tr>
        <w:trPr>
          <w:trHeight w:val="121"/>
        </w:trPr>
        <w:tc>
          <w:tcPr>
            <w:tcW w:w="2540" w:type="dxa"/>
            <w:vAlign w:val="bottom"/>
          </w:tcPr>
          <w:p>
            <w:pPr>
              <w:spacing w:after="0" w:line="121" w:lineRule="exact"/>
              <w:rPr>
                <w:sz w:val="20"/>
                <w:szCs w:val="20"/>
                <w:color w:val="auto"/>
              </w:rPr>
            </w:pPr>
            <w:r>
              <w:rPr>
                <w:rFonts w:ascii="Arial" w:cs="Arial" w:eastAsia="Arial" w:hAnsi="Arial"/>
                <w:sz w:val="13"/>
                <w:szCs w:val="13"/>
                <w:color w:val="auto"/>
                <w:w w:val="96"/>
              </w:rPr>
              <w:t>Common stock issued upon exercise of stock</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540" w:type="dxa"/>
            <w:vAlign w:val="bottom"/>
          </w:tcPr>
          <w:p>
            <w:pPr>
              <w:spacing w:after="0"/>
              <w:rPr>
                <w:sz w:val="20"/>
                <w:szCs w:val="20"/>
                <w:color w:val="auto"/>
              </w:rPr>
            </w:pPr>
            <w:r>
              <w:rPr>
                <w:rFonts w:ascii="Arial" w:cs="Arial" w:eastAsia="Arial" w:hAnsi="Arial"/>
                <w:sz w:val="13"/>
                <w:szCs w:val="13"/>
                <w:color w:val="auto"/>
              </w:rPr>
              <w:t>options</w:t>
            </w: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203,579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1,642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1,642</w:t>
            </w:r>
          </w:p>
        </w:tc>
      </w:tr>
      <w:tr>
        <w:trPr>
          <w:trHeight w:val="135"/>
        </w:trPr>
        <w:tc>
          <w:tcPr>
            <w:tcW w:w="2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Unrealized loss on investments</w:t>
            </w: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(301)</w:t>
            </w:r>
          </w:p>
        </w:tc>
      </w:tr>
      <w:tr>
        <w:trPr>
          <w:trHeight w:val="121"/>
        </w:trPr>
        <w:tc>
          <w:tcPr>
            <w:tcW w:w="2540" w:type="dxa"/>
            <w:vAlign w:val="bottom"/>
          </w:tcPr>
          <w:p>
            <w:pPr>
              <w:spacing w:after="0" w:line="121" w:lineRule="exact"/>
              <w:rPr>
                <w:sz w:val="20"/>
                <w:szCs w:val="20"/>
                <w:color w:val="auto"/>
              </w:rPr>
            </w:pPr>
            <w:r>
              <w:rPr>
                <w:rFonts w:ascii="Arial" w:cs="Arial" w:eastAsia="Arial" w:hAnsi="Arial"/>
                <w:sz w:val="13"/>
                <w:szCs w:val="13"/>
                <w:color w:val="auto"/>
                <w:w w:val="99"/>
              </w:rPr>
              <w:t>Common stock sold in public offering, net of</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540" w:type="dxa"/>
            <w:vAlign w:val="bottom"/>
          </w:tcPr>
          <w:p>
            <w:pPr>
              <w:spacing w:after="0"/>
              <w:rPr>
                <w:sz w:val="20"/>
                <w:szCs w:val="20"/>
                <w:color w:val="auto"/>
              </w:rPr>
            </w:pPr>
            <w:r>
              <w:rPr>
                <w:rFonts w:ascii="Arial" w:cs="Arial" w:eastAsia="Arial" w:hAnsi="Arial"/>
                <w:sz w:val="13"/>
                <w:szCs w:val="13"/>
                <w:color w:val="auto"/>
              </w:rPr>
              <w:t>offering costs</w:t>
            </w: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29,788,993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189,501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189,502</w:t>
            </w:r>
          </w:p>
        </w:tc>
      </w:tr>
      <w:tr>
        <w:trPr>
          <w:trHeight w:val="135"/>
        </w:trPr>
        <w:tc>
          <w:tcPr>
            <w:tcW w:w="2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(395,893)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(395,893)</w:t>
            </w:r>
          </w:p>
        </w:tc>
      </w:tr>
      <w:tr>
        <w:trPr>
          <w:trHeight w:val="168"/>
        </w:trPr>
        <w:tc>
          <w:tcPr>
            <w:tcW w:w="254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Balance - December 31, 2022</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194</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ind w:left="4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2,842,158</w:t>
            </w:r>
          </w:p>
        </w:tc>
        <w:tc>
          <w:tcPr>
            <w:tcW w:w="1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Borders>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1"/>
              </w:rPr>
              <w:t>187,812,072</w:t>
            </w:r>
          </w:p>
        </w:tc>
        <w:tc>
          <w:tcPr>
            <w:tcW w:w="14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w:t>
            </w:r>
          </w:p>
        </w:tc>
        <w:tc>
          <w:tcPr>
            <w:tcW w:w="14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2,068,867</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(902)</w:t>
            </w:r>
          </w:p>
        </w:tc>
        <w:tc>
          <w:tcPr>
            <w:tcW w:w="1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(1,568,338)</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499,638</w:t>
            </w:r>
          </w:p>
        </w:tc>
      </w:tr>
      <w:tr>
        <w:trPr>
          <w:trHeight w:val="115"/>
        </w:trPr>
        <w:tc>
          <w:tcPr>
            <w:tcW w:w="25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127"/>
              <w:spacing w:after="0"/>
              <w:rPr>
                <w:sz w:val="20"/>
                <w:szCs w:val="20"/>
                <w:color w:val="auto"/>
              </w:rPr>
            </w:pPr>
            <w:r>
              <w:rPr>
                <w:rFonts w:ascii="Arial" w:cs="Arial" w:eastAsia="Arial" w:hAnsi="Arial"/>
                <w:sz w:val="14"/>
                <w:szCs w:val="14"/>
                <w:b w:val="1"/>
                <w:bCs w:val="1"/>
                <w:color w:val="auto"/>
                <w:w w:val="93"/>
              </w:rPr>
              <w:t>Years Ended December 31,</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(395,893)</w:t>
            </w:r>
          </w:p>
        </w:tc>
        <w:tc>
          <w:tcPr>
            <w:tcW w:w="5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(342,252)</w:t>
            </w:r>
          </w:p>
        </w:tc>
        <w:tc>
          <w:tcPr>
            <w:tcW w:w="5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(259,581)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84,022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69,765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right of use asset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9,310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Accretion of discounts and premiums on investments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Loss on write-off of fixed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Prepaid expenses, other assets and long-term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Operating lease liabilities, net of tenant improvement allowance received</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6,976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20,684</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(292,757)</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(227,941)</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Maturities of investments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522,696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762,914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Purchase of investments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(245,816)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(725,208)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(947,663)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(20,425)</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(37,574)</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 (used in) investing activities</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256,455</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Tax payments related to shares withheld for vested restricted stock units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tcPr>
          <w:p>
            <w:pPr>
              <w:ind w:left="100"/>
              <w:spacing w:after="0" w:line="201" w:lineRule="exact"/>
              <w:rPr>
                <w:sz w:val="20"/>
                <w:szCs w:val="20"/>
                <w:color w:val="auto"/>
              </w:rPr>
            </w:pPr>
            <w:r>
              <w:rPr>
                <w:rFonts w:ascii="Arial" w:cs="Arial" w:eastAsia="Arial" w:hAnsi="Arial"/>
                <w:sz w:val="18"/>
                <w:szCs w:val="18"/>
                <w:color w:val="auto"/>
                <w:w w:val="90"/>
              </w:rPr>
              <w:t>Proceeds from the issuance of common stock under employee stock purchase</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plan</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the issuance of common stock upon exercise of options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Proceeds from the issuance of common stock, net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189,502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203,156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567,043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the issuance of debt</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190,150</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239,268</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153,848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84,313</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72,854</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238,161</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84,313</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Supplemental disclosure of non-cash investing and financing activities: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Net unrealized loss on investments</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(301)</w:t>
            </w:r>
          </w:p>
        </w:tc>
        <w:tc>
          <w:tcPr>
            <w:tcW w:w="5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9"/>
              </w:rPr>
              <w:t>Acquisition of property and equipment included in accounts payable and</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12,410</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Conversion of convertible preferred stock to common stock</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Lease liabilities arising from obtaining right-of-use asset from new leases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tcPr>
          <w:p>
            <w:pPr>
              <w:ind w:left="100"/>
              <w:spacing w:after="0" w:line="201" w:lineRule="exact"/>
              <w:rPr>
                <w:sz w:val="20"/>
                <w:szCs w:val="20"/>
                <w:color w:val="auto"/>
              </w:rPr>
            </w:pPr>
            <w:r>
              <w:rPr>
                <w:rFonts w:ascii="Arial" w:cs="Arial" w:eastAsia="Arial" w:hAnsi="Arial"/>
                <w:sz w:val="18"/>
                <w:szCs w:val="18"/>
                <w:color w:val="auto"/>
              </w:rPr>
              <w:t>Lease liabilities arising from obtaining right-of-use asset from lease</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modifications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15,304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7,800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ind w:right="4380"/>
        <w:spacing w:after="0" w:line="464" w:lineRule="auto"/>
        <w:rPr>
          <w:sz w:val="20"/>
          <w:szCs w:val="20"/>
          <w:color w:val="auto"/>
        </w:rPr>
      </w:pPr>
      <w:r>
        <w:rPr>
          <w:rFonts w:ascii="Arial" w:cs="Arial" w:eastAsia="Arial" w:hAnsi="Arial"/>
          <w:sz w:val="18"/>
          <w:szCs w:val="18"/>
          <w:b w:val="1"/>
          <w:bCs w:val="1"/>
          <w:u w:val="single" w:color="auto"/>
          <w:color w:val="auto"/>
        </w:rPr>
        <w:t xml:space="preserve">NOTE 1. GENERAL ORGANIZATION, BUSINESS AND LIQUIDITY </w:t>
      </w:r>
      <w:r>
        <w:rPr>
          <w:rFonts w:ascii="Arial" w:cs="Arial" w:eastAsia="Arial" w:hAnsi="Arial"/>
          <w:sz w:val="18"/>
          <w:szCs w:val="18"/>
          <w:b w:val="1"/>
          <w:bCs w:val="1"/>
          <w:i w:val="1"/>
          <w:iCs w:val="1"/>
          <w:color w:val="auto"/>
        </w:rPr>
        <w:t>General Organization and Business</w:t>
      </w:r>
    </w:p>
    <w:p>
      <w:pPr>
        <w:ind w:firstLine="492"/>
        <w:spacing w:after="0" w:line="268" w:lineRule="auto"/>
        <w:rPr>
          <w:sz w:val="20"/>
          <w:szCs w:val="20"/>
          <w:color w:val="auto"/>
        </w:rPr>
      </w:pPr>
      <w:r>
        <w:rPr>
          <w:rFonts w:ascii="Arial" w:cs="Arial" w:eastAsia="Arial" w:hAnsi="Arial"/>
          <w:sz w:val="17"/>
          <w:szCs w:val="17"/>
          <w:color w:val="auto"/>
        </w:rPr>
        <w:t>Iovance Biotherapeutics, Inc. (the “Company”) is a clinical-stage biopharmaceutical company pioneering a transformational approach to treating cancer by harnessing the human immune system’s ability to recognize and destroy diverse cancer cells using therapies personalized for each patient. The Company’s mission is to be the global leader in innovating, developing and delivering tumor infiltrating lymphocyte (“TIL”) therapies for patients with solid tumor cancers. The Company’s autologous TIL therapy platform uses a centralized, scalable, and proprietary 22-day manufacturing process to grow polyclonal T-cells unique to each patient and yields a cryopreserved, individualized therapy. The Company is currently conducting clinical trials to investigate multiple TIL therapies for multiple indications, including its lead product candidate, lifileucel, for advanced, or metastatic or unresectable melanoma. The Company initiated a rolling Biologics License Application (“BLA”) submission to the U.S. Food and Drug Administration (“FDA”) for lifileucel in August 2022 and expects to complete the rolling BLA submission in the first quarter of 2023. The Company is also pursuing registrational strategies for lifileucel in advanced cervical cancer and for its TIL therapy LN-145 in metastatic non-small cell lung cancer (“NSCLC”). In addition, the Company is investigating next generation approaches to optimize TIL products, manufacturing processes and treatment regimens, including a first-in-human clinical trial of its lead genetically modified TIL therapy, IOV-4001. The Company is also exploring a 16-day manufacturing process, tumor tissue procurement via core biopsy, additional genetically modified TIL therapies including multiple immune checkpoint gene edits and cytokine-tethered TIL therapies, as well as, a novel interleukin-2 (“IL-2”) analog, designated IOV-3001, as potential avenues to improve manufacturing timelines, sample collection and supportive treatments involved in the overall TIL therapy process and treatment regimen.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ind w:right="180" w:firstLine="492"/>
        <w:spacing w:after="0" w:line="291" w:lineRule="auto"/>
        <w:rPr>
          <w:sz w:val="20"/>
          <w:szCs w:val="20"/>
          <w:color w:val="auto"/>
        </w:rPr>
      </w:pPr>
      <w:r>
        <w:rPr>
          <w:rFonts w:ascii="Arial" w:cs="Arial" w:eastAsia="Arial" w:hAnsi="Arial"/>
          <w:sz w:val="16"/>
          <w:szCs w:val="16"/>
          <w:color w:val="auto"/>
        </w:rPr>
        <w:t>The Company is currently engaged in the development of therapeutics to fight cancer, specifically solid tumors. The Company currently does not have any commercial products and has not yet generated any revenues from its business, nor does the Company currently anticipate that it will generate any significant revenues from the sale or licensing of any of its product candidates during the twelve months from the date these consolidated financial statements are issued. The Company has incurred a net loss of $395.9 million for the year ended December 31, 2022 and used $292.8 million of cash in its operating activities during the year ended December 31, 2022. As of December 31, 2022, the Company had $478.3 million in cash, cash equivalents, investments, and restricted cash ($231.7 million of cash and cash equivalents, $240.1 million in short-term investments and $6.4 million in restricted cash).</w:t>
      </w:r>
    </w:p>
    <w:p>
      <w:pPr>
        <w:spacing w:after="0" w:line="166" w:lineRule="exact"/>
        <w:rPr>
          <w:sz w:val="20"/>
          <w:szCs w:val="20"/>
          <w:color w:val="auto"/>
        </w:rPr>
      </w:pPr>
    </w:p>
    <w:p>
      <w:pPr>
        <w:ind w:right="140" w:firstLine="492"/>
        <w:spacing w:after="0" w:line="291" w:lineRule="auto"/>
        <w:rPr>
          <w:sz w:val="20"/>
          <w:szCs w:val="20"/>
          <w:color w:val="auto"/>
        </w:rPr>
      </w:pPr>
      <w:r>
        <w:rPr>
          <w:rFonts w:ascii="Arial" w:cs="Arial" w:eastAsia="Arial" w:hAnsi="Arial"/>
          <w:sz w:val="16"/>
          <w:szCs w:val="16"/>
          <w:color w:val="auto"/>
        </w:rPr>
        <w:t>The Company expects to continue to incur significant expenses to support its research and development activities, on-going pre-commercial activities and completion of the construction of tenant improvements for the Iovance Cell Therapy Center (the “</w:t>
      </w:r>
      <w:r>
        <w:rPr>
          <w:rFonts w:ascii="Arial" w:cs="Arial" w:eastAsia="Arial" w:hAnsi="Arial"/>
          <w:sz w:val="16"/>
          <w:szCs w:val="16"/>
          <w:i w:val="1"/>
          <w:iCs w:val="1"/>
          <w:color w:val="auto"/>
        </w:rPr>
        <w:t>i</w:t>
      </w:r>
      <w:r>
        <w:rPr>
          <w:rFonts w:ascii="Arial" w:cs="Arial" w:eastAsia="Arial" w:hAnsi="Arial"/>
          <w:sz w:val="16"/>
          <w:szCs w:val="16"/>
          <w:color w:val="auto"/>
        </w:rPr>
        <w:t>CTC”) facility during 2023 and beyond. Specifically, the Company expects continued spending on its current and planned clinical trials, continued expansion of manufacturing activities, higher payroll expenses as the Company increases its professional and scientific staff and continuation of pre-commercial activities. Based on the funds the Company has available as of the date these consolidated financial statements are issued, the Company believes that it has sufficient capital to fund its anticipated operating expenses and capital expenditures as planned for at least the next twelve months from the date these consolidated financial statements are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85"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The Company is subject to credit risk from its portfolio of cash, cash equivalents and investments. Under its investment policy, the Company limits amounts invested in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are safety and preservation of principal, diversification of risk, and liquidity of investments sufficient to meet cash flow requirements.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1" w:lineRule="exact"/>
        <w:rPr>
          <w:sz w:val="20"/>
          <w:szCs w:val="20"/>
          <w:color w:val="auto"/>
        </w:rPr>
      </w:pPr>
    </w:p>
    <w:p>
      <w:pPr>
        <w:ind w:right="4300"/>
        <w:spacing w:after="0" w:line="464" w:lineRule="auto"/>
        <w:rPr>
          <w:sz w:val="20"/>
          <w:szCs w:val="20"/>
          <w:color w:val="auto"/>
        </w:rPr>
      </w:pPr>
      <w:r>
        <w:rPr>
          <w:rFonts w:ascii="Arial" w:cs="Arial" w:eastAsia="Arial" w:hAnsi="Arial"/>
          <w:sz w:val="18"/>
          <w:szCs w:val="18"/>
          <w:b w:val="1"/>
          <w:bCs w:val="1"/>
          <w:u w:val="single" w:color="auto"/>
          <w:color w:val="auto"/>
        </w:rPr>
        <w:t xml:space="preserve">NOTE 2. SUMMARY OF SIGNIFICANT ACCOUNTING PRACTICES </w:t>
      </w:r>
      <w:r>
        <w:rPr>
          <w:rFonts w:ascii="Arial" w:cs="Arial" w:eastAsia="Arial" w:hAnsi="Arial"/>
          <w:sz w:val="18"/>
          <w:szCs w:val="18"/>
          <w:b w:val="1"/>
          <w:bCs w:val="1"/>
          <w:i w:val="1"/>
          <w:iCs w:val="1"/>
          <w:color w:val="auto"/>
        </w:rPr>
        <w:t>Cash, Cash Equivalents, and Investments</w:t>
      </w:r>
    </w:p>
    <w:p>
      <w:pPr>
        <w:ind w:right="100" w:firstLine="492"/>
        <w:spacing w:after="0" w:line="286" w:lineRule="auto"/>
        <w:rPr>
          <w:sz w:val="20"/>
          <w:szCs w:val="20"/>
          <w:color w:val="auto"/>
        </w:rPr>
      </w:pPr>
      <w:r>
        <w:rPr>
          <w:rFonts w:ascii="Arial" w:cs="Arial" w:eastAsia="Arial" w:hAnsi="Arial"/>
          <w:sz w:val="16"/>
          <w:szCs w:val="16"/>
          <w:color w:val="auto"/>
        </w:rPr>
        <w:t>The Company’s cash and cash equivalents include short-term investments with original maturities of three months or less when purchased. The Company's investments are classified as “available-for-sale.” The Company includes these investments in current assets or non-current assets in the Consolidated Balance Sheets based on the length of maturity from the reporting date and carries them at fair value. Unrealized gains and losses on available-for-sale securities are recorded in accumulated other comprehensive loss. Impairment losses related to credit losses (if any) are recorded as an allowance for credit losses with an offsetting entry to Interest income, net. No impairment losses related to credit losses were recognized for the years ended December 31, 2022, and 2021. The cost of debt securities is adjusted for the amortization of premiums and accretion of discounts to maturity. Such amortization and accretion are included in Interest income, net in the Consolidated Statements of Operations. Gains and losses on securities sold are recorded based on the specific identification method and are included in Interest income, net in the Consolidated Statements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commercial paper, and places restrictions on maturities and concentration by type and issuer, except for securities issued by the U.S. government.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85"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 xml:space="preserve">The Company maintains a required minimum balance in a segregated bank account in connection with its letters of credit for which amounts are restricted as to their use by the Company. Currently, the Company’s letters of credit are primarily comprised of one for the benefit of the landlord for the </w:t>
      </w:r>
      <w:r>
        <w:rPr>
          <w:rFonts w:ascii="Arial" w:cs="Arial" w:eastAsia="Arial" w:hAnsi="Arial"/>
          <w:sz w:val="17"/>
          <w:szCs w:val="17"/>
          <w:i w:val="1"/>
          <w:iCs w:val="1"/>
          <w:color w:val="auto"/>
        </w:rPr>
        <w:t>i</w:t>
      </w:r>
      <w:r>
        <w:rPr>
          <w:rFonts w:ascii="Arial" w:cs="Arial" w:eastAsia="Arial" w:hAnsi="Arial"/>
          <w:sz w:val="17"/>
          <w:szCs w:val="17"/>
          <w:color w:val="auto"/>
        </w:rPr>
        <w:t>CTC used as a security deposit for the lease in the amount $5.45 million (See Note 10 - Leases) and one for $0.6 million for the benefit of the landlord for the Company’s current headquarters’ lease. The total amount of the Company’s letters of credit is classified as Restricted Cash on the Consolidated Balance Sheets. The letter of credit for $5.45 million originally expired on May 28, 2020, however, it automatically extends for additional one-year periods, without written agreement, to May 28 in each succeeding calendar year, through at least 60 days after the lease expiration date. Further, on the expiration of the seventh year of the lease, and each anniversary date thereafter, the letter of credit may be decreased by $1.0 million with a minimum security deposit of $1.5 million maintained through the end of the lease term. The letter of credit with the landlord for the Company’s current headquarters’ lease expires on February 1, 2032, however, it will be automatically extended, without written agreement, for one-year periods to February in each succeeding calendar year. As of December 31, 2022 and December 31, 2021, restricted cash consisted of $6.4 million and $6.1 million, respectively. This amount has been classified as a non-current asset in the Company’s Consolidated Balance Sheets.</w:t>
      </w:r>
    </w:p>
    <w:p>
      <w:pPr>
        <w:spacing w:after="0" w:line="159" w:lineRule="exact"/>
        <w:rPr>
          <w:sz w:val="20"/>
          <w:szCs w:val="20"/>
          <w:color w:val="auto"/>
        </w:rPr>
      </w:pPr>
    </w:p>
    <w:p>
      <w:pPr>
        <w:ind w:right="300" w:firstLine="492"/>
        <w:spacing w:after="0" w:line="342" w:lineRule="auto"/>
        <w:rPr>
          <w:sz w:val="20"/>
          <w:szCs w:val="20"/>
          <w:color w:val="auto"/>
        </w:rPr>
      </w:pPr>
      <w:r>
        <w:rPr>
          <w:rFonts w:ascii="Arial" w:cs="Arial" w:eastAsia="Arial" w:hAnsi="Arial"/>
          <w:sz w:val="16"/>
          <w:szCs w:val="16"/>
          <w:color w:val="auto"/>
        </w:rPr>
        <w:t>The following table provides a reconciliation of cash and cash equivalents and restricted cash reported within the Consolidated Balance Sheets that sum to the total of the same such amounts shown in the Consolidated Statements of Cash Flows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2"/>
        </w:trPr>
        <w:tc>
          <w:tcPr>
            <w:tcW w:w="416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67,329</w:t>
            </w:r>
          </w:p>
        </w:tc>
      </w:tr>
      <w:tr>
        <w:trPr>
          <w:trHeight w:val="216"/>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20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6,430</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5,525</w:t>
            </w:r>
          </w:p>
        </w:tc>
      </w:tr>
      <w:tr>
        <w:trPr>
          <w:trHeight w:val="210"/>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cash, cash equivalents and restricted cash</w:t>
            </w:r>
          </w:p>
        </w:tc>
        <w:tc>
          <w:tcPr>
            <w:tcW w:w="2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238,161</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84,313</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72,854</w:t>
            </w:r>
          </w:p>
        </w:tc>
      </w:tr>
      <w:tr>
        <w:trPr>
          <w:trHeight w:val="20"/>
        </w:trPr>
        <w:tc>
          <w:tcPr>
            <w:tcW w:w="4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45"/>
        </w:trPr>
        <w:tc>
          <w:tcPr>
            <w:tcW w:w="4160" w:type="dxa"/>
            <w:vAlign w:val="bottom"/>
          </w:tcPr>
          <w:p>
            <w:pPr>
              <w:spacing w:after="0"/>
              <w:rPr>
                <w:sz w:val="24"/>
                <w:szCs w:val="24"/>
                <w:color w:val="auto"/>
              </w:rPr>
            </w:pPr>
          </w:p>
        </w:tc>
        <w:tc>
          <w:tcPr>
            <w:tcW w:w="2240" w:type="dxa"/>
            <w:vAlign w:val="bottom"/>
            <w:gridSpan w:val="2"/>
          </w:tcPr>
          <w:p>
            <w:pPr>
              <w:jc w:val="right"/>
              <w:ind w:right="1187"/>
              <w:spacing w:after="0"/>
              <w:rPr>
                <w:sz w:val="20"/>
                <w:szCs w:val="20"/>
                <w:color w:val="auto"/>
              </w:rPr>
            </w:pPr>
            <w:r>
              <w:rPr>
                <w:rFonts w:ascii="Arial" w:cs="Arial" w:eastAsia="Arial" w:hAnsi="Arial"/>
                <w:sz w:val="18"/>
                <w:szCs w:val="18"/>
                <w:color w:val="auto"/>
              </w:rPr>
              <w:t>F-12</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60"/>
        </w:trPr>
        <w:tc>
          <w:tcPr>
            <w:tcW w:w="4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Property and equipment are stated at cost, net of accumulated depreciation and amortization. The cost of property and equipment is depreciated or amortized on the straight-line method over the following estimated useful lives. The depreciation or amortization of capitalized construction in progress costs, a component of property and equipment, net, begins once the underlying asset is placed into service and is recognized over the estimated useful lives: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6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 years</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Computer software</w:t>
            </w:r>
          </w:p>
        </w:tc>
        <w:tc>
          <w:tcPr>
            <w:tcW w:w="6680" w:type="dxa"/>
            <w:vAlign w:val="bottom"/>
          </w:tcPr>
          <w:p>
            <w:pPr>
              <w:ind w:left="400"/>
              <w:spacing w:after="0"/>
              <w:rPr>
                <w:sz w:val="20"/>
                <w:szCs w:val="20"/>
                <w:color w:val="auto"/>
              </w:rPr>
            </w:pPr>
            <w:r>
              <w:rPr>
                <w:rFonts w:ascii="Arial" w:cs="Arial" w:eastAsia="Arial" w:hAnsi="Arial"/>
                <w:sz w:val="18"/>
                <w:szCs w:val="18"/>
                <w:color w:val="auto"/>
              </w:rPr>
              <w:t>5 years</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6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 years</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Lab, process, and validation equipment</w:t>
            </w:r>
          </w:p>
        </w:tc>
        <w:tc>
          <w:tcPr>
            <w:tcW w:w="6680" w:type="dxa"/>
            <w:vAlign w:val="bottom"/>
          </w:tcPr>
          <w:p>
            <w:pPr>
              <w:ind w:left="400"/>
              <w:spacing w:after="0"/>
              <w:rPr>
                <w:sz w:val="20"/>
                <w:szCs w:val="20"/>
                <w:color w:val="auto"/>
              </w:rPr>
            </w:pPr>
            <w:r>
              <w:rPr>
                <w:rFonts w:ascii="Arial" w:cs="Arial" w:eastAsia="Arial" w:hAnsi="Arial"/>
                <w:sz w:val="18"/>
                <w:szCs w:val="18"/>
                <w:color w:val="auto"/>
              </w:rPr>
              <w:t>5 years</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6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 – 7 years</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Utility equipment</w:t>
            </w:r>
          </w:p>
        </w:tc>
        <w:tc>
          <w:tcPr>
            <w:tcW w:w="6680" w:type="dxa"/>
            <w:vAlign w:val="bottom"/>
          </w:tcPr>
          <w:p>
            <w:pPr>
              <w:ind w:left="400"/>
              <w:spacing w:after="0"/>
              <w:rPr>
                <w:sz w:val="20"/>
                <w:szCs w:val="20"/>
                <w:color w:val="auto"/>
              </w:rPr>
            </w:pPr>
            <w:r>
              <w:rPr>
                <w:rFonts w:ascii="Arial" w:cs="Arial" w:eastAsia="Arial" w:hAnsi="Arial"/>
                <w:sz w:val="18"/>
                <w:szCs w:val="18"/>
                <w:color w:val="auto"/>
              </w:rPr>
              <w:t>Lesser of the remaining economic life of the asset or the lease-term</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Lesser of the remaining economic life of the asset or the lease-term</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Expenditures for maintenance and repairs are charged to operations as incurred while renewals and betterments are capitalized.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Gains and losses on disposals are included within operating expenses in the Consolidated Statements of Operations.</w:t>
      </w:r>
    </w:p>
    <w:p>
      <w:pPr>
        <w:spacing w:after="0" w:line="170" w:lineRule="exact"/>
        <w:rPr>
          <w:sz w:val="20"/>
          <w:szCs w:val="20"/>
          <w:color w:val="auto"/>
        </w:rPr>
      </w:pPr>
    </w:p>
    <w:p>
      <w:pPr>
        <w:ind w:right="40" w:firstLine="492"/>
        <w:spacing w:after="0" w:line="275" w:lineRule="auto"/>
        <w:rPr>
          <w:sz w:val="20"/>
          <w:szCs w:val="20"/>
          <w:color w:val="auto"/>
        </w:rPr>
      </w:pPr>
      <w:r>
        <w:rPr>
          <w:rFonts w:ascii="Arial" w:cs="Arial" w:eastAsia="Arial" w:hAnsi="Arial"/>
          <w:sz w:val="17"/>
          <w:szCs w:val="17"/>
          <w:color w:val="auto"/>
        </w:rPr>
        <w:t>Management assesses the carrying value of property and equipment whenever events or changes in circumstances indicate that the carrying value may not be recoverable. If there is an indication of impairment, management prepares an estimate of future undiscounted cash flows expected to result from the use of the asset and its eventual disposition. If these cash flows are less than the carrying amount of the asset, an impairment loss is recognized to write down the asset to its estimated fair value. For the years ended December 31, 2022, 2021, and 2020, the Company did not recognize any impairments for its property and equipment.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98" w:lineRule="exact"/>
        <w:rPr>
          <w:sz w:val="20"/>
          <w:szCs w:val="20"/>
          <w:color w:val="auto"/>
        </w:rPr>
      </w:pPr>
    </w:p>
    <w:p>
      <w:pPr>
        <w:ind w:right="440" w:firstLine="492"/>
        <w:spacing w:after="0" w:line="277" w:lineRule="auto"/>
        <w:rPr>
          <w:sz w:val="20"/>
          <w:szCs w:val="20"/>
          <w:color w:val="auto"/>
        </w:rPr>
      </w:pPr>
      <w:r>
        <w:rPr>
          <w:rFonts w:ascii="Arial" w:cs="Arial" w:eastAsia="Arial" w:hAnsi="Arial"/>
          <w:sz w:val="18"/>
          <w:szCs w:val="18"/>
          <w:color w:val="auto"/>
        </w:rPr>
        <w:t>Basic net loss per share is computed by dividing the net loss by the weighted average number of common shares outstanding during the period.</w:t>
      </w:r>
    </w:p>
    <w:p>
      <w:pPr>
        <w:spacing w:after="0" w:line="130" w:lineRule="exact"/>
        <w:rPr>
          <w:sz w:val="20"/>
          <w:szCs w:val="20"/>
          <w:color w:val="auto"/>
        </w:rPr>
      </w:pPr>
    </w:p>
    <w:p>
      <w:pPr>
        <w:ind w:right="100" w:firstLine="492"/>
        <w:spacing w:after="0" w:line="296" w:lineRule="auto"/>
        <w:rPr>
          <w:sz w:val="20"/>
          <w:szCs w:val="20"/>
          <w:color w:val="auto"/>
        </w:rPr>
      </w:pPr>
      <w:r>
        <w:rPr>
          <w:rFonts w:ascii="Arial" w:cs="Arial" w:eastAsia="Arial" w:hAnsi="Arial"/>
          <w:sz w:val="16"/>
          <w:szCs w:val="16"/>
          <w:color w:val="auto"/>
        </w:rPr>
        <w:t>Diluted net loss per share is computed by dividing the net loss by the sum of the weighted average number of shares of common stock outstanding and the dilutive common stock equivalent outstanding during the period. The Company’s potentially dilutive common stock equivalent shares, which include incremental common shares issuable upon (i) the exercise of outstanding stock options, (ii) purchases though the 2020 Employee Stock Purchase Plan (the “2020 ESPP”), (iii) vesting of restricted stock units, and (vi) conversion of preferred stock, are only included in the calculation of diluted net loss per share when their effect is dilutive.</w:t>
      </w:r>
    </w:p>
    <w:p>
      <w:pPr>
        <w:spacing w:after="0" w:line="121" w:lineRule="exact"/>
        <w:rPr>
          <w:sz w:val="20"/>
          <w:szCs w:val="20"/>
          <w:color w:val="auto"/>
        </w:rPr>
      </w:pPr>
    </w:p>
    <w:p>
      <w:pPr>
        <w:ind w:right="340" w:firstLine="492"/>
        <w:spacing w:after="0" w:line="277" w:lineRule="auto"/>
        <w:rPr>
          <w:sz w:val="20"/>
          <w:szCs w:val="20"/>
          <w:color w:val="auto"/>
        </w:rPr>
      </w:pPr>
      <w:r>
        <w:rPr>
          <w:rFonts w:ascii="Arial" w:cs="Arial" w:eastAsia="Arial" w:hAnsi="Arial"/>
          <w:sz w:val="18"/>
          <w:szCs w:val="18"/>
          <w:color w:val="auto"/>
        </w:rPr>
        <w:t>As of December 31, 2022, 2021, and 2020, the following outstanding common stock equivalents have been excluded from the calculation of net loss per share because their impact would be anti-dilutive.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December 31,</w:t>
            </w:r>
          </w:p>
        </w:tc>
        <w:tc>
          <w:tcPr>
            <w:tcW w:w="1340" w:type="dxa"/>
            <w:vAlign w:val="bottom"/>
            <w:tcBorders>
              <w:bottom w:val="single" w:sz="8" w:color="auto"/>
            </w:tcBorders>
          </w:tcPr>
          <w:p>
            <w:pPr>
              <w:spacing w:after="0"/>
              <w:rPr>
                <w:sz w:val="14"/>
                <w:szCs w:val="14"/>
                <w:color w:val="auto"/>
              </w:rPr>
            </w:pPr>
          </w:p>
        </w:tc>
      </w:tr>
      <w:tr>
        <w:trPr>
          <w:trHeight w:val="142"/>
        </w:trPr>
        <w:tc>
          <w:tcPr>
            <w:tcW w:w="550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15,240,197</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12,520,865</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12,615,638</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320" w:type="dxa"/>
            <w:vAlign w:val="bottom"/>
          </w:tcPr>
          <w:p>
            <w:pPr>
              <w:jc w:val="right"/>
              <w:spacing w:after="0"/>
              <w:rPr>
                <w:sz w:val="20"/>
                <w:szCs w:val="20"/>
                <w:color w:val="auto"/>
              </w:rPr>
            </w:pPr>
            <w:r>
              <w:rPr>
                <w:rFonts w:ascii="Arial" w:cs="Arial" w:eastAsia="Arial" w:hAnsi="Arial"/>
                <w:sz w:val="18"/>
                <w:szCs w:val="18"/>
                <w:color w:val="auto"/>
              </w:rPr>
              <w:t>260,859</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85,227</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37,259</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2,436,764</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1,110,010</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Series A Convertible Preferred Stock*</w:t>
            </w:r>
          </w:p>
        </w:tc>
        <w:tc>
          <w:tcPr>
            <w:tcW w:w="1320" w:type="dxa"/>
            <w:vAlign w:val="bottom"/>
          </w:tcPr>
          <w:p>
            <w:pPr>
              <w:jc w:val="right"/>
              <w:spacing w:after="0"/>
              <w:rPr>
                <w:sz w:val="20"/>
                <w:szCs w:val="20"/>
                <w:color w:val="auto"/>
              </w:rPr>
            </w:pPr>
            <w:r>
              <w:rPr>
                <w:rFonts w:ascii="Arial" w:cs="Arial" w:eastAsia="Arial" w:hAnsi="Arial"/>
                <w:sz w:val="18"/>
                <w:szCs w:val="18"/>
                <w:color w:val="auto"/>
              </w:rPr>
              <w:t>97,000</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97,000</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97,000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Series B Convertible Preferred Stock*</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2,842,158</w:t>
            </w:r>
          </w:p>
        </w:tc>
        <w:tc>
          <w:tcPr>
            <w:tcW w:w="2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2,842,158</w:t>
            </w:r>
          </w:p>
        </w:tc>
        <w:tc>
          <w:tcPr>
            <w:tcW w:w="24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3,581,119</w:t>
            </w:r>
          </w:p>
        </w:tc>
      </w:tr>
      <w:tr>
        <w:trPr>
          <w:trHeight w:val="224"/>
        </w:trPr>
        <w:tc>
          <w:tcPr>
            <w:tcW w:w="5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20,876,978</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16,655,260</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16,331,016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-8255</wp:posOffset>
            </wp:positionV>
            <wp:extent cx="28117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2">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*on an as-converted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-130175</wp:posOffset>
            </wp:positionV>
            <wp:extent cx="28117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3">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78" w:lineRule="exact"/>
        <w:rPr>
          <w:sz w:val="20"/>
          <w:szCs w:val="20"/>
          <w:color w:val="auto"/>
        </w:rPr>
      </w:pPr>
    </w:p>
    <w:p>
      <w:pPr>
        <w:ind w:right="100" w:firstLine="492"/>
        <w:spacing w:after="0" w:line="263" w:lineRule="auto"/>
        <w:rPr>
          <w:sz w:val="20"/>
          <w:szCs w:val="20"/>
          <w:color w:val="auto"/>
        </w:rPr>
      </w:pPr>
      <w:r>
        <w:rPr>
          <w:rFonts w:ascii="Arial" w:cs="Arial" w:eastAsia="Arial" w:hAnsi="Arial"/>
          <w:sz w:val="18"/>
          <w:szCs w:val="18"/>
          <w:color w:val="auto"/>
        </w:rPr>
        <w:t>The dilutive effect of potentially dilutive securities would be reflected in diluted earnings per common share by application of the treasury stock method. Under the treasury stock method, an increase in the fair market value of the Company's common stock could result in a greater dilutive effect from potentially dilutive securities.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right="260" w:firstLine="492"/>
        <w:spacing w:after="0" w:line="257" w:lineRule="auto"/>
        <w:rPr>
          <w:sz w:val="20"/>
          <w:szCs w:val="20"/>
          <w:color w:val="auto"/>
        </w:rPr>
      </w:pPr>
      <w:r>
        <w:rPr>
          <w:rFonts w:ascii="Arial" w:cs="Arial" w:eastAsia="Arial" w:hAnsi="Arial"/>
          <w:sz w:val="18"/>
          <w:szCs w:val="18"/>
          <w:color w:val="auto"/>
        </w:rPr>
        <w:t xml:space="preserve">Under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188" w:lineRule="exact"/>
        <w:rPr>
          <w:sz w:val="20"/>
          <w:szCs w:val="20"/>
          <w:color w:val="auto"/>
        </w:rPr>
      </w:pPr>
    </w:p>
    <w:p>
      <w:pPr>
        <w:ind w:right="340" w:firstLine="492"/>
        <w:spacing w:after="0" w:line="263" w:lineRule="auto"/>
        <w:rPr>
          <w:sz w:val="20"/>
          <w:szCs w:val="20"/>
          <w:color w:val="auto"/>
        </w:rPr>
      </w:pPr>
      <w:r>
        <w:rPr>
          <w:rFonts w:ascii="Arial" w:cs="Arial" w:eastAsia="Arial" w:hAnsi="Arial"/>
          <w:sz w:val="18"/>
          <w:szCs w:val="18"/>
          <w:color w:val="auto"/>
        </w:rPr>
        <w:t>Assets and liabilities recorded at fair value in the Company’s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57" w:lineRule="exact"/>
        <w:rPr>
          <w:sz w:val="20"/>
          <w:szCs w:val="20"/>
          <w:color w:val="auto"/>
        </w:rPr>
      </w:pPr>
    </w:p>
    <w:p>
      <w:pPr>
        <w:ind w:left="680" w:right="20" w:hanging="159"/>
        <w:spacing w:after="0" w:line="277" w:lineRule="auto"/>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1—These are investments where values are based on unadjusted quoted prices for identical assets in an active market that the Company has the ability to access.</w:t>
      </w:r>
    </w:p>
    <w:p>
      <w:pPr>
        <w:spacing w:after="0" w:line="129" w:lineRule="exact"/>
        <w:rPr>
          <w:rFonts w:ascii="Arial" w:cs="Arial" w:eastAsia="Arial" w:hAnsi="Arial"/>
          <w:sz w:val="18"/>
          <w:szCs w:val="18"/>
          <w:color w:val="auto"/>
        </w:rPr>
      </w:pPr>
    </w:p>
    <w:p>
      <w:pPr>
        <w:ind w:left="680" w:right="20" w:hanging="159"/>
        <w:spacing w:after="0" w:line="277" w:lineRule="auto"/>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2—These are investments where values are based on quoted market prices in markets that are not active or model derived valuations in which all significant inputs are observable in active markets.</w:t>
      </w:r>
    </w:p>
    <w:p>
      <w:pPr>
        <w:spacing w:after="0" w:line="129" w:lineRule="exact"/>
        <w:rPr>
          <w:rFonts w:ascii="Arial" w:cs="Arial" w:eastAsia="Arial" w:hAnsi="Arial"/>
          <w:sz w:val="18"/>
          <w:szCs w:val="18"/>
          <w:color w:val="auto"/>
        </w:rPr>
      </w:pPr>
    </w:p>
    <w:p>
      <w:pPr>
        <w:ind w:left="680" w:right="80" w:hanging="159"/>
        <w:spacing w:after="0" w:line="277" w:lineRule="auto"/>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3—These are financial instruments where values are derived from techniques in which one or more significant inputs are unobservable.</w:t>
      </w:r>
    </w:p>
    <w:p>
      <w:pPr>
        <w:spacing w:after="0" w:line="143" w:lineRule="exact"/>
        <w:rPr>
          <w:sz w:val="20"/>
          <w:szCs w:val="20"/>
          <w:color w:val="auto"/>
        </w:rPr>
      </w:pPr>
    </w:p>
    <w:p>
      <w:pPr>
        <w:ind w:right="400" w:firstLine="492"/>
        <w:spacing w:after="0" w:line="342" w:lineRule="auto"/>
        <w:rPr>
          <w:sz w:val="20"/>
          <w:szCs w:val="20"/>
          <w:color w:val="auto"/>
        </w:rPr>
      </w:pPr>
      <w:r>
        <w:rPr>
          <w:rFonts w:ascii="Arial" w:cs="Arial" w:eastAsia="Arial" w:hAnsi="Arial"/>
          <w:sz w:val="16"/>
          <w:szCs w:val="16"/>
          <w:color w:val="auto"/>
        </w:rPr>
        <w:t>The Company’s financial instruments consist of cash, cash equivalents, short and long-term investments, and long-term notes payable, all of which are reported at their respective fair value or approximate fair value on its Consolidated Balance Sheets.</w:t>
      </w:r>
    </w:p>
    <w:p>
      <w:pPr>
        <w:spacing w:after="0" w:line="83" w:lineRule="exact"/>
        <w:rPr>
          <w:sz w:val="20"/>
          <w:szCs w:val="20"/>
          <w:color w:val="auto"/>
        </w:rPr>
      </w:pPr>
    </w:p>
    <w:p>
      <w:pPr>
        <w:ind w:right="140" w:firstLine="492"/>
        <w:spacing w:after="0" w:line="342"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Where quoted prices are available in an active market, securities are classified as Level 1.</w:t>
      </w:r>
    </w:p>
    <w:p>
      <w:pPr>
        <w:spacing w:after="0" w:line="124"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When quoted market prices are not available for a specific security, the Company estimates the fair value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interest rate curves, reported trades, broker/dealer quotes, and market reference data. Level 2 assets consist of commercial paper, corporate securities and government agency securities. Level 2 inputs for the valuations are limited to quoted prices for similar assets or liabilities in active markets and inputs other than quoted prices that are observable for the asset.</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financial instruments consist of Level 1 and Level 2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492"/>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Significant items subject to such estimates and assumptions include assumptions made in the fair value of equity awards and related stock-based compensation, assumptions used in measuring operating right-of-use assets and operating lease liabilities, accounting for potential liabilities, including estimates inherent in accruals related to clinical trials, and the realizability of the Company’s deferred tax assets.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Iovance Biotherapeutics, Inc. and its wholly-owned subsidiaries, Iovance Biotherapeutics Manufacturing LLC, Iovance Biotherapeutics GmbH, and Iovance Biotherapeutics B.V. All intercompany accounts and transactions have been eliminated. The U.S. dollar is the functional currency for all the Company's consolidated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right="40" w:firstLine="492"/>
        <w:spacing w:after="0" w:line="291" w:lineRule="auto"/>
        <w:rPr>
          <w:sz w:val="20"/>
          <w:szCs w:val="20"/>
          <w:color w:val="auto"/>
        </w:rPr>
      </w:pPr>
      <w:r>
        <w:rPr>
          <w:rFonts w:ascii="Arial" w:cs="Arial" w:eastAsia="Arial" w:hAnsi="Arial"/>
          <w:sz w:val="16"/>
          <w:szCs w:val="16"/>
          <w:color w:val="auto"/>
        </w:rPr>
        <w:t>The Company determines if an arrangement includes a lease at inception and thereafter, if modified. Operating leases are included in its Consolidated Balance Sheets as Operating lease right-of-use assets and Operating lease liabilities as of December 31, 2022 and 2021.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or modification date based on the present value of lease payments over the lease term. In determining the net present value of lease payments, the Company uses an estimated incremental borrowing rate that is applicable to the Company based on the information available at the later of the lease commencement or modification date.</w:t>
      </w:r>
    </w:p>
    <w:p>
      <w:pPr>
        <w:spacing w:after="0" w:line="126" w:lineRule="exact"/>
        <w:rPr>
          <w:sz w:val="20"/>
          <w:szCs w:val="20"/>
          <w:color w:val="auto"/>
        </w:rPr>
      </w:pPr>
    </w:p>
    <w:p>
      <w:pPr>
        <w:ind w:firstLine="492"/>
        <w:spacing w:after="0" w:line="296" w:lineRule="auto"/>
        <w:rPr>
          <w:sz w:val="20"/>
          <w:szCs w:val="20"/>
          <w:color w:val="auto"/>
        </w:rPr>
      </w:pPr>
      <w:r>
        <w:rPr>
          <w:rFonts w:ascii="Arial" w:cs="Arial" w:eastAsia="Arial" w:hAnsi="Arial"/>
          <w:sz w:val="16"/>
          <w:szCs w:val="16"/>
          <w:color w:val="auto"/>
        </w:rPr>
        <w:t>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and recorded in costs and expenses in the Consolidated Statements of Operations. The Company has elected not to apply the recognition requirements of Accounting Standards Update (“ASU”) No. 2016-02 and No. 2018-10 (together “Topic 842”) for short-term leases.</w:t>
      </w:r>
    </w:p>
    <w:p>
      <w:pPr>
        <w:spacing w:after="0" w:line="134"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For lease agreements entered into by the Company that include lease and non-lease components, such components are generally accounted for separately.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200" w:firstLine="492"/>
        <w:spacing w:after="0" w:line="290" w:lineRule="auto"/>
        <w:rPr>
          <w:sz w:val="20"/>
          <w:szCs w:val="20"/>
          <w:color w:val="auto"/>
        </w:rPr>
      </w:pPr>
      <w:r>
        <w:rPr>
          <w:rFonts w:ascii="Arial" w:cs="Arial" w:eastAsia="Arial" w:hAnsi="Arial"/>
          <w:sz w:val="16"/>
          <w:szCs w:val="16"/>
          <w:color w:val="auto"/>
        </w:rPr>
        <w:t>The Company periodically grants stock options to employees and non-employees as compensation for services rendered. The Company accounts for all stock-based payment awards made to employees, including the employee stock purchase plans, and non-employees in accordance with the authoritative guidance provided by the Financial Accounting Standards Board (“FASB”) where the value of the award is measured on the date of grant and recognized over the vesting period. Forfeitures are recognized in the period in which they occur. The Company accounts for stock option grants to non-employees in a similar manner as stock option grants to employees except for the term used in the grant date fair value, therefore no longer requiring a re-measurement at the then-current fair values at each reporting date until the shares underlying the options have vested. The non-employee awards that contain a performance condition that affects the quantity or other terms of the award are measured based on the outcome that is probable.</w:t>
      </w:r>
    </w:p>
    <w:p>
      <w:pPr>
        <w:spacing w:after="0" w:line="138" w:lineRule="exact"/>
        <w:rPr>
          <w:sz w:val="20"/>
          <w:szCs w:val="20"/>
          <w:color w:val="auto"/>
        </w:rPr>
      </w:pPr>
    </w:p>
    <w:p>
      <w:pPr>
        <w:ind w:right="40" w:firstLine="492"/>
        <w:spacing w:after="0" w:line="301" w:lineRule="auto"/>
        <w:rPr>
          <w:sz w:val="20"/>
          <w:szCs w:val="20"/>
          <w:color w:val="auto"/>
        </w:rPr>
      </w:pPr>
      <w:r>
        <w:rPr>
          <w:rFonts w:ascii="Arial" w:cs="Arial" w:eastAsia="Arial" w:hAnsi="Arial"/>
          <w:sz w:val="16"/>
          <w:szCs w:val="16"/>
          <w:color w:val="auto"/>
        </w:rPr>
        <w:t>The fair value of the Company's common stock option grants is estimated using a Black-Scholes option pricing model, which uses certain assumptions related to risk-free interest rates, expected volatility, expected term of the common stock options, and future dividends. The stock-based compensation expense is recorded based upon the value derived from the Black-Scholes option pricing model. The assumptions used in the Black-Scholes option pricing model could affect compensation expense recorded in future periods.</w:t>
      </w:r>
    </w:p>
    <w:p>
      <w:pPr>
        <w:spacing w:after="0" w:line="117" w:lineRule="exact"/>
        <w:rPr>
          <w:sz w:val="20"/>
          <w:szCs w:val="20"/>
          <w:color w:val="auto"/>
        </w:rPr>
      </w:pPr>
    </w:p>
    <w:p>
      <w:pPr>
        <w:ind w:right="40" w:firstLine="492"/>
        <w:spacing w:after="0" w:line="253" w:lineRule="auto"/>
        <w:rPr>
          <w:sz w:val="20"/>
          <w:szCs w:val="20"/>
          <w:color w:val="auto"/>
        </w:rPr>
      </w:pPr>
      <w:r>
        <w:rPr>
          <w:rFonts w:ascii="Arial" w:cs="Arial" w:eastAsia="Arial" w:hAnsi="Arial"/>
          <w:sz w:val="18"/>
          <w:szCs w:val="18"/>
          <w:color w:val="auto"/>
        </w:rPr>
        <w:t>The Company issues restricted stock units (“RSUs”) from time to time as part of its equity incentive plans. The Company measures the compensation cost with respect to RSUs issued to employees based upon the estimated fair value of the equity instruments at the date of the grant, which is recognized as an expense over the period during which an employee is required to provide services in exchange for the awards. The fair value of RSUs is based on the closing price of the Company’s common stock on the grant date. In addition to RSUs that have time-based vesting requirements, from time to time the Company may issue RSUs that include certain performance vesting criteria based upon the satisfaction of stated objectives (“PRSUs”). The Company measures the compensation cost with respect to PRSUs issued to employees based upon the estimated fair value of the equity instruments at the date of grant, which is recognized as an expense over the period that achievement is determined to be probable through the stated service period associated with the award.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85" w:lineRule="exact"/>
        <w:rPr>
          <w:sz w:val="20"/>
          <w:szCs w:val="20"/>
          <w:color w:val="auto"/>
        </w:rPr>
      </w:pPr>
    </w:p>
    <w:p>
      <w:pPr>
        <w:ind w:right="160" w:firstLine="492"/>
        <w:spacing w:after="0" w:line="288" w:lineRule="auto"/>
        <w:rPr>
          <w:sz w:val="20"/>
          <w:szCs w:val="20"/>
          <w:color w:val="auto"/>
        </w:rPr>
      </w:pPr>
      <w:r>
        <w:rPr>
          <w:rFonts w:ascii="Arial" w:cs="Arial" w:eastAsia="Arial" w:hAnsi="Arial"/>
          <w:sz w:val="16"/>
          <w:szCs w:val="16"/>
          <w:color w:val="auto"/>
        </w:rPr>
        <w:t>Research and development costs are expensed as incurred. Clinical development costs compose a significant component of research and development costs. The Company has a history of contracting with third parties, including contract research organizations (“CROs”), independent clinical investigators, and contract manufacturing organizations (“CMOs”) that perform various clinical trial activities on the Company’s behalf in connection with the ongoing development of the Company’s product candidates. The financial terms of these contracts are subject to negotiations and may vary from contract to contract and may result in uneven payment flow. The Company accrues and expenses costs for clinical trial activities performed by third parties based upon the work completed to date for each clinical trial in accordance with agreements established with CROs, hospitals, and clinical investigators. Accruals for CROs and CMOs are recorded based on services received and efforts expended pursuant to agreements established with CROs, CMOs and other outside service providers. The Company determines its costs through discussions with internal clinical stakeholders and outside service providers as to the progress or stage of completion of clinical trials or services and the contracted fee to be paid for such services.</w:t>
      </w:r>
    </w:p>
    <w:p>
      <w:pPr>
        <w:spacing w:after="0" w:line="168"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Included in the Company’s clinical development costs are investigator costs, which are costs associated with treatments administered at clinical sites as required under each clinical trial protocol. The Company’s estimates for clinical investigator costs and timing of expense recognition will depend on a number of factors that include, but are not limited to, (i) the overall number of patients that enroll in the trial at each individual site, (ii) the length of clinical trial enrollment period, (iii) discontinuation and completion rates of patients, (iv) duration of patient safety follow-ups, (v) the number of sites included in the clinical trial, and (vi) the contracted fee of each participating site for patient treatment while on clinical trial, which can vary greatly for several reasons including, but not limited to, geographic region, medical center or physician costs, and overhead costs. In addition, the Company’s estimates for per patient trial costs will vary based on a number of factors that include, but are not limited to, the extent of additional treatments that may be administered by investigators as a result of patient health status, recoverability of patient costs through insurance carriers of patients, and unanticipated cost of injuries incurred as a result of the clinical trial treatment. The Company accrues estimated expenses resulting from obligations under investigator site agreements as the timing of payments does not always timely align with the periods over which the treatments are administered by the clinical investigators. These estimates are typically based on contracted amounts, patient visit data, discussions with internal clinical stakeholders and outside service providers, and historical look-back analysis of actual payments made to date.</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makes judgements and estimates in determining the accrual balance in each reporting period.</w:t>
      </w:r>
    </w:p>
    <w:p>
      <w:pPr>
        <w:spacing w:after="0" w:line="225" w:lineRule="exact"/>
        <w:rPr>
          <w:sz w:val="20"/>
          <w:szCs w:val="20"/>
          <w:color w:val="auto"/>
        </w:rPr>
      </w:pPr>
    </w:p>
    <w:p>
      <w:pPr>
        <w:ind w:right="100" w:firstLine="492"/>
        <w:spacing w:after="0" w:line="296" w:lineRule="auto"/>
        <w:rPr>
          <w:sz w:val="20"/>
          <w:szCs w:val="20"/>
          <w:color w:val="auto"/>
        </w:rPr>
      </w:pPr>
      <w:r>
        <w:rPr>
          <w:rFonts w:ascii="Arial" w:cs="Arial" w:eastAsia="Arial" w:hAnsi="Arial"/>
          <w:sz w:val="16"/>
          <w:szCs w:val="16"/>
          <w:color w:val="auto"/>
        </w:rPr>
        <w:t>In the event advance payments are made to a CRO, CMO or other outside service provider, the payments are recorded within prepaid expenses and other current assets in the Consolidated Balance Sheets and subsequently recognized as research and development expense in the Consolidated Statements of Operations when the associated services have been performed. As actual costs become known, the Company adjusts its estimates, liabilities and assets. Inputs used in the determination of estimates discussed above may vary from actual, which will result in adjustments to research and development expense in future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60" w:firstLine="492"/>
        <w:spacing w:after="0" w:line="293"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stock-based compensation, for personnel in executive, finance, procurement, legal, investor relations, facilities, business development, marketing, commercial and human resources functions. Other significant costs include facility costs not otherwise included in research and development expenses, sublicense royalty expenses, legal fees relating to corporate matters, insurance, public company expenses relating to maintaining compliance with Nasdaq listing rules and Securities and Exchange Commission (“SEC”) requirements, investor relations costs, and fees for accounting and consulting services. General and administrative costs are expensed as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The Company accounts for income taxes using the asset and liability method whereby deferred tax assets are recognized for deductible temporary differences,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or all of the deferred tax assets will not be realized. Deferred tax assets and liabilities are adjusted for the effects of changes in tax laws and rates on the date of enactment.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120" w:firstLine="492"/>
        <w:spacing w:after="0" w:line="296" w:lineRule="auto"/>
        <w:rPr>
          <w:sz w:val="20"/>
          <w:szCs w:val="20"/>
          <w:color w:val="auto"/>
        </w:rPr>
      </w:pPr>
      <w:r>
        <w:rPr>
          <w:rFonts w:ascii="Arial" w:cs="Arial" w:eastAsia="Arial" w:hAnsi="Arial"/>
          <w:sz w:val="16"/>
          <w:szCs w:val="16"/>
          <w:color w:val="auto"/>
        </w:rPr>
        <w:t xml:space="preserve">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clarifies the accounting for uncertainty in income taxes recognized in an enterprise’s financial statements and prescribes a recognition threshold and measurement attribute for the financial statement recognition and measurement of a tax position taken or expected to be taken in a tax return. ASC Topic 740 provides guidance on de-recognition, classification, interest and penalties, accounting in interim periods, disclosure, and transition. The Company will classify as income tax expense any interest and penalties. The Company has no material uncertain tax positions for any of the reporting periods presented.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185"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The Company is subject to credit risk from its portfolio of cash, cash equivalents and investments. Under its investment policy, the Company limits amounts invested in such securities by credit rating, maturity, industry group, investment type and issuer, except for securities issued by the U.S. government. The Company does not believe it is exposed to any significant concentrations of credit risk from these financial instruments. The Company maintains cash, cash equivalents and investment balances at four financial institutions. Management believes that the financial institutions which hold its cash are financially sound and, accordingly, minimal credit risk exists. As of December 31, 2022 and 2021, respectively, the Company’s cash balances were in excess of insured limits maintained at the financial institutions.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85" w:lineRule="exact"/>
        <w:rPr>
          <w:sz w:val="20"/>
          <w:szCs w:val="20"/>
          <w:color w:val="auto"/>
        </w:rPr>
      </w:pPr>
    </w:p>
    <w:p>
      <w:pPr>
        <w:ind w:right="540" w:firstLine="492"/>
        <w:spacing w:after="0" w:line="277" w:lineRule="auto"/>
        <w:rPr>
          <w:sz w:val="20"/>
          <w:szCs w:val="20"/>
          <w:color w:val="auto"/>
        </w:rPr>
      </w:pPr>
      <w:r>
        <w:rPr>
          <w:rFonts w:ascii="Arial" w:cs="Arial" w:eastAsia="Arial" w:hAnsi="Arial"/>
          <w:sz w:val="18"/>
          <w:szCs w:val="18"/>
          <w:color w:val="auto"/>
        </w:rPr>
        <w:t>The Company operates in one segment, focused on developing and commercializing therapies using autologous TIL for the treatment of metastatic melanoma and other solid tumor cancers.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CASH EQUIVALENTS AND INVESTMENTS</w:t>
      </w:r>
    </w:p>
    <w:p>
      <w:pPr>
        <w:spacing w:after="0" w:line="202" w:lineRule="exact"/>
        <w:rPr>
          <w:sz w:val="20"/>
          <w:szCs w:val="20"/>
          <w:color w:val="auto"/>
        </w:rPr>
      </w:pPr>
    </w:p>
    <w:p>
      <w:pPr>
        <w:ind w:right="180" w:firstLine="492"/>
        <w:spacing w:after="0" w:line="258" w:lineRule="auto"/>
        <w:rPr>
          <w:sz w:val="20"/>
          <w:szCs w:val="20"/>
          <w:color w:val="auto"/>
        </w:rPr>
      </w:pPr>
      <w:r>
        <w:rPr>
          <w:rFonts w:ascii="Arial" w:cs="Arial" w:eastAsia="Arial" w:hAnsi="Arial"/>
          <w:sz w:val="18"/>
          <w:szCs w:val="18"/>
          <w:color w:val="auto"/>
        </w:rPr>
        <w:t>The amortized cost and fair value of cash equivalents and investments as of December 31, 2022 and December 31, 2021 were as follows (in thousands):</w:t>
      </w:r>
    </w:p>
    <w:tbl>
      <w:tblPr>
        <w:tblLayout w:type="fixed"/>
        <w:tblInd w:w="0" w:type="dxa"/>
        <w:tblCellMar>
          <w:top w:w="0" w:type="dxa"/>
          <w:left w:w="0" w:type="dxa"/>
          <w:bottom w:w="0" w:type="dxa"/>
          <w:right w:w="0" w:type="dxa"/>
        </w:tblCellMar>
      </w:tblPr>
      <w:tr>
        <w:trPr>
          <w:trHeight w:val="141"/>
        </w:trPr>
        <w:tc>
          <w:tcPr>
            <w:tcW w:w="5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6"/>
              <w:spacing w:after="0" w:line="141"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6"/>
              <w:spacing w:after="0" w:line="141"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As of December 31, 2022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0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117,720</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11,265</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148,299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148,254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88,001</w:t>
            </w:r>
          </w:p>
        </w:tc>
        <w:tc>
          <w:tcPr>
            <w:tcW w:w="0" w:type="dxa"/>
            <w:vAlign w:val="bottom"/>
          </w:tcPr>
          <w:p>
            <w:pPr>
              <w:spacing w:after="0"/>
              <w:rPr>
                <w:sz w:val="1"/>
                <w:szCs w:val="1"/>
                <w:color w:val="auto"/>
              </w:rPr>
            </w:pPr>
          </w:p>
        </w:tc>
      </w:tr>
      <w:tr>
        <w:trPr>
          <w:trHeight w:val="210"/>
        </w:trPr>
        <w:tc>
          <w:tcPr>
            <w:tcW w:w="5040" w:type="dxa"/>
            <w:vAlign w:val="bottom"/>
          </w:tcPr>
          <w:p>
            <w:pPr>
              <w:ind w:left="120"/>
              <w:spacing w:after="0"/>
              <w:rPr>
                <w:sz w:val="20"/>
                <w:szCs w:val="20"/>
                <w:color w:val="auto"/>
              </w:rPr>
            </w:pPr>
            <w:r>
              <w:rPr>
                <w:rFonts w:ascii="Arial" w:cs="Arial" w:eastAsia="Arial" w:hAnsi="Arial"/>
                <w:sz w:val="18"/>
                <w:szCs w:val="18"/>
                <w:color w:val="auto"/>
              </w:rPr>
              <w:t>Total investments</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373,372</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372,470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36"/>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36"/>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As of December 31, 2021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0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246,767</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235,352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235,316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0" w:type="dxa"/>
            <w:vAlign w:val="bottom"/>
          </w:tcPr>
          <w:p>
            <w:pPr>
              <w:spacing w:after="0"/>
              <w:rPr>
                <w:sz w:val="1"/>
                <w:szCs w:val="1"/>
                <w:color w:val="auto"/>
              </w:rPr>
            </w:pPr>
          </w:p>
        </w:tc>
      </w:tr>
      <w:tr>
        <w:trPr>
          <w:trHeight w:val="210"/>
        </w:trPr>
        <w:tc>
          <w:tcPr>
            <w:tcW w:w="5040" w:type="dxa"/>
            <w:vAlign w:val="bottom"/>
          </w:tcPr>
          <w:p>
            <w:pPr>
              <w:ind w:left="120"/>
              <w:spacing w:after="0"/>
              <w:rPr>
                <w:sz w:val="20"/>
                <w:szCs w:val="20"/>
                <w:color w:val="auto"/>
              </w:rPr>
            </w:pPr>
            <w:r>
              <w:rPr>
                <w:rFonts w:ascii="Arial" w:cs="Arial" w:eastAsia="Arial" w:hAnsi="Arial"/>
                <w:sz w:val="18"/>
                <w:szCs w:val="18"/>
                <w:color w:val="auto"/>
              </w:rPr>
              <w:t>Total investments</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579,620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(612)</w:t>
            </w:r>
          </w:p>
        </w:tc>
        <w:tc>
          <w:tcPr>
            <w:tcW w:w="24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579,018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color w:val="auto"/>
        </w:rPr>
        <w:t>The fair value of cash equivalents and investments as of December 31, 2022 and December 31, 2021 are classified as follows in the Company’s Consolidated Balance Sheets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vMerge w:val="restart"/>
          </w:tcPr>
          <w:p>
            <w:pPr>
              <w:spacing w:after="0"/>
              <w:rPr>
                <w:sz w:val="20"/>
                <w:szCs w:val="20"/>
                <w:color w:val="auto"/>
              </w:rPr>
            </w:pPr>
            <w:r>
              <w:rPr>
                <w:rFonts w:ascii="Arial" w:cs="Arial" w:eastAsia="Arial" w:hAnsi="Arial"/>
                <w:sz w:val="18"/>
                <w:szCs w:val="18"/>
                <w:b w:val="1"/>
                <w:bCs w:val="1"/>
                <w:color w:val="auto"/>
              </w:rPr>
              <w:t>Classified as:</w:t>
            </w: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201"/>
        </w:trPr>
        <w:tc>
          <w:tcPr>
            <w:tcW w:w="78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61,249</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240,114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426,181</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91,588</w:t>
            </w:r>
          </w:p>
        </w:tc>
        <w:tc>
          <w:tcPr>
            <w:tcW w:w="0" w:type="dxa"/>
            <w:vAlign w:val="bottom"/>
          </w:tcPr>
          <w:p>
            <w:pPr>
              <w:spacing w:after="0"/>
              <w:rPr>
                <w:sz w:val="1"/>
                <w:szCs w:val="1"/>
                <w:color w:val="auto"/>
              </w:rPr>
            </w:pPr>
          </w:p>
        </w:tc>
      </w:tr>
      <w:tr>
        <w:trPr>
          <w:trHeight w:val="210"/>
        </w:trPr>
        <w:tc>
          <w:tcPr>
            <w:tcW w:w="7800" w:type="dxa"/>
            <w:vAlign w:val="bottom"/>
          </w:tcPr>
          <w:p>
            <w:pPr>
              <w:ind w:left="120"/>
              <w:spacing w:after="0"/>
              <w:rPr>
                <w:sz w:val="20"/>
                <w:szCs w:val="20"/>
                <w:color w:val="auto"/>
              </w:rPr>
            </w:pPr>
            <w:r>
              <w:rPr>
                <w:rFonts w:ascii="Arial" w:cs="Arial" w:eastAsia="Arial" w:hAnsi="Arial"/>
                <w:sz w:val="18"/>
                <w:szCs w:val="18"/>
                <w:color w:val="auto"/>
              </w:rPr>
              <w:t>Total investments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372,470</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579,018</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92"/>
        <w:spacing w:after="0" w:line="291" w:lineRule="auto"/>
        <w:rPr>
          <w:sz w:val="20"/>
          <w:szCs w:val="20"/>
          <w:color w:val="auto"/>
        </w:rPr>
      </w:pPr>
      <w:r>
        <w:rPr>
          <w:rFonts w:ascii="Arial" w:cs="Arial" w:eastAsia="Arial" w:hAnsi="Arial"/>
          <w:sz w:val="16"/>
          <w:szCs w:val="16"/>
          <w:color w:val="auto"/>
        </w:rPr>
        <w:t>Cash equivalents in the tables above exclude cash demand deposits of $99.4 million and $17.0 million as of December 31, 2022 and 2021, respectively. Unrealized gains and losses are included in accumulated other comprehensive (loss) income, and as of December 31, 2022 and 2021 no unrealized losses on available-for-sale securities have resulted from credit risk. All available-for-sale securities held as of December 31, 2022 and December 31, 2021 had contractual maturities of less than one year. No significant available-for-sale securities held as of the periods presented have been in a continuous unrealized loss position for more than 12 months. The Company determined that it has the ability and intent to hold all marketable securities that have been in a continuous loss position until maturity or recovery. To date, the Company has not recorded any impairment charges on its marketable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available-for-sale investments by contractual maturity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right"/>
              <w:ind w:right="636"/>
              <w:spacing w:after="0"/>
              <w:rPr>
                <w:sz w:val="20"/>
                <w:szCs w:val="20"/>
                <w:color w:val="auto"/>
              </w:rPr>
            </w:pPr>
            <w:r>
              <w:rPr>
                <w:rFonts w:ascii="Arial" w:cs="Arial" w:eastAsia="Arial" w:hAnsi="Arial"/>
                <w:sz w:val="14"/>
                <w:szCs w:val="14"/>
                <w:b w:val="1"/>
                <w:bCs w:val="1"/>
                <w:color w:val="auto"/>
              </w:rPr>
              <w:t>December 31, 2022</w:t>
            </w:r>
          </w:p>
        </w:tc>
      </w:tr>
      <w:tr>
        <w:trPr>
          <w:trHeight w:val="142"/>
        </w:trPr>
        <w:tc>
          <w:tcPr>
            <w:tcW w:w="7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Amortized Cost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Fair Value</w:t>
            </w: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373,372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372,470</w:t>
            </w:r>
          </w:p>
        </w:tc>
      </w:tr>
      <w:tr>
        <w:trPr>
          <w:trHeight w:val="210"/>
        </w:trPr>
        <w:tc>
          <w:tcPr>
            <w:tcW w:w="7340" w:type="dxa"/>
            <w:vAlign w:val="bottom"/>
          </w:tcPr>
          <w:p>
            <w:pPr>
              <w:ind w:left="120"/>
              <w:spacing w:after="0"/>
              <w:rPr>
                <w:sz w:val="20"/>
                <w:szCs w:val="20"/>
                <w:color w:val="auto"/>
              </w:rPr>
            </w:pPr>
            <w:r>
              <w:rPr>
                <w:rFonts w:ascii="Arial" w:cs="Arial" w:eastAsia="Arial" w:hAnsi="Arial"/>
                <w:sz w:val="18"/>
                <w:szCs w:val="18"/>
                <w:color w:val="auto"/>
              </w:rPr>
              <w:t>Total investments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373,372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372,470</w:t>
            </w:r>
          </w:p>
        </w:tc>
      </w:tr>
      <w:tr>
        <w:trPr>
          <w:trHeight w:val="20"/>
        </w:trPr>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492"/>
        <w:spacing w:after="0" w:line="286" w:lineRule="auto"/>
        <w:rPr>
          <w:sz w:val="20"/>
          <w:szCs w:val="20"/>
          <w:color w:val="auto"/>
        </w:rPr>
      </w:pPr>
      <w:r>
        <w:rPr>
          <w:rFonts w:ascii="Arial" w:cs="Arial" w:eastAsia="Arial" w:hAnsi="Arial"/>
          <w:sz w:val="17"/>
          <w:szCs w:val="17"/>
          <w:color w:val="auto"/>
        </w:rPr>
        <w:t>As of December 31, 2022 and 2021, the fair value of the Company’s financial assets that are measured at fair value on a recurring basis, which consist of cash equivalents and short-term and long-term investments classified as available-for-sale securities, are categorized in the table below based upon the lowest level of significant input to the valuations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10"/>
          </w:tcPr>
          <w:p>
            <w:pPr>
              <w:jc w:val="right"/>
              <w:ind w:right="47"/>
              <w:spacing w:after="0"/>
              <w:rPr>
                <w:sz w:val="20"/>
                <w:szCs w:val="20"/>
                <w:color w:val="auto"/>
              </w:rPr>
            </w:pPr>
            <w:r>
              <w:rPr>
                <w:rFonts w:ascii="Arial" w:cs="Arial" w:eastAsia="Arial" w:hAnsi="Arial"/>
                <w:sz w:val="14"/>
                <w:szCs w:val="14"/>
                <w:b w:val="1"/>
                <w:bCs w:val="1"/>
                <w:color w:val="auto"/>
              </w:rPr>
              <w:t>Assets at Fair Value as of December 31, 2022</w:t>
            </w:r>
          </w:p>
        </w:tc>
        <w:tc>
          <w:tcPr>
            <w:tcW w:w="760" w:type="dxa"/>
            <w:vAlign w:val="bottom"/>
            <w:tcBorders>
              <w:bottom w:val="single" w:sz="8" w:color="auto"/>
            </w:tcBorders>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117,720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117,720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11,265</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148,254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148,254</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88,001</w:t>
            </w:r>
          </w:p>
        </w:tc>
      </w:tr>
      <w:tr>
        <w:trPr>
          <w:trHeight w:val="210"/>
        </w:trPr>
        <w:tc>
          <w:tcPr>
            <w:tcW w:w="5440" w:type="dxa"/>
            <w:vAlign w:val="bottom"/>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205,721</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166,749</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372,470</w:t>
            </w: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34"/>
        </w:trPr>
        <w:tc>
          <w:tcPr>
            <w:tcW w:w="5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0"/>
          </w:tcPr>
          <w:p>
            <w:pPr>
              <w:jc w:val="right"/>
              <w:ind w:right="47"/>
              <w:spacing w:after="0"/>
              <w:rPr>
                <w:sz w:val="20"/>
                <w:szCs w:val="20"/>
                <w:color w:val="auto"/>
              </w:rPr>
            </w:pPr>
            <w:r>
              <w:rPr>
                <w:rFonts w:ascii="Arial" w:cs="Arial" w:eastAsia="Arial" w:hAnsi="Arial"/>
                <w:sz w:val="14"/>
                <w:szCs w:val="14"/>
                <w:b w:val="1"/>
                <w:bCs w:val="1"/>
                <w:color w:val="auto"/>
              </w:rPr>
              <w:t>Assets at Fair Value as of December 31, 2021</w:t>
            </w:r>
          </w:p>
        </w:tc>
        <w:tc>
          <w:tcPr>
            <w:tcW w:w="760" w:type="dxa"/>
            <w:vAlign w:val="bottom"/>
            <w:tcBorders>
              <w:bottom w:val="single" w:sz="8" w:color="auto"/>
            </w:tcBorders>
          </w:tcPr>
          <w:p>
            <w:pPr>
              <w:spacing w:after="0"/>
              <w:rPr>
                <w:sz w:val="24"/>
                <w:szCs w:val="24"/>
                <w:color w:val="auto"/>
              </w:rPr>
            </w:pPr>
          </w:p>
        </w:tc>
      </w:tr>
      <w:tr>
        <w:trPr>
          <w:trHeight w:val="142"/>
        </w:trPr>
        <w:tc>
          <w:tcPr>
            <w:tcW w:w="5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246,767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246,767</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5,097</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35,588</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235,316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235,316</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r>
      <w:tr>
        <w:trPr>
          <w:trHeight w:val="209"/>
        </w:trPr>
        <w:tc>
          <w:tcPr>
            <w:tcW w:w="5440" w:type="dxa"/>
            <w:vAlign w:val="bottom"/>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303,017</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276,001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579,018</w:t>
            </w: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492"/>
        <w:spacing w:after="0" w:line="342" w:lineRule="auto"/>
        <w:rPr>
          <w:sz w:val="20"/>
          <w:szCs w:val="20"/>
          <w:color w:val="auto"/>
        </w:rPr>
      </w:pPr>
      <w:r>
        <w:rPr>
          <w:rFonts w:ascii="Arial" w:cs="Arial" w:eastAsia="Arial" w:hAnsi="Arial"/>
          <w:sz w:val="16"/>
          <w:szCs w:val="16"/>
          <w:color w:val="auto"/>
        </w:rPr>
        <w:t>Level 2 assets consist of commercial paper and government agency securities. Level 2 inputs for the valuations are limited to quoted prices for similar assets or liabilities in active markets and inputs other than quoted prices that are observable for the asset.</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PROPERTY AND EQUIPMENT, NET</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76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57,817</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Lab, process, and validation equipment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8,686</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Utility equipment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1,244</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Computer equipment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35,782</w:t>
            </w:r>
          </w:p>
        </w:tc>
      </w:tr>
      <w:tr>
        <w:trPr>
          <w:trHeight w:val="210"/>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property and equipment, cost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109,627</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(16,718)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(8,689)</w:t>
            </w:r>
          </w:p>
        </w:tc>
      </w:tr>
      <w:tr>
        <w:trPr>
          <w:trHeight w:val="209"/>
        </w:trPr>
        <w:tc>
          <w:tcPr>
            <w:tcW w:w="76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100,938</w:t>
            </w: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92"/>
        <w:spacing w:after="0" w:line="279" w:lineRule="auto"/>
        <w:rPr>
          <w:sz w:val="20"/>
          <w:szCs w:val="20"/>
          <w:color w:val="auto"/>
        </w:rPr>
      </w:pPr>
      <w:r>
        <w:rPr>
          <w:rFonts w:ascii="Arial" w:cs="Arial" w:eastAsia="Arial" w:hAnsi="Arial"/>
          <w:sz w:val="17"/>
          <w:szCs w:val="17"/>
          <w:color w:val="auto"/>
        </w:rPr>
        <w:t xml:space="preserve">Depreciation expense for the years ended December 31, 2022, 2021, and 2020 was approximately $9.3 million, $3.1 million and $1.1 million, respectively. During the years ended December 31, 2022 and 2021, the Company placed $27.2 million and $62.4 million of assets related to the </w:t>
      </w:r>
      <w:r>
        <w:rPr>
          <w:rFonts w:ascii="Arial" w:cs="Arial" w:eastAsia="Arial" w:hAnsi="Arial"/>
          <w:sz w:val="17"/>
          <w:szCs w:val="17"/>
          <w:i w:val="1"/>
          <w:iCs w:val="1"/>
          <w:color w:val="auto"/>
        </w:rPr>
        <w:t>i</w:t>
      </w:r>
      <w:r>
        <w:rPr>
          <w:rFonts w:ascii="Arial" w:cs="Arial" w:eastAsia="Arial" w:hAnsi="Arial"/>
          <w:sz w:val="17"/>
          <w:szCs w:val="17"/>
          <w:color w:val="auto"/>
        </w:rPr>
        <w:t>CTC in service and initiated depreciation of these assets. The depreciation expense related to these assets for the years ended December 31, 2022 and 2021 was $2.7 million and $1.6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ACCRUED EXPENSES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76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employee related expenses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21,513</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Clinical related</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18,167</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Manufacturing related</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Facilities related</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4,857</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Legal and related services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accrued expenses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w:t>
            </w:r>
          </w:p>
        </w:tc>
      </w:tr>
      <w:tr>
        <w:trPr>
          <w:trHeight w:val="210"/>
        </w:trPr>
        <w:tc>
          <w:tcPr>
            <w:tcW w:w="7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accrued expenses</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52,295</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56,766</w:t>
            </w: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jc w:val="both"/>
        <w:ind w:right="260" w:firstLine="486"/>
        <w:spacing w:after="0" w:line="263" w:lineRule="auto"/>
        <w:rPr>
          <w:sz w:val="20"/>
          <w:szCs w:val="20"/>
          <w:color w:val="auto"/>
        </w:rPr>
      </w:pPr>
      <w:r>
        <w:rPr>
          <w:rFonts w:ascii="Arial" w:cs="Arial" w:eastAsia="Arial" w:hAnsi="Arial"/>
          <w:sz w:val="18"/>
          <w:szCs w:val="18"/>
          <w:color w:val="auto"/>
        </w:rPr>
        <w:t>The Company’s certificate of incorporation, as amended, authorizes the issuance of up to 300,000,000 shares of the Company’s common stock, par value $0.000041666. As of December 31, 2022, 187,812,072 shares of the Company’s common stock were issued and outstanding.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Offerings</w:t>
      </w:r>
    </w:p>
    <w:p>
      <w:pPr>
        <w:spacing w:after="0" w:line="185"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In June 2020, the Company closed an underwritten public offering of 16,935,484 shares of the Company’s common stock at a public offering price of $31.00 per share, before underwriting discounts, which included 2,540,322 shares issued upon the exercise in full by the underwriter of its option to purchase additional shares at the public offering price less the underwriting discount (the "June 2020 Public Offering"). The gross proceeds from the offering, before deducting the underwriting discounts and commissions and other offering expenses payable by the Company, were $603.7 million, with net proceeds to the Company of $567.0 million.</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the Market Offering Program</w:t>
      </w:r>
    </w:p>
    <w:p>
      <w:pPr>
        <w:spacing w:after="0" w:line="185" w:lineRule="exact"/>
        <w:rPr>
          <w:sz w:val="20"/>
          <w:szCs w:val="20"/>
          <w:color w:val="auto"/>
        </w:rPr>
      </w:pPr>
    </w:p>
    <w:p>
      <w:pPr>
        <w:ind w:right="180" w:firstLine="492"/>
        <w:spacing w:after="0" w:line="269" w:lineRule="auto"/>
        <w:rPr>
          <w:sz w:val="20"/>
          <w:szCs w:val="20"/>
          <w:color w:val="auto"/>
        </w:rPr>
      </w:pPr>
      <w:r>
        <w:rPr>
          <w:rFonts w:ascii="Arial" w:cs="Arial" w:eastAsia="Arial" w:hAnsi="Arial"/>
          <w:sz w:val="17"/>
          <w:szCs w:val="17"/>
          <w:color w:val="auto"/>
        </w:rPr>
        <w:t>On February 8, 2021, the Company entered into an Open Market Sale Agreement (the “First Sales Agreement”) with Jefferies LLC (“Jefferies”) with respect to an “at the market” offering program, under which the Company may, from time to time, in its sole discretion, issue and sell through Jefferies, acting as sales agent, up to $350.0 million of shares of the Company’s common stock (the “Common Shares”). On November 18, 2022, the Company entered into a new Open Market Sales Agreement (the “Second Sales Agreement”), which superseded and replaced the First Sales Agreement dated February 8, 2021. Under the terms of the Second Sales Agreement, the Company may, from time to time, in its sole discretion, issue and sell up to $500.0 million of shares of the Company’s Common Shares. The issuance and sale, if any, of the Common Shares by the Company under the First Sales Agreement and Second Sales Agreement (together, the “Sales Agreements”) will be made pursuant to a prospectus supplement, dated February 8, 2021 and November 18, 2022, to the Company’s Registration Statement on Form S-3ASR, which became effective immediately upon filing with the Securities and Exchange Commission on May 27, 2020.</w:t>
      </w:r>
    </w:p>
    <w:p>
      <w:pPr>
        <w:spacing w:after="0" w:line="158"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Pursuant to the Sales Agreements, Jefferies may sell the Common Shares by any method permitted by law deemed to be an “at the market” offering as defined in Rule 415 of the Securities Act of 1933, as amended. Jefferies will use commercially reasonable efforts consistent with its normal trading and sales practices to sell the Common Shares from time to time, based upon instructions from the Company (including any price or size limits or other customary parameters or conditions the Company may impose). The Company will pay Jefferies a commission of up to 3.0% of the gross sales proceeds of any Common Shares sold through Jefferies under the Sales Agreements.</w:t>
      </w:r>
    </w:p>
    <w:p>
      <w:pPr>
        <w:spacing w:after="0" w:line="152" w:lineRule="exact"/>
        <w:rPr>
          <w:sz w:val="20"/>
          <w:szCs w:val="20"/>
          <w:color w:val="auto"/>
        </w:rPr>
      </w:pPr>
    </w:p>
    <w:p>
      <w:pPr>
        <w:ind w:firstLine="492"/>
        <w:spacing w:after="0" w:line="286" w:lineRule="auto"/>
        <w:rPr>
          <w:sz w:val="20"/>
          <w:szCs w:val="20"/>
          <w:color w:val="auto"/>
        </w:rPr>
      </w:pPr>
      <w:r>
        <w:rPr>
          <w:rFonts w:ascii="Arial" w:cs="Arial" w:eastAsia="Arial" w:hAnsi="Arial"/>
          <w:sz w:val="17"/>
          <w:szCs w:val="17"/>
          <w:color w:val="auto"/>
        </w:rPr>
        <w:t>The Company is not obligated to make any sales of Common Shares under the Sales Agreements. The offering of Common Shares pursuant to the Sales Agreement will terminate upon the earlier to occur of (i) the issuance and sale, through Jefferies, of all Common Shares subject to the Sales Agreement and (ii) termination of the Sales Agreements in accordance with its terms.</w:t>
      </w:r>
    </w:p>
    <w:p>
      <w:pPr>
        <w:spacing w:after="0" w:line="125" w:lineRule="exact"/>
        <w:rPr>
          <w:sz w:val="20"/>
          <w:szCs w:val="20"/>
          <w:color w:val="auto"/>
        </w:rPr>
      </w:pPr>
    </w:p>
    <w:p>
      <w:pPr>
        <w:ind w:right="180" w:firstLine="492"/>
        <w:spacing w:after="0" w:line="263" w:lineRule="auto"/>
        <w:rPr>
          <w:sz w:val="20"/>
          <w:szCs w:val="20"/>
          <w:color w:val="auto"/>
        </w:rPr>
      </w:pPr>
      <w:r>
        <w:rPr>
          <w:rFonts w:ascii="Arial" w:cs="Arial" w:eastAsia="Arial" w:hAnsi="Arial"/>
          <w:sz w:val="18"/>
          <w:szCs w:val="18"/>
          <w:color w:val="auto"/>
        </w:rPr>
        <w:t>For the years ended December 31, 2022 and 2021, the Company received $189.5 million and $203.2 million in net proceeds, net of offering costs, through the sale of 29,788,993 shares and 6,474,099 shares of its common stock through the Sales Agreements at a weighted average price per share of $6.52 and $32.12,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ind w:right="200" w:firstLine="492"/>
        <w:spacing w:after="0" w:line="263" w:lineRule="auto"/>
        <w:rPr>
          <w:sz w:val="20"/>
          <w:szCs w:val="20"/>
          <w:color w:val="auto"/>
        </w:rPr>
      </w:pPr>
      <w:r>
        <w:rPr>
          <w:rFonts w:ascii="Arial" w:cs="Arial" w:eastAsia="Arial" w:hAnsi="Arial"/>
          <w:sz w:val="18"/>
          <w:szCs w:val="18"/>
          <w:color w:val="auto"/>
        </w:rPr>
        <w:t>The Company’s certificate of incorporation authorizes the issuance of up to 50,000,000 shares of “blank check” preferred stock. As of December 31, 2022, 17,000 shares were designated as Series A Convertible Preferred Stock and 11,500,000 shares were designated as Series B Convertible Preferred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98" w:lineRule="exact"/>
        <w:rPr>
          <w:sz w:val="20"/>
          <w:szCs w:val="20"/>
          <w:color w:val="auto"/>
        </w:rPr>
      </w:pPr>
    </w:p>
    <w:p>
      <w:pPr>
        <w:ind w:right="180" w:firstLine="492"/>
        <w:spacing w:after="0" w:line="301" w:lineRule="auto"/>
        <w:rPr>
          <w:sz w:val="20"/>
          <w:szCs w:val="20"/>
          <w:color w:val="auto"/>
        </w:rPr>
      </w:pPr>
      <w:r>
        <w:rPr>
          <w:rFonts w:ascii="Arial" w:cs="Arial" w:eastAsia="Arial" w:hAnsi="Arial"/>
          <w:sz w:val="16"/>
          <w:szCs w:val="16"/>
          <w:color w:val="auto"/>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 Each share of Series A Preferred Stock is initially convertible into 500 shares of common stock.</w:t>
      </w:r>
    </w:p>
    <w:p>
      <w:pPr>
        <w:spacing w:after="0" w:line="117" w:lineRule="exact"/>
        <w:rPr>
          <w:sz w:val="20"/>
          <w:szCs w:val="20"/>
          <w:color w:val="auto"/>
        </w:rPr>
      </w:pPr>
    </w:p>
    <w:p>
      <w:pPr>
        <w:ind w:right="200" w:firstLine="492"/>
        <w:spacing w:after="0" w:line="291" w:lineRule="auto"/>
        <w:rPr>
          <w:sz w:val="20"/>
          <w:szCs w:val="20"/>
          <w:color w:val="auto"/>
        </w:rPr>
      </w:pPr>
      <w:r>
        <w:rPr>
          <w:rFonts w:ascii="Arial" w:cs="Arial" w:eastAsia="Arial" w:hAnsi="Arial"/>
          <w:sz w:val="16"/>
          <w:szCs w:val="16"/>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w:t>
      </w:r>
    </w:p>
    <w:p>
      <w:pPr>
        <w:spacing w:after="0" w:line="126" w:lineRule="exact"/>
        <w:rPr>
          <w:sz w:val="20"/>
          <w:szCs w:val="20"/>
          <w:color w:val="auto"/>
        </w:rPr>
      </w:pPr>
    </w:p>
    <w:p>
      <w:pPr>
        <w:ind w:right="280" w:firstLine="492"/>
        <w:spacing w:after="0" w:line="263" w:lineRule="auto"/>
        <w:rPr>
          <w:sz w:val="20"/>
          <w:szCs w:val="20"/>
          <w:color w:val="auto"/>
        </w:rPr>
      </w:pPr>
      <w:r>
        <w:rPr>
          <w:rFonts w:ascii="Arial" w:cs="Arial" w:eastAsia="Arial" w:hAnsi="Arial"/>
          <w:sz w:val="18"/>
          <w:szCs w:val="18"/>
          <w:color w:val="auto"/>
        </w:rPr>
        <w:t>No shares of Series A Convertible Preferred Stock were converted to common stock during the year ended December 31, 2022 and 2021. As of December 31, 2022, and 2021, 194 shares of Series A Convertible Preferred Stock (that are convertible into 97,000 shares of common stock) remained outstanding.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23" w:lineRule="exact"/>
        <w:rPr>
          <w:sz w:val="20"/>
          <w:szCs w:val="20"/>
          <w:color w:val="auto"/>
        </w:rPr>
      </w:pPr>
    </w:p>
    <w:p>
      <w:pPr>
        <w:ind w:right="80" w:firstLine="492"/>
        <w:spacing w:after="0" w:line="295" w:lineRule="auto"/>
        <w:rPr>
          <w:sz w:val="20"/>
          <w:szCs w:val="20"/>
          <w:color w:val="auto"/>
        </w:rPr>
      </w:pPr>
      <w:r>
        <w:rPr>
          <w:rFonts w:ascii="Arial" w:cs="Arial" w:eastAsia="Arial" w:hAnsi="Arial"/>
          <w:sz w:val="16"/>
          <w:szCs w:val="16"/>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 Each share of Series B Preferred Stock is initially convertible into 1 share of common stock.</w:t>
      </w:r>
    </w:p>
    <w:p>
      <w:pPr>
        <w:spacing w:after="0" w:line="121" w:lineRule="exact"/>
        <w:rPr>
          <w:sz w:val="20"/>
          <w:szCs w:val="20"/>
          <w:color w:val="auto"/>
        </w:rPr>
      </w:pPr>
    </w:p>
    <w:p>
      <w:pPr>
        <w:ind w:right="120" w:firstLine="492"/>
        <w:spacing w:after="0" w:line="271" w:lineRule="auto"/>
        <w:rPr>
          <w:sz w:val="20"/>
          <w:szCs w:val="20"/>
          <w:color w:val="auto"/>
        </w:rPr>
      </w:pPr>
      <w:r>
        <w:rPr>
          <w:rFonts w:ascii="Arial" w:cs="Arial" w:eastAsia="Arial" w:hAnsi="Arial"/>
          <w:sz w:val="17"/>
          <w:szCs w:val="17"/>
          <w:color w:val="auto"/>
        </w:rPr>
        <w:t>The Series B Convertible Preferred Stock may, at the option of each investor, be converted into fully paid and non-assessable shares of common stock. The holders of Series B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spacing w:after="0" w:line="151"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No shares of Series B Convertible Preferred Stock were converted to common stock during the year ended December 31, 2022. During the year ended December 31, 2021, 738,961 shares of Series B Convertible Preferred Stock were converted to common stock. At December 31, 2022 and 2021, 2,842,158 shares of Series B Preferred Stock (that are convertible into 2,842,158 shares of common stock) remained outstanding.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85" w:lineRule="exact"/>
        <w:rPr>
          <w:sz w:val="20"/>
          <w:szCs w:val="20"/>
          <w:color w:val="auto"/>
        </w:rPr>
      </w:pPr>
    </w:p>
    <w:p>
      <w:pPr>
        <w:ind w:right="20" w:firstLine="492"/>
        <w:spacing w:after="0" w:line="277" w:lineRule="auto"/>
        <w:rPr>
          <w:sz w:val="20"/>
          <w:szCs w:val="20"/>
          <w:color w:val="auto"/>
        </w:rPr>
      </w:pPr>
      <w:r>
        <w:rPr>
          <w:rFonts w:ascii="Arial" w:cs="Arial" w:eastAsia="Arial" w:hAnsi="Arial"/>
          <w:sz w:val="18"/>
          <w:szCs w:val="18"/>
          <w:color w:val="auto"/>
        </w:rPr>
        <w:t>The Company has multiple equity incentive plans under which it grants awards. As of December 31, 2022, there are 38,298 shares available to grant under the 2014 Equity Incentive Plan (the “2014 Plan”).</w:t>
      </w:r>
    </w:p>
    <w:p>
      <w:pPr>
        <w:spacing w:after="0" w:line="143" w:lineRule="exact"/>
        <w:rPr>
          <w:sz w:val="20"/>
          <w:szCs w:val="20"/>
          <w:color w:val="auto"/>
        </w:rPr>
      </w:pPr>
    </w:p>
    <w:p>
      <w:pPr>
        <w:ind w:firstLine="492"/>
        <w:spacing w:after="0" w:line="288" w:lineRule="auto"/>
        <w:rPr>
          <w:sz w:val="20"/>
          <w:szCs w:val="20"/>
          <w:color w:val="auto"/>
        </w:rPr>
      </w:pPr>
      <w:r>
        <w:rPr>
          <w:rFonts w:ascii="Arial" w:cs="Arial" w:eastAsia="Arial" w:hAnsi="Arial"/>
          <w:sz w:val="16"/>
          <w:szCs w:val="16"/>
          <w:color w:val="auto"/>
        </w:rPr>
        <w:t>On April 22, 2018, the Company’s board of directors (the “Board”) adopted the Iovance Biotherapeutics, Inc. 2018 Equity Incentive Plan (the “2018 Plan”), which was approved by the Company’s stockholders in June 2018. The 2018 Plan as approved initially authorized the issuance up to an aggregate of 6,000,000 shares of common stock in the form of incentive (qualified) stock options, non-qualified options, common stock, stock appreciation rights, restricted stock awards, restricted stock units, other stock-based awards, other cash-based awards or any combination of the foregoing. On June 8, 2020, the Company's stockholders approved an amendment to the 2018 Plan to increase the number of shares available for issuance upon the exercise of stock options under the 2018 Plan from 6,000,000 to 14,000,000 shares, which became effective immediately. Additionally, on June 10, 2022, the Company’s stockholders approved an amendment to the 2018 Plan to increase the number of shares available for issuance upon the exercise of stock options under the 2018 Plan from 14,000,000 to 20,700,000 shares, which became effective immediately. As of December 31, 2022, 6,881,610 shares of common stock were available for grant under the Company’s 2018 Plan.</w:t>
      </w:r>
    </w:p>
    <w:p>
      <w:pPr>
        <w:spacing w:after="0" w:line="128"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On September 22, 2021, the Board adopted the Iovance Biotherapeutics, Inc. 2021 Inducement Plan (the “2021 Inducement Plan”). The 2021 Inducement Plan provides for the grant of non-qualified options, common stock, stock appreciation rights, restricted stock awards, restricted stock units, other stock-based awards, other cash-based awards, or any combination of the foregoing. The 2021 Inducement Plan was recommended for approval by the Compensation Committee of the Board (the “Compensation Committee”), and subsequently approved and adopted by the Board without stockholder approval pursuant to Rule 5635(c)(4) of the rules and regulations of The Nasdaq Stock Market, LLC (the “Nasdaq Listing Rules”).</w:t>
      </w:r>
    </w:p>
    <w:p>
      <w:pPr>
        <w:spacing w:after="0" w:line="137"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The Board initially reserved 1,000,000 shares of the Company’s common stock for issuance pursuant to equity awards granted under the 2021 Inducement Plan, and the 2021 Inducement Plan is administered by the Compensation Committee. On January 12, 2022, the Compensation Committee approved an amendment to the 2021 Inducement Plan solely to increase the number of shares reserved for issuance under the 2021 Inducement Plan from 1,000,000 shares of the Company’s common stock to 1,750,000 shares of the Company’s common stock without stockholder approval pursuant to Rule 5635(c)(4) of the Nasdaq Listing Rules.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In accordance with Rule 5635(c)(4) of the Nasdaq Listing Rules, equity awards under the 2021 Inducement Plan may only be made to an employee if such employee is granted such equity awards in connection with his or her commencement of employment with the Company or a subsidiary and such grant is an inducement material to his or her entering into employment with the Company or such subsidiary. In addition, awards under the 2021 Inducement Plan may only be made to employees who have not previously been an employee or member of the Board (or any parent or subsidiary of the Company) or following a bona fide period of non-employment of the employee by the Company (or a parent or subsidiary of the Company). As of December 31, 2022, 55,925 shares of common stock were available for grant under the Inducement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98" w:lineRule="exact"/>
        <w:rPr>
          <w:sz w:val="20"/>
          <w:szCs w:val="20"/>
          <w:color w:val="auto"/>
        </w:rPr>
      </w:pPr>
    </w:p>
    <w:p>
      <w:pPr>
        <w:ind w:right="740" w:firstLine="492"/>
        <w:spacing w:after="0" w:line="277" w:lineRule="auto"/>
        <w:rPr>
          <w:sz w:val="20"/>
          <w:szCs w:val="20"/>
          <w:color w:val="auto"/>
        </w:rPr>
      </w:pPr>
      <w:r>
        <w:rPr>
          <w:rFonts w:ascii="Arial" w:cs="Arial" w:eastAsia="Arial" w:hAnsi="Arial"/>
          <w:sz w:val="18"/>
          <w:szCs w:val="18"/>
          <w:color w:val="auto"/>
        </w:rPr>
        <w:t>A summary of the status of stock options as of December 31, 2022, and the changes during the three years then ended, is presented in the following table: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Weighted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Exercise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9,494,712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Issued</w:t>
            </w:r>
          </w:p>
        </w:tc>
        <w:tc>
          <w:tcPr>
            <w:tcW w:w="1220" w:type="dxa"/>
            <w:vAlign w:val="bottom"/>
          </w:tcPr>
          <w:p>
            <w:pPr>
              <w:jc w:val="right"/>
              <w:spacing w:after="0"/>
              <w:rPr>
                <w:sz w:val="20"/>
                <w:szCs w:val="20"/>
                <w:color w:val="auto"/>
              </w:rPr>
            </w:pPr>
            <w:r>
              <w:rPr>
                <w:rFonts w:ascii="Arial" w:cs="Arial" w:eastAsia="Arial" w:hAnsi="Arial"/>
                <w:sz w:val="18"/>
                <w:szCs w:val="18"/>
                <w:color w:val="auto"/>
              </w:rPr>
              <w:t>4,981,001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28.17</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Expired/Cancelled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(886,221)</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2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12,615,638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Issued</w:t>
            </w:r>
          </w:p>
        </w:tc>
        <w:tc>
          <w:tcPr>
            <w:tcW w:w="1220" w:type="dxa"/>
            <w:vAlign w:val="bottom"/>
          </w:tcPr>
          <w:p>
            <w:pPr>
              <w:jc w:val="right"/>
              <w:spacing w:after="0"/>
              <w:rPr>
                <w:sz w:val="20"/>
                <w:szCs w:val="20"/>
                <w:color w:val="auto"/>
              </w:rPr>
            </w:pPr>
            <w:r>
              <w:rPr>
                <w:rFonts w:ascii="Arial" w:cs="Arial" w:eastAsia="Arial" w:hAnsi="Arial"/>
                <w:sz w:val="18"/>
                <w:szCs w:val="18"/>
                <w:color w:val="auto"/>
              </w:rPr>
              <w:t>5,528,724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38.05</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(2,822,617)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Expired/Cancelled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(2,800,880)</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2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12,520,865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Issued</w:t>
            </w:r>
          </w:p>
        </w:tc>
        <w:tc>
          <w:tcPr>
            <w:tcW w:w="1220" w:type="dxa"/>
            <w:vAlign w:val="bottom"/>
          </w:tcPr>
          <w:p>
            <w:pPr>
              <w:jc w:val="right"/>
              <w:spacing w:after="0"/>
              <w:rPr>
                <w:sz w:val="20"/>
                <w:szCs w:val="20"/>
                <w:color w:val="auto"/>
              </w:rPr>
            </w:pPr>
            <w:r>
              <w:rPr>
                <w:rFonts w:ascii="Arial" w:cs="Arial" w:eastAsia="Arial" w:hAnsi="Arial"/>
                <w:sz w:val="18"/>
                <w:szCs w:val="18"/>
                <w:color w:val="auto"/>
              </w:rPr>
              <w:t>3,455,027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13.31</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Expired/Cancelled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(532,116)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2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15,240,197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Ending vested and expected to vest at December 31, 2022</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tcBorders>
              <w:bottom w:val="single" w:sz="8" w:color="CCEEFF"/>
            </w:tcBorders>
            <w:vMerge w:val="continue"/>
          </w:tcPr>
          <w:p>
            <w:pPr>
              <w:spacing w:after="0"/>
              <w:rPr>
                <w:sz w:val="20"/>
                <w:szCs w:val="20"/>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15,240,197</w:t>
            </w:r>
          </w:p>
        </w:tc>
        <w:tc>
          <w:tcPr>
            <w:tcW w:w="2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22.45</w:t>
            </w: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7.27</w:t>
            </w:r>
          </w:p>
        </w:tc>
        <w:tc>
          <w:tcPr>
            <w:tcW w:w="2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December 31, 2022</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9,639,339</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22.82</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6.34</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492"/>
        <w:spacing w:after="0" w:line="308" w:lineRule="auto"/>
        <w:rPr>
          <w:sz w:val="20"/>
          <w:szCs w:val="20"/>
          <w:color w:val="auto"/>
        </w:rPr>
      </w:pPr>
      <w:r>
        <w:rPr>
          <w:rFonts w:ascii="Arial" w:cs="Arial" w:eastAsia="Arial" w:hAnsi="Arial"/>
          <w:sz w:val="17"/>
          <w:szCs w:val="17"/>
          <w:color w:val="auto"/>
        </w:rPr>
        <w:t>As of December 31, 2022, there was $58.9 million of total unrecognized compensation expense related to unvested employee stock options, which the Company expects to recognize over a remaining weighted average period of 1.81 years.</w:t>
      </w:r>
    </w:p>
    <w:p>
      <w:pPr>
        <w:spacing w:after="0" w:line="106" w:lineRule="exact"/>
        <w:rPr>
          <w:sz w:val="20"/>
          <w:szCs w:val="20"/>
          <w:color w:val="auto"/>
        </w:rPr>
      </w:pPr>
    </w:p>
    <w:p>
      <w:pPr>
        <w:ind w:right="60" w:firstLine="492"/>
        <w:spacing w:after="0" w:line="277" w:lineRule="auto"/>
        <w:rPr>
          <w:sz w:val="20"/>
          <w:szCs w:val="20"/>
          <w:color w:val="auto"/>
        </w:rPr>
      </w:pPr>
      <w:r>
        <w:rPr>
          <w:rFonts w:ascii="Arial" w:cs="Arial" w:eastAsia="Arial" w:hAnsi="Arial"/>
          <w:sz w:val="18"/>
          <w:szCs w:val="18"/>
          <w:color w:val="auto"/>
        </w:rPr>
        <w:t>The weighted average grant date fair value for employee options granted under the Company's stock option plans during the years ended December 31, 2022, 2021, and 2020 was $8.29, $22.28, and $17.32 per option, respectively.</w:t>
      </w:r>
    </w:p>
    <w:p>
      <w:pPr>
        <w:spacing w:after="0" w:line="130"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The aggregate intrinsic value in the table above reflects the total pre-tax intrinsic value (the difference between the Company’s closing stock price on the last trading day of the year ended December 31, 2022 and the exercise price of the options, multiplied by the number of in-the-money stock options) that would have been received by the option holders had all option holders exercised their options on December 31, 2022. The intrinsic value of the Company’s stock options changes based on the closing price of the Company’s common stock.</w:t>
      </w:r>
    </w:p>
    <w:p>
      <w:pPr>
        <w:spacing w:after="0" w:line="161"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color w:val="auto"/>
        </w:rPr>
        <w:t>The aggregate intrinsic value of stock options exercised during the year ended December 31, 2022, 2021, and 2020 were $0.04 million, $21.3 million, and $21.4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ind w:right="140" w:firstLine="492"/>
        <w:spacing w:after="0" w:line="342" w:lineRule="auto"/>
        <w:rPr>
          <w:sz w:val="20"/>
          <w:szCs w:val="20"/>
          <w:color w:val="auto"/>
        </w:rPr>
      </w:pPr>
      <w:r>
        <w:rPr>
          <w:rFonts w:ascii="Arial" w:cs="Arial" w:eastAsia="Arial" w:hAnsi="Arial"/>
          <w:sz w:val="16"/>
          <w:szCs w:val="16"/>
          <w:color w:val="auto"/>
        </w:rPr>
        <w:t>In June 2020, the Company adopted the 2020 ESPP upon its approval by the Company’s shareholders at its Annual Stockholders Meeting on June 8, 2020. The Company reserved 500,000 shares of its common stock for issuance under the 2020 ESPP.</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Under the 2020 ESPP, employees of the Company can purchase shares of our common stock based on a percentage of their compensation subject to certain limits. The purchase price per share is equal to the lower of 85% of the fair market value of its common stock on the offering date or the purchase date with a six-month look-back feature. The 2020 ESPP purchases are settled with common stock from the 2020 ESPP’s previously authorized and available pool of shares.</w:t>
      </w:r>
    </w:p>
    <w:p>
      <w:pPr>
        <w:spacing w:after="0" w:line="131" w:lineRule="exact"/>
        <w:rPr>
          <w:sz w:val="20"/>
          <w:szCs w:val="20"/>
          <w:color w:val="auto"/>
        </w:rPr>
      </w:pPr>
    </w:p>
    <w:p>
      <w:pPr>
        <w:ind w:right="80" w:firstLine="492"/>
        <w:spacing w:after="0" w:line="275" w:lineRule="auto"/>
        <w:rPr>
          <w:sz w:val="20"/>
          <w:szCs w:val="20"/>
          <w:color w:val="auto"/>
        </w:rPr>
      </w:pPr>
      <w:r>
        <w:rPr>
          <w:rFonts w:ascii="Arial" w:cs="Arial" w:eastAsia="Arial" w:hAnsi="Arial"/>
          <w:sz w:val="17"/>
          <w:szCs w:val="17"/>
          <w:color w:val="auto"/>
        </w:rPr>
        <w:t>The compensation expense related to the 2020 ESPP for the years ended December 31, 2022, 2021 and 2020 was $1.3 million, $1.2 million and $0.1 million, respectively. Under the 2020 ESPP, for the years ended December 31, 2022, and 2021, the Company received proceeds of $1.7 million for the issuance of 262,701 shares, and $1.6 million for the issuance of 94,148 shares, respectively. As of December 31, 2020, no shares were issued un the 2020 ESPP. As of December 31, 2022, there was $0.5 million of unrecognized compensation cost associated with the 2020 ESPP, which is expected to be recognized over 5.33 months.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and Performance Restricted Stock Units</w:t>
      </w:r>
    </w:p>
    <w:p>
      <w:pPr>
        <w:spacing w:after="0" w:line="225"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In addition to RSUs that have time-based vesting requirements, from time to time the Company may issue RSUs that include certain performance vesting criteria based upon the satisfaction of stated objectives (“PRSUs”). Compensation expense related to PRSUs is based on the grant date fair value of the award and recorded from the period that achievement is determined to be probable through the stated service period associated with the award.</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summary of the RSU and PRSU activity during the years ended December 31, 2022, and 2021 is presented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14"/>
                <w:szCs w:val="14"/>
                <w:color w:val="auto"/>
              </w:rPr>
            </w:pPr>
          </w:p>
        </w:tc>
        <w:tc>
          <w:tcPr>
            <w:tcW w:w="16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300" w:type="dxa"/>
            <w:vAlign w:val="bottom"/>
          </w:tcPr>
          <w:p>
            <w:pPr>
              <w:spacing w:after="0"/>
              <w:rPr>
                <w:sz w:val="12"/>
                <w:szCs w:val="12"/>
                <w:color w:val="auto"/>
              </w:rPr>
            </w:pPr>
          </w:p>
        </w:tc>
        <w:tc>
          <w:tcPr>
            <w:tcW w:w="16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RSUs and PRSUs</w:t>
            </w:r>
          </w:p>
        </w:tc>
        <w:tc>
          <w:tcPr>
            <w:tcW w:w="300" w:type="dxa"/>
            <w:vAlign w:val="bottom"/>
          </w:tcPr>
          <w:p>
            <w:pPr>
              <w:spacing w:after="0"/>
              <w:rPr>
                <w:sz w:val="14"/>
                <w:szCs w:val="14"/>
                <w:color w:val="auto"/>
              </w:rPr>
            </w:pPr>
          </w:p>
        </w:tc>
        <w:tc>
          <w:tcPr>
            <w:tcW w:w="16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non-vested as of December 31, 2020</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1,253,540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23.87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Canceled/Forfeited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(143,530)</w:t>
            </w:r>
          </w:p>
        </w:tc>
        <w:tc>
          <w:tcPr>
            <w:tcW w:w="3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w:t>
            </w:r>
          </w:p>
        </w:tc>
        <w:tc>
          <w:tcPr>
            <w:tcW w:w="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non-vested as of December 31, 2021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1,110,010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2,391,203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Vested/Released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(894,760)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Canceled/Forfeited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(169,689)</w:t>
            </w:r>
          </w:p>
        </w:tc>
        <w:tc>
          <w:tcPr>
            <w:tcW w:w="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2,436,764</w:t>
            </w:r>
          </w:p>
        </w:tc>
        <w:tc>
          <w:tcPr>
            <w:tcW w:w="3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Ending vested and expected to vest at December 31, 2022</w:t>
            </w: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2,267,659</w:t>
            </w:r>
          </w:p>
        </w:tc>
        <w:tc>
          <w:tcPr>
            <w:tcW w:w="300" w:type="dxa"/>
            <w:vAlign w:val="bottom"/>
          </w:tcPr>
          <w:p>
            <w:pPr>
              <w:spacing w:after="0"/>
              <w:rPr>
                <w:sz w:val="17"/>
                <w:szCs w:val="17"/>
                <w:color w:val="auto"/>
              </w:rPr>
            </w:pPr>
          </w:p>
        </w:tc>
        <w:tc>
          <w:tcPr>
            <w:tcW w:w="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14.06</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492"/>
        <w:spacing w:after="0" w:line="277" w:lineRule="auto"/>
        <w:rPr>
          <w:sz w:val="20"/>
          <w:szCs w:val="20"/>
          <w:color w:val="auto"/>
        </w:rPr>
      </w:pPr>
      <w:r>
        <w:rPr>
          <w:rFonts w:ascii="Arial" w:cs="Arial" w:eastAsia="Arial" w:hAnsi="Arial"/>
          <w:sz w:val="18"/>
          <w:szCs w:val="18"/>
          <w:color w:val="auto"/>
        </w:rPr>
        <w:t>During the year ended December 31, 2022, 2.4 million restricted units were granted, of which only 100,000 were PRSUs. No PRSUs were granted during the year ended December 31, 2021.</w:t>
      </w:r>
    </w:p>
    <w:p>
      <w:pPr>
        <w:spacing w:after="0" w:line="170" w:lineRule="exact"/>
        <w:rPr>
          <w:sz w:val="20"/>
          <w:szCs w:val="20"/>
          <w:color w:val="auto"/>
        </w:rPr>
      </w:pPr>
    </w:p>
    <w:p>
      <w:pPr>
        <w:ind w:right="180" w:firstLine="492"/>
        <w:spacing w:after="0" w:line="259" w:lineRule="auto"/>
        <w:rPr>
          <w:sz w:val="20"/>
          <w:szCs w:val="20"/>
          <w:color w:val="auto"/>
        </w:rPr>
      </w:pPr>
      <w:r>
        <w:rPr>
          <w:rFonts w:ascii="Arial" w:cs="Arial" w:eastAsia="Arial" w:hAnsi="Arial"/>
          <w:sz w:val="18"/>
          <w:szCs w:val="18"/>
          <w:color w:val="auto"/>
        </w:rPr>
        <w:t>As of December 31, 2022, there was $20.6 million of unrecognized stock-based compensation expense associated with unvested RSUs and PRSUs, which the Company expects to recognize over a remaining weighted-average period of 1.72 years. The aggregate intrinsic value of the unvested RSUs and PRSUs outstanding as of December 31, 2022 and 2021, was $14.5 million and $21.2 million,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700" w:firstLine="492"/>
        <w:spacing w:after="0" w:line="277" w:lineRule="auto"/>
        <w:rPr>
          <w:sz w:val="20"/>
          <w:szCs w:val="20"/>
          <w:color w:val="auto"/>
        </w:rPr>
      </w:pPr>
      <w:r>
        <w:rPr>
          <w:rFonts w:ascii="Arial" w:cs="Arial" w:eastAsia="Arial" w:hAnsi="Arial"/>
          <w:sz w:val="18"/>
          <w:szCs w:val="18"/>
          <w:color w:val="auto"/>
        </w:rPr>
        <w:t>Total stock-based compensation expense related to the Company’s stock-based awards was recorded on the Consolidated Statements of Operations as follows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2"/>
        </w:trPr>
        <w:tc>
          <w:tcPr>
            <w:tcW w:w="59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19,727</w:t>
            </w:r>
          </w:p>
        </w:tc>
      </w:tr>
      <w:tr>
        <w:trPr>
          <w:trHeight w:val="216"/>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33,780</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28,932</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21,160</w:t>
            </w:r>
          </w:p>
        </w:tc>
      </w:tr>
      <w:tr>
        <w:trPr>
          <w:trHeight w:val="209"/>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84,022</w:t>
            </w: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69,765</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40,887</w:t>
            </w: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stock-based compensation expense by type of award was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42"/>
        </w:trPr>
        <w:tc>
          <w:tcPr>
            <w:tcW w:w="59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Restricted stock expense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24,436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12,247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ESPP expense</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9"/>
        </w:trPr>
        <w:tc>
          <w:tcPr>
            <w:tcW w:w="5940" w:type="dxa"/>
            <w:vAlign w:val="bottom"/>
          </w:tcPr>
          <w:p>
            <w:pPr>
              <w:ind w:left="14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84,022</w:t>
            </w:r>
          </w:p>
        </w:tc>
        <w:tc>
          <w:tcPr>
            <w:tcW w:w="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69,765</w:t>
            </w:r>
          </w:p>
        </w:tc>
        <w:tc>
          <w:tcPr>
            <w:tcW w:w="22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40,887</w:t>
            </w: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color w:val="auto"/>
        </w:rPr>
        <w:t>The following table summarizes the assumptions relating to options granted pursuant to the Company’s equity incentive plans for the years ended December 31, 2022, 2021, and 2020:</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4"/>
              </w:rPr>
              <w:t>Stock Option</w:t>
            </w: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ESPP</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Assumptions:</w:t>
            </w:r>
          </w:p>
        </w:tc>
        <w:tc>
          <w:tcPr>
            <w:tcW w:w="480" w:type="dxa"/>
            <w:vAlign w:val="bottom"/>
          </w:tcPr>
          <w:p>
            <w:pPr>
              <w:spacing w:after="0"/>
              <w:rPr>
                <w:sz w:val="10"/>
                <w:szCs w:val="10"/>
                <w:color w:val="auto"/>
              </w:rPr>
            </w:pPr>
          </w:p>
        </w:tc>
        <w:tc>
          <w:tcPr>
            <w:tcW w:w="2340" w:type="dxa"/>
            <w:vAlign w:val="bottom"/>
            <w:gridSpan w:val="6"/>
          </w:tcPr>
          <w:p>
            <w:pPr>
              <w:jc w:val="center"/>
              <w:spacing w:after="0" w:line="119" w:lineRule="exact"/>
              <w:rPr>
                <w:sz w:val="20"/>
                <w:szCs w:val="20"/>
                <w:color w:val="auto"/>
              </w:rPr>
            </w:pPr>
            <w:r>
              <w:rPr>
                <w:rFonts w:ascii="Arial" w:cs="Arial" w:eastAsia="Arial" w:hAnsi="Arial"/>
                <w:sz w:val="13"/>
                <w:szCs w:val="13"/>
                <w:b w:val="1"/>
                <w:bCs w:val="1"/>
                <w:color w:val="auto"/>
                <w:w w:val="99"/>
              </w:rPr>
              <w:t>Years Ended December 31,</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60" w:type="dxa"/>
            <w:vAlign w:val="bottom"/>
            <w:gridSpan w:val="5"/>
          </w:tcPr>
          <w:p>
            <w:pPr>
              <w:ind w:left="660"/>
              <w:spacing w:after="0" w:line="119" w:lineRule="exact"/>
              <w:rPr>
                <w:sz w:val="20"/>
                <w:szCs w:val="20"/>
                <w:color w:val="auto"/>
              </w:rPr>
            </w:pPr>
            <w:r>
              <w:rPr>
                <w:rFonts w:ascii="Arial" w:cs="Arial" w:eastAsia="Arial" w:hAnsi="Arial"/>
                <w:sz w:val="13"/>
                <w:szCs w:val="13"/>
                <w:b w:val="1"/>
                <w:bCs w:val="1"/>
                <w:color w:val="auto"/>
              </w:rPr>
              <w:t>Years Ended December 31,</w:t>
            </w: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CCEEFF"/>
            </w:tcBorders>
            <w:vMerge w:val="continue"/>
          </w:tcPr>
          <w:p>
            <w:pPr>
              <w:spacing w:after="0"/>
              <w:rPr>
                <w:sz w:val="14"/>
                <w:szCs w:val="14"/>
                <w:color w:val="auto"/>
              </w:rPr>
            </w:pPr>
          </w:p>
        </w:tc>
        <w:tc>
          <w:tcPr>
            <w:tcW w:w="1040" w:type="dxa"/>
            <w:vAlign w:val="bottom"/>
            <w:tcBorders>
              <w:bottom w:val="single" w:sz="8" w:color="auto"/>
            </w:tcBorders>
            <w:gridSpan w:val="2"/>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term (years)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- 5.12</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rPr>
              <w:t>- 5.28</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- 6.19</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0.50</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7"/>
              </w:rPr>
              <w:t>0.50</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0.50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Expected volatility</w:t>
            </w:r>
          </w:p>
        </w:tc>
        <w:tc>
          <w:tcPr>
            <w:tcW w:w="480" w:type="dxa"/>
            <w:vAlign w:val="bottom"/>
          </w:tcPr>
          <w:p>
            <w:pPr>
              <w:jc w:val="right"/>
              <w:spacing w:after="0"/>
              <w:rPr>
                <w:sz w:val="20"/>
                <w:szCs w:val="20"/>
                <w:color w:val="auto"/>
              </w:rPr>
            </w:pPr>
            <w:r>
              <w:rPr>
                <w:rFonts w:ascii="Arial" w:cs="Arial" w:eastAsia="Arial" w:hAnsi="Arial"/>
                <w:sz w:val="14"/>
                <w:szCs w:val="14"/>
                <w:color w:val="auto"/>
                <w:w w:val="92"/>
              </w:rPr>
              <w:t>73.73%</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w w:val="98"/>
              </w:rPr>
              <w:t>- 83.90%   70.35%</w:t>
            </w:r>
          </w:p>
        </w:tc>
        <w:tc>
          <w:tcPr>
            <w:tcW w:w="540" w:type="dxa"/>
            <w:vAlign w:val="bottom"/>
          </w:tcPr>
          <w:p>
            <w:pPr>
              <w:spacing w:after="0"/>
              <w:rPr>
                <w:sz w:val="20"/>
                <w:szCs w:val="20"/>
                <w:color w:val="auto"/>
              </w:rPr>
            </w:pPr>
            <w:r>
              <w:rPr>
                <w:rFonts w:ascii="Arial" w:cs="Arial" w:eastAsia="Arial" w:hAnsi="Arial"/>
                <w:sz w:val="14"/>
                <w:szCs w:val="14"/>
                <w:color w:val="auto"/>
                <w:w w:val="92"/>
              </w:rPr>
              <w:t>- 73.88%</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8"/>
              </w:rPr>
              <w:t>69.99%</w:t>
            </w:r>
          </w:p>
        </w:tc>
        <w:tc>
          <w:tcPr>
            <w:tcW w:w="560" w:type="dxa"/>
            <w:vAlign w:val="bottom"/>
          </w:tcPr>
          <w:p>
            <w:pPr>
              <w:ind w:left="20"/>
              <w:spacing w:after="0"/>
              <w:rPr>
                <w:sz w:val="20"/>
                <w:szCs w:val="20"/>
                <w:color w:val="auto"/>
              </w:rPr>
            </w:pPr>
            <w:r>
              <w:rPr>
                <w:rFonts w:ascii="Arial" w:cs="Arial" w:eastAsia="Arial" w:hAnsi="Arial"/>
                <w:sz w:val="14"/>
                <w:szCs w:val="14"/>
                <w:color w:val="auto"/>
                <w:w w:val="92"/>
              </w:rPr>
              <w:t>- 70.99%</w:t>
            </w:r>
          </w:p>
        </w:tc>
        <w:tc>
          <w:tcPr>
            <w:tcW w:w="14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color w:val="auto"/>
                <w:w w:val="97"/>
              </w:rPr>
              <w:t>73.02% - 137.42%   52.04%</w:t>
            </w:r>
          </w:p>
        </w:tc>
        <w:tc>
          <w:tcPr>
            <w:tcW w:w="560" w:type="dxa"/>
            <w:vAlign w:val="bottom"/>
          </w:tcPr>
          <w:p>
            <w:pPr>
              <w:ind w:left="20"/>
              <w:spacing w:after="0"/>
              <w:rPr>
                <w:sz w:val="20"/>
                <w:szCs w:val="20"/>
                <w:color w:val="auto"/>
              </w:rPr>
            </w:pPr>
            <w:r>
              <w:rPr>
                <w:rFonts w:ascii="Arial" w:cs="Arial" w:eastAsia="Arial" w:hAnsi="Arial"/>
                <w:sz w:val="14"/>
                <w:szCs w:val="14"/>
                <w:color w:val="auto"/>
                <w:w w:val="92"/>
              </w:rPr>
              <w:t>- 94.56%</w:t>
            </w:r>
          </w:p>
        </w:tc>
        <w:tc>
          <w:tcPr>
            <w:tcW w:w="1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54.90%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- 4.05%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rPr>
              <w:t>- 0.97%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- 1.83%</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1.98% - 4.78%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- 0.13%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0.09%</w:t>
            </w:r>
          </w:p>
        </w:tc>
        <w:tc>
          <w:tcPr>
            <w:tcW w:w="0" w:type="dxa"/>
            <w:vAlign w:val="bottom"/>
          </w:tcPr>
          <w:p>
            <w:pPr>
              <w:spacing w:after="0"/>
              <w:rPr>
                <w:sz w:val="1"/>
                <w:szCs w:val="1"/>
                <w:color w:val="auto"/>
              </w:rPr>
            </w:pPr>
          </w:p>
        </w:tc>
      </w:tr>
      <w:tr>
        <w:trPr>
          <w:trHeight w:val="231"/>
        </w:trPr>
        <w:tc>
          <w:tcPr>
            <w:tcW w:w="33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40" w:type="dxa"/>
            <w:vAlign w:val="bottom"/>
            <w:gridSpan w:val="2"/>
          </w:tcPr>
          <w:p>
            <w:pPr>
              <w:jc w:val="right"/>
              <w:ind w:right="349"/>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20"/>
                <w:szCs w:val="20"/>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20"/>
                <w:szCs w:val="20"/>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8"/>
              </w:rPr>
              <w:t>0%</w:t>
            </w:r>
          </w:p>
        </w:tc>
        <w:tc>
          <w:tcPr>
            <w:tcW w:w="14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w w:val="98"/>
              </w:rPr>
              <w:t>0%</w:t>
            </w:r>
          </w:p>
        </w:tc>
        <w:tc>
          <w:tcPr>
            <w:tcW w:w="16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8"/>
              </w:rPr>
              <w:t>0%</w:t>
            </w:r>
          </w:p>
        </w:tc>
        <w:tc>
          <w:tcPr>
            <w:tcW w:w="0" w:type="dxa"/>
            <w:vAlign w:val="bottom"/>
          </w:tcPr>
          <w:p>
            <w:pPr>
              <w:spacing w:after="0"/>
              <w:rPr>
                <w:sz w:val="1"/>
                <w:szCs w:val="1"/>
                <w:color w:val="auto"/>
              </w:rPr>
            </w:pPr>
          </w:p>
        </w:tc>
      </w:tr>
    </w:tbl>
    <w:p>
      <w:pPr>
        <w:spacing w:after="0" w:line="362" w:lineRule="exact"/>
        <w:rPr>
          <w:sz w:val="20"/>
          <w:szCs w:val="20"/>
          <w:color w:val="auto"/>
        </w:rPr>
      </w:pPr>
    </w:p>
    <w:p>
      <w:pPr>
        <w:ind w:left="760" w:right="900" w:hanging="239"/>
        <w:spacing w:after="0" w:line="277"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Expected Term (Years)</w:t>
      </w:r>
      <w:r>
        <w:rPr>
          <w:rFonts w:ascii="Arial" w:cs="Arial" w:eastAsia="Arial" w:hAnsi="Arial"/>
          <w:sz w:val="18"/>
          <w:szCs w:val="18"/>
          <w:color w:val="auto"/>
        </w:rPr>
        <w:t>—The expected term of the stock option grants was calculated based on historical exercises,</w:t>
      </w:r>
      <w:r>
        <w:rPr>
          <w:rFonts w:ascii="Arial" w:cs="Arial" w:eastAsia="Arial" w:hAnsi="Arial"/>
          <w:sz w:val="18"/>
          <w:szCs w:val="18"/>
          <w:i w:val="1"/>
          <w:iCs w:val="1"/>
          <w:color w:val="auto"/>
        </w:rPr>
        <w:t xml:space="preserve"> </w:t>
      </w:r>
      <w:r>
        <w:rPr>
          <w:rFonts w:ascii="Arial" w:cs="Arial" w:eastAsia="Arial" w:hAnsi="Arial"/>
          <w:sz w:val="18"/>
          <w:szCs w:val="18"/>
          <w:color w:val="auto"/>
        </w:rPr>
        <w:t>cancellations, and forfeitures of stock options and outstanding option shares</w:t>
      </w:r>
    </w:p>
    <w:p>
      <w:pPr>
        <w:spacing w:after="0" w:line="129" w:lineRule="exact"/>
        <w:rPr>
          <w:rFonts w:ascii="Arial" w:cs="Arial" w:eastAsia="Arial" w:hAnsi="Arial"/>
          <w:sz w:val="18"/>
          <w:szCs w:val="18"/>
          <w:color w:val="auto"/>
        </w:rPr>
      </w:pPr>
    </w:p>
    <w:p>
      <w:pPr>
        <w:ind w:left="760" w:right="180" w:hanging="239"/>
        <w:spacing w:after="0" w:line="277"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is based on the historical volatility for the Company's stock over a period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expected terms of the options.</w:t>
      </w:r>
    </w:p>
    <w:p>
      <w:pPr>
        <w:spacing w:after="0" w:line="143" w:lineRule="exact"/>
        <w:rPr>
          <w:rFonts w:ascii="Arial" w:cs="Arial" w:eastAsia="Arial" w:hAnsi="Arial"/>
          <w:sz w:val="18"/>
          <w:szCs w:val="18"/>
          <w:color w:val="auto"/>
        </w:rPr>
      </w:pPr>
    </w:p>
    <w:p>
      <w:pPr>
        <w:ind w:left="760" w:right="600" w:hanging="239"/>
        <w:spacing w:after="0" w:line="277"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was based on the market yield currently available on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securities with maturities approximately equal to the option’s expected term.</w:t>
      </w:r>
    </w:p>
    <w:p>
      <w:pPr>
        <w:spacing w:after="0" w:line="129" w:lineRule="exact"/>
        <w:rPr>
          <w:rFonts w:ascii="Arial" w:cs="Arial" w:eastAsia="Arial" w:hAnsi="Arial"/>
          <w:sz w:val="18"/>
          <w:szCs w:val="18"/>
          <w:color w:val="auto"/>
        </w:rPr>
      </w:pPr>
    </w:p>
    <w:p>
      <w:pPr>
        <w:ind w:left="760" w:right="300" w:hanging="239"/>
        <w:spacing w:after="0" w:line="277"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paid dividends and does not expect to pay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w:t>
      </w:r>
    </w:p>
    <w:p>
      <w:pPr>
        <w:spacing w:after="0" w:line="129" w:lineRule="exact"/>
        <w:rPr>
          <w:rFonts w:ascii="Arial" w:cs="Arial" w:eastAsia="Arial" w:hAnsi="Arial"/>
          <w:sz w:val="18"/>
          <w:szCs w:val="18"/>
          <w:color w:val="auto"/>
        </w:rPr>
      </w:pPr>
    </w:p>
    <w:p>
      <w:pPr>
        <w:ind w:left="760" w:hanging="239"/>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Forfeiture Rate </w:t>
      </w:r>
      <w:r>
        <w:rPr>
          <w:rFonts w:ascii="Arial" w:cs="Arial" w:eastAsia="Arial" w:hAnsi="Arial"/>
          <w:sz w:val="18"/>
          <w:szCs w:val="18"/>
          <w:color w:val="auto"/>
        </w:rPr>
        <w:t>—The Company recognizes forfeitures as they occur.</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of the inputs discussed above is subjective and generally requires significant management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EMPLOYEE BENEFIT PLAN</w:t>
      </w:r>
    </w:p>
    <w:p>
      <w:pPr>
        <w:spacing w:after="0" w:line="189" w:lineRule="exact"/>
        <w:rPr>
          <w:sz w:val="20"/>
          <w:szCs w:val="20"/>
          <w:color w:val="auto"/>
        </w:rPr>
      </w:pPr>
    </w:p>
    <w:p>
      <w:pPr>
        <w:ind w:firstLine="492"/>
        <w:spacing w:after="0" w:line="286" w:lineRule="auto"/>
        <w:rPr>
          <w:sz w:val="20"/>
          <w:szCs w:val="20"/>
          <w:color w:val="auto"/>
        </w:rPr>
      </w:pPr>
      <w:r>
        <w:rPr>
          <w:rFonts w:ascii="Arial" w:cs="Arial" w:eastAsia="Arial" w:hAnsi="Arial"/>
          <w:sz w:val="17"/>
          <w:szCs w:val="17"/>
          <w:color w:val="auto"/>
        </w:rPr>
        <w:t>The Company maintains a defined contribution plan covering substantially all U.S. employees under Section 401(k) of the Internal Revenue Code of 1986, as amended (the “IRC”). The Company's matching contribution to the defined contribution plan was $3.0 million, $2.2 million, and $1.2 million for the years ended December 31, 2022, 2021 and 2020,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INCOME TAXES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did not record a provision or benefit for income taxes for the years ended December 31, 2022, 2021 or 2020.</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significant components of the Company’s net deferred tax assets and liabilities are summarized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tcBorders>
              <w:bottom w:val="single" w:sz="8" w:color="auto"/>
            </w:tcBorders>
          </w:tcPr>
          <w:p>
            <w:pPr>
              <w:spacing w:after="0"/>
              <w:rPr>
                <w:sz w:val="14"/>
                <w:szCs w:val="14"/>
                <w:color w:val="auto"/>
              </w:rPr>
            </w:pPr>
          </w:p>
        </w:tc>
      </w:tr>
      <w:tr>
        <w:trPr>
          <w:trHeight w:val="142"/>
        </w:trPr>
        <w:tc>
          <w:tcPr>
            <w:tcW w:w="494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51"/>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94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19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225,904</w:t>
            </w:r>
          </w:p>
        </w:tc>
        <w:tc>
          <w:tcPr>
            <w:tcW w:w="32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203,298</w:t>
            </w:r>
          </w:p>
        </w:tc>
      </w:tr>
      <w:tr>
        <w:trPr>
          <w:trHeight w:val="216"/>
        </w:trPr>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24,920</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18,319</w:t>
            </w:r>
          </w:p>
        </w:tc>
      </w:tr>
      <w:tr>
        <w:trPr>
          <w:trHeight w:val="216"/>
        </w:trPr>
        <w:tc>
          <w:tcPr>
            <w:tcW w:w="4940" w:type="dxa"/>
            <w:vAlign w:val="bottom"/>
          </w:tcPr>
          <w:p>
            <w:pPr>
              <w:ind w:left="340"/>
              <w:spacing w:after="0"/>
              <w:rPr>
                <w:sz w:val="20"/>
                <w:szCs w:val="20"/>
                <w:color w:val="auto"/>
              </w:rPr>
            </w:pPr>
            <w:r>
              <w:rPr>
                <w:rFonts w:ascii="Arial" w:cs="Arial" w:eastAsia="Arial" w:hAnsi="Arial"/>
                <w:sz w:val="18"/>
                <w:szCs w:val="18"/>
                <w:color w:val="auto"/>
              </w:rPr>
              <w:t>Tax credit carryforwards</w:t>
            </w: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46,957</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40,851</w:t>
            </w:r>
          </w:p>
        </w:tc>
      </w:tr>
      <w:tr>
        <w:trPr>
          <w:trHeight w:val="216"/>
        </w:trPr>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liabilities</w:t>
            </w: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18,017</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w:t>
            </w:r>
          </w:p>
        </w:tc>
      </w:tr>
      <w:tr>
        <w:trPr>
          <w:trHeight w:val="216"/>
        </w:trPr>
        <w:tc>
          <w:tcPr>
            <w:tcW w:w="4940" w:type="dxa"/>
            <w:vAlign w:val="bottom"/>
          </w:tcPr>
          <w:p>
            <w:pPr>
              <w:ind w:left="340"/>
              <w:spacing w:after="0"/>
              <w:rPr>
                <w:sz w:val="20"/>
                <w:szCs w:val="20"/>
                <w:color w:val="auto"/>
              </w:rPr>
            </w:pPr>
            <w:r>
              <w:rPr>
                <w:rFonts w:ascii="Arial" w:cs="Arial" w:eastAsia="Arial" w:hAnsi="Arial"/>
                <w:sz w:val="18"/>
                <w:szCs w:val="18"/>
                <w:color w:val="auto"/>
              </w:rPr>
              <w:t>Capitalized R&amp;D</w:t>
            </w: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47,755</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4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Reserves and accruals</w:t>
            </w:r>
          </w:p>
        </w:tc>
        <w:tc>
          <w:tcPr>
            <w:tcW w:w="15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w:t>
            </w:r>
          </w:p>
        </w:tc>
        <w:tc>
          <w:tcPr>
            <w:tcW w:w="3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w:t>
            </w: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before valuation allowance</w:t>
            </w: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367,550</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282,111</w:t>
            </w:r>
          </w:p>
        </w:tc>
      </w:tr>
      <w:tr>
        <w:trPr>
          <w:trHeight w:val="216"/>
        </w:trPr>
        <w:tc>
          <w:tcPr>
            <w:tcW w:w="4940" w:type="dxa"/>
            <w:vAlign w:val="bottom"/>
          </w:tcPr>
          <w:p>
            <w:pPr>
              <w:ind w:left="340"/>
              <w:spacing w:after="0"/>
              <w:rPr>
                <w:sz w:val="20"/>
                <w:szCs w:val="20"/>
                <w:color w:val="auto"/>
              </w:rPr>
            </w:pPr>
            <w:r>
              <w:rPr>
                <w:rFonts w:ascii="Arial" w:cs="Arial" w:eastAsia="Arial" w:hAnsi="Arial"/>
                <w:sz w:val="18"/>
                <w:szCs w:val="18"/>
                <w:color w:val="auto"/>
              </w:rPr>
              <w:t>Less: valuation allowance</w:t>
            </w: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(350,418)</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(267,469)</w:t>
            </w:r>
          </w:p>
        </w:tc>
      </w:tr>
      <w:tr>
        <w:trPr>
          <w:trHeight w:val="210"/>
        </w:trPr>
        <w:tc>
          <w:tcPr>
            <w:tcW w:w="4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deferred income tax assets</w:t>
            </w:r>
          </w:p>
        </w:tc>
        <w:tc>
          <w:tcPr>
            <w:tcW w:w="15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14,642</w:t>
            </w:r>
          </w:p>
        </w:tc>
      </w:t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(17,132)</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(14,642)</w:t>
            </w:r>
          </w:p>
        </w:tc>
      </w:t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Net deferred tax assets (liabilities)</w:t>
            </w:r>
          </w:p>
        </w:tc>
        <w:tc>
          <w:tcPr>
            <w:tcW w:w="15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reconciliation of the effective income tax rate to the U.S. statutory rate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90"/>
              </w:rPr>
              <w:t>Years ended December 31,</w:t>
            </w:r>
          </w:p>
        </w:tc>
        <w:tc>
          <w:tcPr>
            <w:tcW w:w="1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940" w:type="dxa"/>
            <w:vAlign w:val="bottom"/>
          </w:tcPr>
          <w:p>
            <w:pPr>
              <w:spacing w:after="0"/>
              <w:rPr>
                <w:sz w:val="12"/>
                <w:szCs w:val="12"/>
                <w:color w:val="auto"/>
              </w:rPr>
            </w:pPr>
          </w:p>
        </w:tc>
        <w:tc>
          <w:tcPr>
            <w:tcW w:w="13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520" w:type="dxa"/>
            <w:vAlign w:val="bottom"/>
            <w:gridSpan w:val="2"/>
          </w:tcPr>
          <w:p>
            <w:pPr>
              <w:jc w:val="right"/>
              <w:ind w:right="450"/>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2"/>
                <w:szCs w:val="12"/>
                <w:color w:val="auto"/>
              </w:rPr>
            </w:pPr>
          </w:p>
        </w:tc>
        <w:tc>
          <w:tcPr>
            <w:tcW w:w="138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r>
      <w:tr>
        <w:trPr>
          <w:trHeight w:val="209"/>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Orphan drug and research credits</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Permanent and other differences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State tax, net of federal benefit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0"/>
        </w:trPr>
        <w:tc>
          <w:tcPr>
            <w:tcW w:w="49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Effective tax rate</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92"/>
        <w:spacing w:after="0" w:line="259" w:lineRule="auto"/>
        <w:rPr>
          <w:sz w:val="20"/>
          <w:szCs w:val="20"/>
          <w:color w:val="auto"/>
        </w:rPr>
      </w:pPr>
      <w:r>
        <w:rPr>
          <w:rFonts w:ascii="Arial" w:cs="Arial" w:eastAsia="Arial" w:hAnsi="Arial"/>
          <w:sz w:val="18"/>
          <w:szCs w:val="18"/>
          <w:color w:val="auto"/>
        </w:rPr>
        <w:t>The Company had net operating loss carryforwards (“NOLs”) for federal and state income tax purposes of approximately $1.0 billion and $158.1 million, respectively, as of December 31, 2022. $142.4 million of federal NOLs will expire beginning in 2027, while $898.9 million generated after the recently enacted tax reform will have an indefinite life under the Tax Cuts and Jobs Act of 2017 (the “Tax Act”). The state NOLs will expire if unused in years 2030 through 2042.</w:t>
      </w:r>
    </w:p>
    <w:p>
      <w:pPr>
        <w:spacing w:after="0" w:line="160"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The Company’s utilization of NOLs is subject to an annual limitation due to ownership changes that have occurred previously or that could occur in the future as provided in Section 382 of the Internal Revenue Code (“Section 382”), as well as similar state provisions. Section 382 limits the utilization of NOLs when there is a greater than 50% change of ownership as determined under the regulations. Since its formation, the Company has raised capital through the issuance of capital stock and various convertible instruments which, combined with the purchasing shareholders’ subsequent disposition of these shares, has resulted in multiple ownership changes as defined by Section 382, and could result in ownership change in the future upon subsequent disposition. The Company’s utilization of NOLs may also be adversely affected by future changes in federal and state tax laws and regulations.</w:t>
      </w:r>
    </w:p>
    <w:p>
      <w:pPr>
        <w:sectPr>
          <w:pgSz w:w="11900" w:h="16838" w:orient="portrait"/>
          <w:cols w:equalWidth="0" w:num="1">
            <w:col w:w="9920"/>
          </w:cols>
          <w:pgMar w:left="980" w:top="665" w:right="99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In assessing the realization of deferred tax assets, management considers whether it is more likely than not that some portion or all the deferred tax assets will not be realized. The ultimate realization of deferred tax assets is dependent upon future generation for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the information available, management believes that significant uncertainty exists with respect to future realization of the deferred tax assets and has therefore established a full valuation allowance. For the years ended December 31, 2022, 2021 and 2020, the change in the valuation allowance was approximately $82.9 million, $78.1 million, and $60.7 million, respectively.</w:t>
      </w:r>
    </w:p>
    <w:p>
      <w:pPr>
        <w:spacing w:after="0" w:line="151"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The Company evaluated the provisions of ASC 740 related to the accounting for uncertainty in income taxes recognized in an enterprise’s financial statements. ASC 740 prescribes a comprehensive model for how a company should recognize, present, and disclose uncertain positions that the Company has taken or expects to take in its tax return. For those benefits to be recognized, a tax position must be more-likely-than-not to be sustained upon examination by taxing authorities. Differences between tax positions taken or expected to be taken in a tax return and the net benefit recognized and measured pursuant to the interpretation are referred to as “unrecognized benefits.” A liability is recognized (or amount of net operating loss carry forward or amount of tax refundable is reduced) for unrecognized tax benefit because it represents an enterprise’s potential future obligation to the taxing authority for a tax position that was not recognized as a result of applying the provisions of ASC 740.</w:t>
      </w:r>
    </w:p>
    <w:p>
      <w:pPr>
        <w:spacing w:after="0" w:line="151"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If applicable, interest costs related to the unrecognized tax benefits are required to be calculated and would be classified as income tax expenses in the Consolidated Statements of Operations. Penalties would be recognized as a component of “General and Administrative Expenses” in the Consolidated Statements of Operations.</w:t>
      </w:r>
    </w:p>
    <w:p>
      <w:pPr>
        <w:spacing w:after="0" w:line="143" w:lineRule="exact"/>
        <w:rPr>
          <w:sz w:val="20"/>
          <w:szCs w:val="20"/>
          <w:color w:val="auto"/>
        </w:rPr>
      </w:pPr>
    </w:p>
    <w:p>
      <w:pPr>
        <w:ind w:right="440" w:firstLine="492"/>
        <w:spacing w:after="0" w:line="277" w:lineRule="auto"/>
        <w:rPr>
          <w:sz w:val="20"/>
          <w:szCs w:val="20"/>
          <w:color w:val="auto"/>
        </w:rPr>
      </w:pPr>
      <w:r>
        <w:rPr>
          <w:rFonts w:ascii="Arial" w:cs="Arial" w:eastAsia="Arial" w:hAnsi="Arial"/>
          <w:sz w:val="18"/>
          <w:szCs w:val="18"/>
          <w:color w:val="auto"/>
        </w:rPr>
        <w:t>A reconciliation of the beginning and ending balances of the unrecognized tax benefits during the years ended December 31, 2022, 2021 and 2020 is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42"/>
        </w:trPr>
        <w:tc>
          <w:tcPr>
            <w:tcW w:w="406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Unrecognized benefit - beginning of period</w:t>
            </w: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18,171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10,038</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Gross decreases - prior period tax positions</w:t>
            </w: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Gross increase current period tax positions</w:t>
            </w:r>
          </w:p>
        </w:tc>
        <w:tc>
          <w:tcPr>
            <w:tcW w:w="9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3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w:t>
            </w:r>
          </w:p>
        </w:tc>
      </w:tr>
      <w:tr>
        <w:trPr>
          <w:trHeight w:val="210"/>
        </w:trPr>
        <w:tc>
          <w:tcPr>
            <w:tcW w:w="4060" w:type="dxa"/>
            <w:vAlign w:val="bottom"/>
          </w:tcPr>
          <w:p>
            <w:pPr>
              <w:spacing w:after="0"/>
              <w:rPr>
                <w:sz w:val="20"/>
                <w:szCs w:val="20"/>
                <w:color w:val="auto"/>
              </w:rPr>
            </w:pPr>
            <w:r>
              <w:rPr>
                <w:rFonts w:ascii="Arial" w:cs="Arial" w:eastAsia="Arial" w:hAnsi="Arial"/>
                <w:sz w:val="18"/>
                <w:szCs w:val="18"/>
                <w:color w:val="auto"/>
              </w:rPr>
              <w:t>Unrecognized benefit - end of period</w:t>
            </w:r>
          </w:p>
        </w:tc>
        <w:tc>
          <w:tcPr>
            <w:tcW w:w="920" w:type="dxa"/>
            <w:vAlign w:val="bottom"/>
          </w:tcPr>
          <w:p>
            <w:pPr>
              <w:spacing w:after="0"/>
              <w:rPr>
                <w:sz w:val="18"/>
                <w:szCs w:val="18"/>
                <w:color w:val="auto"/>
              </w:rPr>
            </w:pPr>
          </w:p>
        </w:tc>
        <w:tc>
          <w:tcPr>
            <w:tcW w:w="860" w:type="dxa"/>
            <w:vAlign w:val="bottom"/>
            <w:tcBorders>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21,645</w:t>
            </w:r>
          </w:p>
        </w:tc>
        <w:tc>
          <w:tcPr>
            <w:tcW w:w="32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18,171</w:t>
            </w:r>
          </w:p>
        </w:tc>
        <w:tc>
          <w:tcPr>
            <w:tcW w:w="32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14,432</w:t>
            </w:r>
          </w:p>
        </w:tc>
      </w:tr>
      <w:tr>
        <w:trPr>
          <w:trHeight w:val="20"/>
        </w:trPr>
        <w:tc>
          <w:tcPr>
            <w:tcW w:w="4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492"/>
        <w:spacing w:after="0" w:line="308" w:lineRule="auto"/>
        <w:rPr>
          <w:sz w:val="20"/>
          <w:szCs w:val="20"/>
          <w:color w:val="auto"/>
        </w:rPr>
      </w:pPr>
      <w:r>
        <w:rPr>
          <w:rFonts w:ascii="Arial" w:cs="Arial" w:eastAsia="Arial" w:hAnsi="Arial"/>
          <w:sz w:val="17"/>
          <w:szCs w:val="17"/>
          <w:color w:val="auto"/>
        </w:rPr>
        <w:t>No interest or penalties on unpaid tax were recorded during the years ended December 31, 2022, 2021, or 2020. The Company does not anticipate any significant changes within 12 months of this reporting date of its uncertain tax positions.</w:t>
      </w:r>
    </w:p>
    <w:p>
      <w:pPr>
        <w:spacing w:after="0" w:line="106"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The Company files tax returns in the U.S. federal and state jurisdictions. The U.S. federal and U.S. state taxing authorities may choose to audit tax returns for tax years beyond the statute of limitation period due to significant tax attribute carryforwards from prior years, making adjustments only to carryforward attributes. The Company is not currently under examination by income tax authorities in federal, state or other foreign jurisdictions.</w:t>
      </w:r>
    </w:p>
    <w:p>
      <w:pPr>
        <w:spacing w:after="0" w:line="187" w:lineRule="exact"/>
        <w:rPr>
          <w:sz w:val="20"/>
          <w:szCs w:val="20"/>
          <w:color w:val="auto"/>
        </w:rPr>
      </w:pPr>
    </w:p>
    <w:p>
      <w:pPr>
        <w:ind w:right="120" w:firstLine="492"/>
        <w:spacing w:after="0" w:line="255" w:lineRule="auto"/>
        <w:rPr>
          <w:sz w:val="20"/>
          <w:szCs w:val="20"/>
          <w:color w:val="auto"/>
        </w:rPr>
      </w:pPr>
      <w:r>
        <w:rPr>
          <w:rFonts w:ascii="Arial" w:cs="Arial" w:eastAsia="Arial" w:hAnsi="Arial"/>
          <w:sz w:val="18"/>
          <w:szCs w:val="18"/>
          <w:color w:val="auto"/>
        </w:rPr>
        <w:t>The Inflation Reduction Act of 2022 (the "Act"), which includes certain new tax measures, was signed into law in August 2022. The Act contains two main tax provisions, a new corporate alternative minimum tax imposed on certain corporations meeting average annual financial statement income of more than $1 billion during a three-year tax period, and an excise tax imposed upon share repurchases by certain publicly traded corporations. The Act is effective for tax years beginning after December 31, 2022; the Company is evaluating the provisions of the Act but currently does not believe these provisions will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LICENSES AND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(the “NIH”) and the National Cancer Institute (the “NCI”)</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(the “CRADA”)</w:t>
      </w:r>
    </w:p>
    <w:p>
      <w:pPr>
        <w:spacing w:after="0" w:line="185" w:lineRule="exact"/>
        <w:rPr>
          <w:sz w:val="20"/>
          <w:szCs w:val="20"/>
          <w:color w:val="auto"/>
        </w:rPr>
      </w:pPr>
    </w:p>
    <w:p>
      <w:pPr>
        <w:ind w:right="60" w:firstLine="510"/>
        <w:spacing w:after="0" w:line="268" w:lineRule="auto"/>
        <w:rPr>
          <w:sz w:val="20"/>
          <w:szCs w:val="20"/>
          <w:color w:val="auto"/>
        </w:rPr>
      </w:pPr>
      <w:r>
        <w:rPr>
          <w:rFonts w:ascii="Arial" w:cs="Arial" w:eastAsia="Arial" w:hAnsi="Arial"/>
          <w:sz w:val="18"/>
          <w:szCs w:val="18"/>
          <w:color w:val="auto"/>
        </w:rPr>
        <w:t>In August 2011, the Company signed a five-year CRADA with the NCI to work on the development of adoptive cell immunotherapies that are designed to destroy metastatic melanoma cells. The CRADA was amended in 2015 and 2016 to, among other things, extend the term of the CRADA through August 2021, include new indications such as the development of TIL therapy for the treatment of patients with bladder, lung, triple-negative breast, and Human Papilloma Virus (“HPV”)-associated cancers, and modify the focus on the development of unmodified TIL as a stand-alone therapy or in combination. The parties have continued the development of improved methods for the generation and selection of TIL with anti-tumor reactivity in metastatic melanoma, bladder, lung, breast, and HPV-associated cancers.</w:t>
      </w:r>
    </w:p>
    <w:p>
      <w:pPr>
        <w:spacing w:after="0" w:line="218"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In August 2021, the NCI and the Company entered into a third amendment to the CRADA. The third amendment, among other things, extended the term of the CRADA by three years to August 2024. The research plan in this amendment includes the evaluation in clinical trials of strategies for development of more potent TILs, such as selection of CD39/69 double negative cells and the use of certain inhibitors or other reagents in TIL expansion cultures.</w:t>
      </w:r>
    </w:p>
    <w:p>
      <w:pPr>
        <w:spacing w:after="0" w:line="146" w:lineRule="exact"/>
        <w:rPr>
          <w:sz w:val="20"/>
          <w:szCs w:val="20"/>
          <w:color w:val="auto"/>
        </w:rPr>
      </w:pPr>
    </w:p>
    <w:p>
      <w:pPr>
        <w:ind w:right="80" w:firstLine="492"/>
        <w:spacing w:after="0" w:line="290" w:lineRule="auto"/>
        <w:rPr>
          <w:sz w:val="20"/>
          <w:szCs w:val="20"/>
          <w:color w:val="auto"/>
        </w:rPr>
      </w:pPr>
      <w:r>
        <w:rPr>
          <w:rFonts w:ascii="Arial" w:cs="Arial" w:eastAsia="Arial" w:hAnsi="Arial"/>
          <w:sz w:val="16"/>
          <w:szCs w:val="16"/>
          <w:color w:val="auto"/>
        </w:rPr>
        <w:t>Pursuant to the terms of the CRADA, as amended, the Company is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Current Good Manufacturing Practice (“cGMP”) conditions, suitable for use in clinical trials. The extended CRADA has a three-year term expiring in August 2024. The Company or the NCI may unilaterally terminate the CRADA for any reason or for no reason at any time by providing written notice at least 60 days before the desired termination date. The Company recorded costs associated with the CRADA of $2.0 million for each of the years ended December 31, 2022, 2021 and 2020, respectively, as research and development expenses.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 Therapies</w:t>
      </w:r>
    </w:p>
    <w:p>
      <w:pPr>
        <w:spacing w:after="0" w:line="185" w:lineRule="exact"/>
        <w:rPr>
          <w:sz w:val="20"/>
          <w:szCs w:val="20"/>
          <w:color w:val="auto"/>
        </w:rPr>
      </w:pPr>
    </w:p>
    <w:p>
      <w:pPr>
        <w:ind w:right="80" w:firstLine="492"/>
        <w:spacing w:after="0" w:line="275" w:lineRule="auto"/>
        <w:rPr>
          <w:sz w:val="20"/>
          <w:szCs w:val="20"/>
          <w:color w:val="auto"/>
        </w:rPr>
      </w:pPr>
      <w:r>
        <w:rPr>
          <w:rFonts w:ascii="Arial" w:cs="Arial" w:eastAsia="Arial" w:hAnsi="Arial"/>
          <w:sz w:val="17"/>
          <w:szCs w:val="17"/>
          <w:color w:val="auto"/>
        </w:rPr>
        <w:t>The Company entered into an Exclusive Patent License Agreement (the “Patent License Agreement”) with the NIH, an agency of the U.S. Public Health Service within the Department of Health and Human Services, in 2011, as amended in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w:t>
      </w:r>
    </w:p>
    <w:p>
      <w:pPr>
        <w:spacing w:after="0" w:line="136"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Effective May 6, 2021, the Company entered into an Amended and Restated Patent License Agreement with NIH, which included the grant of additional exclusive, worldwide patent rights in the indications to interleukin-15 and interleukin-21 cytokine-tethered TIL technology, and expanded the non-exclusive, worldwide field of use to all cancers. Effective August 1, 2022, the Company entered into a Second Amended and Restated Patent License Agreement with NIH to include additional exclusive, worldwide patent rights to TIL products expressing interleukin-12, expanded rights to TIL selection technologies previously licensed under the Exclusive Patent License Agreement below, and additional non-exclusive, worldwide patent rights to certain technologies related to enhancing TIL potency.</w:t>
      </w:r>
    </w:p>
    <w:p>
      <w:pPr>
        <w:spacing w:after="0" w:line="137" w:lineRule="exact"/>
        <w:rPr>
          <w:sz w:val="20"/>
          <w:szCs w:val="20"/>
          <w:color w:val="auto"/>
        </w:rPr>
      </w:pPr>
    </w:p>
    <w:p>
      <w:pPr>
        <w:ind w:right="20" w:firstLine="492"/>
        <w:spacing w:after="0" w:line="290" w:lineRule="auto"/>
        <w:rPr>
          <w:sz w:val="20"/>
          <w:szCs w:val="20"/>
          <w:color w:val="auto"/>
        </w:rPr>
      </w:pPr>
      <w:r>
        <w:rPr>
          <w:rFonts w:ascii="Arial" w:cs="Arial" w:eastAsia="Arial" w:hAnsi="Arial"/>
          <w:sz w:val="16"/>
          <w:szCs w:val="16"/>
          <w:color w:val="auto"/>
        </w:rPr>
        <w:t>The Second Amended and Restated Patent License Agreement requires the Company to pay royalties based on a percentage of net sales in jurisdictions where patent rights exist, which percentage can fall into a tier that may be less than one percent to mid-single digits depending upon certain events, including the exclusivity of the rights, and the Company expects lower overall royalty payments as a result. The Company also agreed to potential milestone payments on the achievement of certain clinical, regulatory, and commercial sales milestones for each of the indications and other direct costs incurred by the NIH pursuant to the Second Amended and Restated Patent License Agreement. The Company anticipates making payments that could range from several hundred thousand dollars to the mid-single-digit millions of dollars in conjunction with certain development milestones, the approval of a BLA or its foreign equivalent, or the first U.S. and foreign commercial sales of any of our product candidates covered by the Second Amended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and Restated Patent License Agreement. The term of the Second Amended and Restated Patent License Agreement continues until the expiry of the last-to-expire patent rights licensed thereunder, and the agreement contains standard termination provisions.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198" w:lineRule="exact"/>
        <w:rPr>
          <w:sz w:val="20"/>
          <w:szCs w:val="20"/>
          <w:color w:val="auto"/>
        </w:rPr>
      </w:pPr>
    </w:p>
    <w:p>
      <w:pPr>
        <w:ind w:right="400" w:firstLine="492"/>
        <w:spacing w:after="0" w:line="286" w:lineRule="auto"/>
        <w:rPr>
          <w:sz w:val="20"/>
          <w:szCs w:val="20"/>
          <w:color w:val="auto"/>
        </w:rPr>
      </w:pPr>
      <w:r>
        <w:rPr>
          <w:rFonts w:ascii="Arial" w:cs="Arial" w:eastAsia="Arial" w:hAnsi="Arial"/>
          <w:sz w:val="17"/>
          <w:szCs w:val="17"/>
          <w:color w:val="auto"/>
        </w:rPr>
        <w:t>On February 10, 2015, the Company entered into an exclusive patent license agreement (the “Exclusive Patent License Agreement”) with the NIH under which the Company received an exclusive, worldwide license under the selected TIL patents. This license was superseded and replaced by the Second Amended and Restated Patent License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Lee Moffitt Cancer Center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Clinical Grant Agreements with Moffitt</w:t>
      </w:r>
    </w:p>
    <w:p>
      <w:pPr>
        <w:spacing w:after="0" w:line="198"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In June 2020, the Company entered into a Sponsored Research Agreement with the H. Lee Moffitt Cancer Center (“Moffitt”), with a term that ends either upon completion of the research thereunder or on July 1, 2022, whichever is sooner. In June 2022, this agreement was extended until the later of December 19, 2022, or a mutually acceptable completion of the Research Agreement, which is expected in mid-2023. The Company recorded research and development costs of $0.6 million, $0.3 million and $0.2 million for each of the years ended December 31, 2022, 2021 and 2020, respectively.</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December 2016, the Company entered into a clinical grant agreement with Moffitt to support an ongoing clinical trial at Moffitt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combines TIL therapy with nivolumab for the treatment of patients with metastatic melanoma. In June 2017, the Company entered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into a second clinical grant agreement with Moffitt to support a new clinical trial at Moffitt that combines TIL therapy with nivolumab</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 the treatment of patients with non-small cell lung cancer, under which the Company obtained a non-exclusive, royalty-free license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new Moffitt inventions made in the performance of the agreement. Under both clinical grant agreements with Moffit,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non-exclusive rights to clinical data arising from the respective clinical trials. For the years ended December 31, 2022 and 2021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recorded research and development costs of $0.1 million, and for the year ended December 31, 2020 the company recorded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 million of research and development costs, in connection with the research collaboration and clinical grant agreements with Moffitt.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Agreements with Moffitt</w:t>
      </w:r>
    </w:p>
    <w:p>
      <w:pPr>
        <w:spacing w:after="0" w:line="198" w:lineRule="exact"/>
        <w:rPr>
          <w:sz w:val="20"/>
          <w:szCs w:val="20"/>
          <w:color w:val="auto"/>
        </w:rPr>
      </w:pPr>
    </w:p>
    <w:p>
      <w:pPr>
        <w:ind w:right="180" w:firstLine="492"/>
        <w:spacing w:after="0" w:line="301" w:lineRule="auto"/>
        <w:rPr>
          <w:sz w:val="20"/>
          <w:szCs w:val="20"/>
          <w:color w:val="auto"/>
        </w:rPr>
      </w:pPr>
      <w:r>
        <w:rPr>
          <w:rFonts w:ascii="Arial" w:cs="Arial" w:eastAsia="Arial" w:hAnsi="Arial"/>
          <w:sz w:val="16"/>
          <w:szCs w:val="16"/>
          <w:color w:val="auto"/>
        </w:rPr>
        <w:t>The Company entered into a license agreement with Moffitt (the “First Moffitt License”), effective as of June 28, 2014, under which the Company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17"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Pursuant to the First Moffitt License, the Company paid an upfront licensing fee in the amount of $0.1 million, which was recorded as research and development expense. A patent issuance fee will also be payable under the First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First Moffitt License related to the treatment of any cancers in the U.S., Europe and Japan and in other countries designated by the Company in agreement with Moffitt. No expenses were recorded for the First Moffitt License for the year ended December 31, 2022, 2021, and 2020.</w:t>
      </w:r>
    </w:p>
    <w:p>
      <w:pPr>
        <w:spacing w:after="0" w:line="145" w:lineRule="exact"/>
        <w:rPr>
          <w:sz w:val="20"/>
          <w:szCs w:val="20"/>
          <w:color w:val="auto"/>
        </w:rPr>
      </w:pPr>
    </w:p>
    <w:p>
      <w:pPr>
        <w:ind w:right="220" w:firstLine="492"/>
        <w:spacing w:after="0" w:line="293" w:lineRule="auto"/>
        <w:rPr>
          <w:sz w:val="20"/>
          <w:szCs w:val="20"/>
          <w:color w:val="auto"/>
        </w:rPr>
      </w:pPr>
      <w:r>
        <w:rPr>
          <w:rFonts w:ascii="Arial" w:cs="Arial" w:eastAsia="Arial" w:hAnsi="Arial"/>
          <w:sz w:val="16"/>
          <w:szCs w:val="16"/>
          <w:color w:val="auto"/>
        </w:rPr>
        <w:t>The Company entered into a second license agreement with Moffitt effective as of May 7, 2018 (the “Second Moffitt License”), under which the Company received a license to Moffitt’s rights to patent-pending technologies related to the use of 4-1BB agonists in conjunction with TIL manufacturing processes and therapies. Pursuant to the Second Moffitt License, the Company paid an upfront licensing fee in the amount of $0.1 million in 2018. An annual license maintenance fee is also payable commencing on the first anniversary of the effective date. The Company agreed to pay an annual commercial use payment for each indication for which a first sale has occurred, which in the aggregate amounts to up to $0.4 million a year. The Company recorded $0.2 million for the year ended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December 31, 2022, and $0.1 million for each of the years ended December 31, 2021 and 2020, respectively, as research and development expenses in connection with this agreement.</w:t>
      </w:r>
    </w:p>
    <w:p>
      <w:pPr>
        <w:spacing w:after="0" w:line="130"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The Company subsequently exercised an option to exclusively license Moffitt’s rights to patent pending technologies related to the use of tumor digests in conjunction with TIL manufacturing processes and therapies and entered into an amended and restated Second Moffitt License in October 2021 (the “Amended &amp; Restated Second Moffit License”), to include these rights. Pursuant to the Amended</w:t>
      </w:r>
    </w:p>
    <w:p>
      <w:pPr>
        <w:spacing w:after="0" w:line="2" w:lineRule="exact"/>
        <w:rPr>
          <w:sz w:val="20"/>
          <w:szCs w:val="20"/>
          <w:color w:val="auto"/>
        </w:rPr>
      </w:pPr>
    </w:p>
    <w:p>
      <w:pPr>
        <w:ind w:right="360" w:firstLine="8"/>
        <w:spacing w:after="0" w:line="253" w:lineRule="auto"/>
        <w:tabs>
          <w:tab w:leader="none" w:pos="185"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Restated Second Moffitt License, the Company paid an upfront licensing fee in the amount of $0.2 million in 2021, which was recorded as research and development expense. In addition, the Company agreed to pay an annual commercial use payment for each indication for which a first sale has occurred for products relating to the use of 4-1BB agonists and for products relating to the use of tumor digests covered by the license.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University of Texas M.D. Anderson Cancer Center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185" w:lineRule="exact"/>
        <w:rPr>
          <w:sz w:val="20"/>
          <w:szCs w:val="20"/>
          <w:color w:val="auto"/>
        </w:rPr>
      </w:pPr>
    </w:p>
    <w:p>
      <w:pPr>
        <w:ind w:right="140" w:firstLine="492"/>
        <w:spacing w:after="0" w:line="287" w:lineRule="auto"/>
        <w:rPr>
          <w:sz w:val="20"/>
          <w:szCs w:val="20"/>
          <w:color w:val="auto"/>
        </w:rPr>
      </w:pPr>
      <w:r>
        <w:rPr>
          <w:rFonts w:ascii="Arial" w:cs="Arial" w:eastAsia="Arial" w:hAnsi="Arial"/>
          <w:sz w:val="16"/>
          <w:szCs w:val="16"/>
          <w:color w:val="auto"/>
        </w:rPr>
        <w:t>On April 17, 2017, the Company entered into a Strategic Alliance Agreement (the “SAA”) with The University of Texas M.D. Anderson Cancer Center (“MDACC”) under which the Company and MDACC agreed to conduct clinical and preclinical research studies. The Company agreed in the SAA to provide total funding not to exceed approximately $14.2 million for the performance of the multi-year studies under the SAA, of which approximately $5.3 million has been funded cumulatively through December 31, 2022 and has been recorded as research and development expense. In return, the Company acquired all rights to inventions resulting from the studies and has been granted a non-exclusive, sub-licensable, royalty-free, and perpetual license to specified background intellectual property of MDACC reasonably necessary to exploit, including the commercialization thereof. The Company has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the Company of all deliverables due from MDACC thereunder. The Company recorded $0.2 million, $0.5 million and $1.1 million associated with the SAA for the year ended December 31, 2022, 2021 and 2020 as research and development expenses,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WuXi Advanced Therapies, Inc.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WuXi Manufacturing and Services Agreement</w:t>
      </w:r>
    </w:p>
    <w:p>
      <w:pPr>
        <w:spacing w:after="0" w:line="185" w:lineRule="exact"/>
        <w:rPr>
          <w:sz w:val="20"/>
          <w:szCs w:val="20"/>
          <w:color w:val="auto"/>
        </w:rPr>
      </w:pPr>
    </w:p>
    <w:p>
      <w:pPr>
        <w:ind w:right="40" w:firstLine="492"/>
        <w:spacing w:after="0" w:line="291" w:lineRule="auto"/>
        <w:rPr>
          <w:sz w:val="20"/>
          <w:szCs w:val="20"/>
          <w:color w:val="auto"/>
        </w:rPr>
      </w:pPr>
      <w:r>
        <w:rPr>
          <w:rFonts w:ascii="Arial" w:cs="Arial" w:eastAsia="Arial" w:hAnsi="Arial"/>
          <w:sz w:val="16"/>
          <w:szCs w:val="16"/>
          <w:color w:val="auto"/>
        </w:rPr>
        <w:t>In November 2016, the Company entered into a three-year manufacturing and services agreement (the “First Wuxi MSA”) with WuXi Advanced Therapies, Inc. (“WuXi”) pursuant to which WuXi agreed to provide manufacturing and other services, which has since been amended and assigned to its subsidiary Iovance Biotherapeutics Manufacturing LLC. Under the First WuXi MSA, the Company entered into two statements of work for two cGMP manufacturing suites to be operated by WuXi for the Company. Both of the suites are expected to be capable of being used for the commercial manufacture of the Company’s products. The terms of one of these statements of work was extended to December 2022. The Company recorded costs associated with agreements with WuXi of $14.2 million, $17.5 million, and $20.6 million for the years ended December 31, 2022, 2021, and 2020 respectively, as research and development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WuXi Manufacturing and Services Agreement</w:t>
      </w:r>
    </w:p>
    <w:p>
      <w:pPr>
        <w:spacing w:after="0" w:line="185"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In October 2022, the Company’s subsidiary Iovance Biotherapeutics Manufacturing LLC entered into an additional three-year manufacturing and services agreement (the “Second WuXi MSA”) with WuXi and its parent company WuXi Apptec, Co, Ltd pursuant to which WuXi agreed to provide commercial and clinical manufacturing services and related testing services. Under the Second WuXi MSA, the Company entered into a statement of work for the two cGMP manufacturing suites to be operated by WuXi for the Company. Both suites are expected to be capable of being used for the commercial and clinical manufacture of the Company’s products. The Second WuXi MSA and its related statement of work will supersede the statements of work under the First WuXi MSA with respect to commercial and clinical manufacturing and the two manufacturing suites. Certain other statements of work for related services will also be covered by the Second WuXi MSA. The First WuXi MSA will continue to address development services provided by WuXi to the Company. Prior to regulatory approval, or if the Company experiences a material adverse event, the Company may unilaterally terminate the statement of work for commercial and clinical manufacturing under the Second WuXi MSA at any time by providing written notice of at least 120 days. Post regulatory approval, the Company may unilaterally terminate the statement of work for commercial and clinical manufacturing with written notice of 15 month in year 1 of the term, written notice of 9</w:t>
      </w:r>
    </w:p>
    <w:p>
      <w:pPr>
        <w:sectPr>
          <w:pgSz w:w="11900" w:h="16838" w:orient="portrait"/>
          <w:cols w:equalWidth="0" w:num="1">
            <w:col w:w="9920"/>
          </w:cols>
          <w:pgMar w:left="980" w:top="665"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months in year 2 of the term, and written notice of 6 months in year 3 of the term. If WuXi fails a Pre-Licensing Inspection and does not address any related issues within 90 days of receipt of the FDA response letter, the Company may either terminate the statement of work for commercial and clinical manufacturing under the Second WuXi MSA immediately or shorten the term of this statement of work to June 30, 2024.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Cellectis S.A</w:t>
      </w:r>
      <w:r>
        <w:rPr>
          <w:rFonts w:ascii="Arial" w:cs="Arial" w:eastAsia="Arial" w:hAnsi="Arial"/>
          <w:sz w:val="18"/>
          <w:szCs w:val="18"/>
          <w:i w:val="1"/>
          <w:iCs w:val="1"/>
          <w:color w:val="auto"/>
        </w:rPr>
        <w:t>.</w:t>
      </w:r>
    </w:p>
    <w:p>
      <w:pPr>
        <w:spacing w:after="0" w:line="202" w:lineRule="exact"/>
        <w:rPr>
          <w:sz w:val="20"/>
          <w:szCs w:val="20"/>
          <w:color w:val="auto"/>
        </w:rPr>
      </w:pPr>
    </w:p>
    <w:p>
      <w:pPr>
        <w:ind w:right="100" w:firstLine="492"/>
        <w:spacing w:after="0" w:line="272" w:lineRule="auto"/>
        <w:rPr>
          <w:sz w:val="20"/>
          <w:szCs w:val="20"/>
          <w:color w:val="auto"/>
        </w:rPr>
      </w:pPr>
      <w:r>
        <w:rPr>
          <w:rFonts w:ascii="Arial" w:cs="Arial" w:eastAsia="Arial" w:hAnsi="Arial"/>
          <w:sz w:val="17"/>
          <w:szCs w:val="17"/>
          <w:color w:val="auto"/>
        </w:rPr>
        <w:t>On December 31, 2019, the Company entered into a research collaboration and exclusive worldwide license agreement whereby the Company will license gene-editing technology from Cellectis S.A. (“Cellectis”), a clinical-stage biopharmaceutical company, to develop TIL therapies that have been genetically edited, including a PD-1 inactivated product that the Company refers to as IOV-4001. Financial terms of the license include annual license payments and development, regulatory and sales milestone payments from the Company to Cellectis, as well as royalty payments based on net sales of TALEN®-modified TIL products. The Company recorded costs associated with the license agreement with Cellectis of $0.4 million for each of the years ended December 31, 2022, 2021 and 2020 respectively as research and development expense.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 Pharma AG</w:t>
      </w:r>
    </w:p>
    <w:p>
      <w:pPr>
        <w:spacing w:after="0" w:line="229"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On January 9, 2020, the Company obtained a license from Novartis Pharma AG (“Novartis”) to develop and commercialize an antibody cytokine engrafted protein, which the Company refers to as IOV-3001. Under the agreement, the Company paid an upfront payment to Novartis and may pay future milestones related to initiation of patient dosing in various phases of clinical development for IOV-3001 and approval of the product in the U.S., EU and Japan. Novartis is also entitled to low-to-mid single digit percentage royalties from commercial sales of the product. The Company recorded costs associated with the license agreement from Novartis of $10.0 million as research and development expenses for the year ended December 31, 2020. No expenses were recorded for the years ended December 31, 2022 and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02" w:lineRule="exact"/>
        <w:rPr>
          <w:sz w:val="20"/>
          <w:szCs w:val="20"/>
          <w:color w:val="auto"/>
        </w:rPr>
      </w:pPr>
    </w:p>
    <w:p>
      <w:pPr>
        <w:ind w:right="80" w:firstLine="492"/>
        <w:spacing w:after="0" w:line="271" w:lineRule="auto"/>
        <w:rPr>
          <w:sz w:val="20"/>
          <w:szCs w:val="20"/>
          <w:color w:val="auto"/>
        </w:rPr>
      </w:pPr>
      <w:r>
        <w:rPr>
          <w:rFonts w:ascii="Arial" w:cs="Arial" w:eastAsia="Arial" w:hAnsi="Arial"/>
          <w:sz w:val="17"/>
          <w:szCs w:val="17"/>
          <w:color w:val="auto"/>
        </w:rPr>
        <w:t xml:space="preserve">The Company leases corporate office space in California, including 49,918 square feet for its current corporate headquarters’ office space in San Carlos, California, manufacturing, research and development lab facilities and office space in Philadelphia, Pennsylvania, including 136,000 square feet of commercial manufacturing and lab space at the </w:t>
      </w:r>
      <w:r>
        <w:rPr>
          <w:rFonts w:ascii="Arial" w:cs="Arial" w:eastAsia="Arial" w:hAnsi="Arial"/>
          <w:sz w:val="17"/>
          <w:szCs w:val="17"/>
          <w:i w:val="1"/>
          <w:iCs w:val="1"/>
          <w:color w:val="auto"/>
        </w:rPr>
        <w:t>i</w:t>
      </w:r>
      <w:r>
        <w:rPr>
          <w:rFonts w:ascii="Arial" w:cs="Arial" w:eastAsia="Arial" w:hAnsi="Arial"/>
          <w:sz w:val="17"/>
          <w:szCs w:val="17"/>
          <w:color w:val="auto"/>
        </w:rPr>
        <w:t>CTC, and research and development lab facilities in Tampa, Florida. The determination if an arrangement is a lease occurs at inception, and for leases with terms greater than 12 months, the Company records a related right-of-use asset and lease liability at the present value of lease payments over the term. Many leases include fixed rental escalation clauses, renewal options and/or termination options that are factored into the determination of lease payments when appropriate. The Company’s leases do not provide an implicit rate, and thus the Company estimated the incremental borrowing rate in calculating the present value of the lease payments.</w:t>
      </w:r>
    </w:p>
    <w:p>
      <w:pPr>
        <w:spacing w:after="0" w:line="138" w:lineRule="exact"/>
        <w:rPr>
          <w:sz w:val="20"/>
          <w:szCs w:val="20"/>
          <w:color w:val="auto"/>
        </w:rPr>
      </w:pPr>
    </w:p>
    <w:p>
      <w:pPr>
        <w:ind w:right="80" w:firstLine="492"/>
        <w:spacing w:after="0" w:line="296" w:lineRule="auto"/>
        <w:rPr>
          <w:sz w:val="20"/>
          <w:szCs w:val="20"/>
          <w:color w:val="auto"/>
        </w:rPr>
      </w:pPr>
      <w:r>
        <w:rPr>
          <w:rFonts w:ascii="Arial" w:cs="Arial" w:eastAsia="Arial" w:hAnsi="Arial"/>
          <w:sz w:val="16"/>
          <w:szCs w:val="16"/>
          <w:color w:val="auto"/>
        </w:rPr>
        <w:t>The Company’s leases have remaining lease terms that range from less than one year to approximately 20 years. Some of our leases include one or more options to renew with renewal terms that can extend the lease for additional years, or options to terminate the leases, both at the Company’s discretion. The Company’s leases may include options to extend or terminate the lease, which is considered in the lease term when it is reasonably certain that the Company will exercise any such options. Lease expense for minimum lease payments is recognized on a straight-line basis based on the fixed components of a lease arrangement.</w:t>
      </w:r>
    </w:p>
    <w:p>
      <w:pPr>
        <w:spacing w:after="0" w:line="121"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color w:val="auto"/>
        </w:rPr>
        <w:t>Variable lease cost is determined based on performance or usage in accordance with the contractual agreements, and not based on an index or rate. Such costs that are not fixed in nature are recognized as incurred.</w:t>
      </w:r>
    </w:p>
    <w:p>
      <w:pPr>
        <w:spacing w:after="0" w:line="143" w:lineRule="exact"/>
        <w:rPr>
          <w:sz w:val="20"/>
          <w:szCs w:val="20"/>
          <w:color w:val="auto"/>
        </w:rPr>
      </w:pPr>
    </w:p>
    <w:p>
      <w:pPr>
        <w:ind w:right="20" w:firstLine="492"/>
        <w:spacing w:after="0" w:line="340" w:lineRule="auto"/>
        <w:rPr>
          <w:sz w:val="20"/>
          <w:szCs w:val="20"/>
          <w:color w:val="auto"/>
        </w:rPr>
      </w:pPr>
      <w:r>
        <w:rPr>
          <w:rFonts w:ascii="Arial" w:cs="Arial" w:eastAsia="Arial" w:hAnsi="Arial"/>
          <w:sz w:val="15"/>
          <w:szCs w:val="15"/>
          <w:color w:val="auto"/>
        </w:rPr>
        <w:t>The Company also leases certain furniture and equipment that has a lease term of 12 months or less. Since the lease agreement do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Contracts</w:t>
      </w:r>
    </w:p>
    <w:p>
      <w:pPr>
        <w:spacing w:after="0" w:line="189"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The contracts with CMOs generally contain embedded operating leases based on the fact that the suites are used for the Company’s production are implicitly identified, are used exclusively by the Company during the contractual term of the arrangements, and the CMOs have no substantive contractual rights to substitute the facilities used by the Company.</w:t>
      </w:r>
    </w:p>
    <w:p>
      <w:pPr>
        <w:spacing w:after="0" w:line="154" w:lineRule="exact"/>
        <w:rPr>
          <w:sz w:val="20"/>
          <w:szCs w:val="20"/>
          <w:color w:val="auto"/>
        </w:rPr>
      </w:pPr>
    </w:p>
    <w:p>
      <w:pPr>
        <w:jc w:val="both"/>
        <w:ind w:right="180" w:firstLine="492"/>
        <w:spacing w:after="0" w:line="259" w:lineRule="auto"/>
        <w:rPr>
          <w:sz w:val="20"/>
          <w:szCs w:val="20"/>
          <w:color w:val="auto"/>
        </w:rPr>
      </w:pPr>
      <w:r>
        <w:rPr>
          <w:rFonts w:ascii="Arial" w:cs="Arial" w:eastAsia="Arial" w:hAnsi="Arial"/>
          <w:sz w:val="18"/>
          <w:szCs w:val="18"/>
          <w:color w:val="auto"/>
        </w:rPr>
        <w:t>Further, the Company controls the use of the facilities by obtaining all of the economic benefits from the use of the facilities and direct the use of the facilities throughout the period of use. The terms of the CMO contracts include options to terminate the lease with advance notice of five to six months. The termination clauses and extension clauses are included in the calculation of the lease term for each of the CMOs when it is reasonably certain that it will not exercise such options.</w:t>
      </w:r>
    </w:p>
    <w:p>
      <w:pPr>
        <w:spacing w:after="0" w:line="146" w:lineRule="exact"/>
        <w:rPr>
          <w:sz w:val="20"/>
          <w:szCs w:val="20"/>
          <w:color w:val="auto"/>
        </w:rPr>
      </w:pPr>
    </w:p>
    <w:p>
      <w:pPr>
        <w:ind w:right="120" w:firstLine="492"/>
        <w:spacing w:after="0" w:line="271" w:lineRule="auto"/>
        <w:rPr>
          <w:sz w:val="20"/>
          <w:szCs w:val="20"/>
          <w:color w:val="auto"/>
        </w:rPr>
      </w:pPr>
      <w:r>
        <w:rPr>
          <w:rFonts w:ascii="Arial" w:cs="Arial" w:eastAsia="Arial" w:hAnsi="Arial"/>
          <w:sz w:val="17"/>
          <w:szCs w:val="17"/>
          <w:color w:val="auto"/>
        </w:rPr>
        <w:t>For contracts with multiple deliverables, Topic 842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 standalone selling prices are not readily available. Therefore, management uses estimates and assumptions in determining relative standalone selling price of lease of a suite and labor service using information that includes market and other observable inputs to the extent possible.</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balance sheet classification of the Company’s right-of-use asset and lease liabilities was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December 31,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216"/>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2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6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68,983</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Operating lease liabilities</w:t>
            </w:r>
          </w:p>
        </w:tc>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vMerge w:val="continue"/>
          </w:tcPr>
          <w:p>
            <w:pPr>
              <w:spacing w:after="0"/>
              <w:rPr>
                <w:sz w:val="17"/>
                <w:szCs w:val="17"/>
                <w:color w:val="auto"/>
              </w:rPr>
            </w:pPr>
          </w:p>
        </w:tc>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included in current liabilities</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Long-term portion included in non-current liabilities</w:t>
            </w:r>
          </w:p>
        </w:tc>
        <w:tc>
          <w:tcPr>
            <w:tcW w:w="26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71,859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65,474</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lease liabilities</w:t>
            </w:r>
          </w:p>
        </w:tc>
        <w:tc>
          <w:tcPr>
            <w:tcW w:w="26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70,531</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40" w:type="dxa"/>
            <w:vAlign w:val="bottom"/>
          </w:tcPr>
          <w:p>
            <w:pPr>
              <w:spacing w:after="0"/>
              <w:rPr>
                <w:sz w:val="24"/>
                <w:szCs w:val="24"/>
                <w:color w:val="auto"/>
              </w:rPr>
            </w:pPr>
          </w:p>
        </w:tc>
        <w:tc>
          <w:tcPr>
            <w:tcW w:w="2820" w:type="dxa"/>
            <w:vAlign w:val="bottom"/>
            <w:gridSpan w:val="2"/>
          </w:tcPr>
          <w:p>
            <w:pPr>
              <w:jc w:val="right"/>
              <w:ind w:right="1930"/>
              <w:spacing w:after="0"/>
              <w:rPr>
                <w:sz w:val="20"/>
                <w:szCs w:val="20"/>
                <w:color w:val="auto"/>
              </w:rPr>
            </w:pPr>
            <w:r>
              <w:rPr>
                <w:rFonts w:ascii="Arial" w:cs="Arial" w:eastAsia="Arial" w:hAnsi="Arial"/>
                <w:sz w:val="18"/>
                <w:szCs w:val="18"/>
                <w:color w:val="auto"/>
              </w:rPr>
              <w:t>F-31</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120" w:firstLine="492"/>
        <w:spacing w:after="0" w:line="263" w:lineRule="auto"/>
        <w:rPr>
          <w:sz w:val="20"/>
          <w:szCs w:val="20"/>
          <w:color w:val="auto"/>
        </w:rPr>
      </w:pPr>
      <w:r>
        <w:rPr>
          <w:rFonts w:ascii="Arial" w:cs="Arial" w:eastAsia="Arial" w:hAnsi="Arial"/>
          <w:sz w:val="18"/>
          <w:szCs w:val="18"/>
          <w:color w:val="auto"/>
        </w:rPr>
        <w:t>The following table summarizes components of lease expenses, which were included in Total expenses in the Company’s Consolidated Statements of Operations, and other information related to our operating leases as follows (in thousands, except weighted-average remaining lease terms and discount rates):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34"/>
              <w:spacing w:after="0"/>
              <w:rPr>
                <w:sz w:val="20"/>
                <w:szCs w:val="20"/>
                <w:color w:val="auto"/>
              </w:rPr>
            </w:pPr>
            <w:r>
              <w:rPr>
                <w:rFonts w:ascii="Arial" w:cs="Arial" w:eastAsia="Arial" w:hAnsi="Arial"/>
                <w:sz w:val="14"/>
                <w:szCs w:val="14"/>
                <w:b w:val="1"/>
                <w:bCs w:val="1"/>
                <w:color w:val="auto"/>
                <w:w w:val="95"/>
              </w:rPr>
              <w:t>For the Year</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For the Year</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1"/>
              </w:rPr>
              <w:t>December 31, 2022</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December 31, 2021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Variable lease cost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5,447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lease cost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23,258</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20,109</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i w:val="1"/>
                <w:iCs w:val="1"/>
                <w:color w:val="auto"/>
              </w:rPr>
              <w:t>Other information</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Cash paid for amounts included in the measurement of lease liabilities included in</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14,209</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12,316</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tcPr>
          <w:p>
            <w:pPr>
              <w:spacing w:after="0" w:line="201" w:lineRule="exact"/>
              <w:rPr>
                <w:sz w:val="20"/>
                <w:szCs w:val="20"/>
                <w:color w:val="auto"/>
              </w:rPr>
            </w:pPr>
            <w:r>
              <w:rPr>
                <w:rFonts w:ascii="Arial" w:cs="Arial" w:eastAsia="Arial" w:hAnsi="Arial"/>
                <w:sz w:val="18"/>
                <w:szCs w:val="18"/>
                <w:color w:val="auto"/>
                <w:w w:val="94"/>
              </w:rPr>
              <w:t>Tenant improvement allowance received for amounts included in the measurement of</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lease liabilities included in cash flows from operations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6,432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from entering new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Increase in right-of-use assets from lease modifications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15,304</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7,796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terms (years)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Weighted-average discount rates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maturities of the Company's operating lease liabilities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Facility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CMO</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Year Ending December 31,</w:t>
            </w: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embedded</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80" w:type="dxa"/>
            <w:vAlign w:val="bottom"/>
            <w:vMerge w:val="continue"/>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leases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leases</w:t>
            </w:r>
          </w:p>
        </w:tc>
        <w:tc>
          <w:tcPr>
            <w:tcW w:w="140" w:type="dxa"/>
            <w:vAlign w:val="bottom"/>
          </w:tcPr>
          <w:p>
            <w:pPr>
              <w:spacing w:after="0"/>
              <w:rPr>
                <w:sz w:val="17"/>
                <w:szCs w:val="17"/>
                <w:color w:val="auto"/>
              </w:rPr>
            </w:pPr>
          </w:p>
        </w:tc>
        <w:tc>
          <w:tcPr>
            <w:tcW w:w="98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18,539</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2024</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9,878</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2026</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7,989</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Thereafter</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83,827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83,827</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1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124,970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136,659</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Less: Present value adjustment</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(51,468)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(745)</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(52,213)</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21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For its corporate headquarters’ office, the lease agreement includes a tenant improvement allowance of $8.2 million. For the years ended December 31, 2022, and 2021, the Company has received reimbursement associated with this tenant improvement allowance of $6.4 million and $1.6 million, respectively. The Company does not expect to receive additional reimbursements associated with this tenant improvement allowance.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LEGAL PROCEEDINGS</w:t>
      </w:r>
    </w:p>
    <w:p>
      <w:pPr>
        <w:spacing w:after="0" w:line="202" w:lineRule="exact"/>
        <w:rPr>
          <w:sz w:val="20"/>
          <w:szCs w:val="20"/>
          <w:color w:val="auto"/>
        </w:rPr>
      </w:pPr>
    </w:p>
    <w:p>
      <w:pPr>
        <w:ind w:right="120" w:firstLine="492"/>
        <w:spacing w:after="0" w:line="291" w:lineRule="auto"/>
        <w:rPr>
          <w:sz w:val="20"/>
          <w:szCs w:val="20"/>
          <w:color w:val="auto"/>
        </w:rPr>
      </w:pPr>
      <w:r>
        <w:rPr>
          <w:rFonts w:ascii="Arial" w:cs="Arial" w:eastAsia="Arial" w:hAnsi="Arial"/>
          <w:sz w:val="16"/>
          <w:szCs w:val="16"/>
          <w:u w:val="single" w:color="auto"/>
          <w:color w:val="auto"/>
        </w:rPr>
        <w:t>Derivative Lawsuit.</w:t>
      </w:r>
      <w:r>
        <w:rPr>
          <w:rFonts w:ascii="Arial" w:cs="Arial" w:eastAsia="Arial" w:hAnsi="Arial"/>
          <w:sz w:val="16"/>
          <w:szCs w:val="16"/>
          <w:color w:val="auto"/>
        </w:rPr>
        <w:t xml:space="preserve"> On December 11, 2020, a purported stockholder derivative complaint was filed by plaintiff Leo Shumacher against the Company, as nominal defendant, and then current directors, as defendants, in the Court of Chancery in the State of Delaware (the “Court”). The complaint alleges breach of fiduciary duty and a claim for unjust enrichment in connection with alleged excessive compensation of certain non-executive directors of the Company and seeks unspecified damages on behalf of the Company. The parties have agreed to a proposed settlement, which was submitted to the Court on June 15, 2022. After a hearing on November 17, 2022, the Court required the parties to take additional steps before it would approve the settlement. The Company, as nominal defendant, and its current directors, as defendants, answered the complaint on Feb. 3, 2023.</w:t>
      </w:r>
    </w:p>
    <w:p>
      <w:pPr>
        <w:spacing w:after="0" w:line="193" w:lineRule="exact"/>
        <w:rPr>
          <w:sz w:val="20"/>
          <w:szCs w:val="20"/>
          <w:color w:val="auto"/>
        </w:rPr>
      </w:pPr>
    </w:p>
    <w:p>
      <w:pPr>
        <w:ind w:right="360" w:firstLine="492"/>
        <w:spacing w:after="0" w:line="342"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(“the First Solomon Suit”) titled </w:t>
      </w:r>
      <w:r>
        <w:rPr>
          <w:rFonts w:ascii="Arial" w:cs="Arial" w:eastAsia="Arial" w:hAnsi="Arial"/>
          <w:sz w:val="16"/>
          <w:szCs w:val="16"/>
          <w:i w:val="1"/>
          <w:iCs w:val="1"/>
          <w:color w:val="auto"/>
        </w:rPr>
        <w:t>Solomon Capital, LLC, Solomon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401(K) Trust, Solomon Sharbat and Shelhav Raff v. Lion Biotechnologies, Inc. </w:t>
      </w:r>
      <w:r>
        <w:rPr>
          <w:rFonts w:ascii="Arial" w:cs="Arial" w:eastAsia="Arial" w:hAnsi="Arial"/>
          <w:sz w:val="16"/>
          <w:szCs w:val="16"/>
          <w:color w:val="auto"/>
        </w:rPr>
        <w:t>was filed by Solomon Capital, LLC, Solomon Capital</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401(k) Trust, Solomon Sharbat and Shelhav Raff (“Solomon Plaintiffs”) against the Company in the Supreme Court of the State of New York, County of New York (index no. 651881/2016). The Solomon Plaintiffs allege that, between June and November 2012, they provided the Company $0.1 million and that they advanced and paid on behalf of the Company an additional $0.2 million.</w:t>
      </w:r>
    </w:p>
    <w:p>
      <w:pPr>
        <w:spacing w:after="0" w:line="125"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The complaint further alleges that the Company agreed to (i) provide them with promissory notes totaling $0.2 million, plus interest, (ii) issue a total of 1,110 shares to the Solomon Plaintiffs (after the 1-for-100 reverse split of the Company’s common stock effected in March 2013) (the “Equity Claim”), and (iii) allow the Solomon Plaintiffs to convert the foregoing funds into its securities in the next financing of the Company on the same terms offered to other investors, which Solomon Plaintiffs allege, should have given them the right to convert their advances and payments into shares of the Company's common stock in the restructuring that took effect in May 2013. Based on the foregoing, the Solomon Plaintiffs allege causes for breach of contract and unjust enrichment and demand judgment against the Company in an unspecified amount exceeding $1.5 million, plus interest. On June 3, 2016, the Company filed an answer and counterclaims in the lawsuits. The Company has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(“FINRA”) that resulted in the loss of his FINRA license.</w:t>
      </w:r>
    </w:p>
    <w:p>
      <w:pPr>
        <w:spacing w:after="0" w:line="155"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In its counterclaims, the Company is seeking damages in an amount exceeding $0.5 million and an order rescinding any and all agreements that the Solomon Plaintiffs contend entitled them to obtain shares of Company stock. On May 12, 2020, the court granted the Company’s motion for summary judgment limiting the Solomon Plaintiffs’ damages for the Equity Claim to $47,420. The Solomon Plaintiffs filed a notice of appeal of this summary judgment on June 9, 2020. On July 2, 2020, the court granted the Company’s motion to dismiss the First Solomon Suit for want of prosecution. On January 4, 2021, the court granted the Solomon Plaintiffs motion for reconsideration, and reinstituted the case. On January 15, 2021, the Company filed a notice of appeal of the court’s grant of the Solomon Plaintiffs motion for reconsideration. On May 11, 2021, the Appellate Division upheld the court’s grant of the Solomon Plaintiffs’ motion for reconsideration of the dismissal of the First Solomon Suit for want of prosecution.</w:t>
      </w:r>
    </w:p>
    <w:p>
      <w:pPr>
        <w:spacing w:after="0" w:line="138" w:lineRule="exact"/>
        <w:rPr>
          <w:sz w:val="20"/>
          <w:szCs w:val="20"/>
          <w:color w:val="auto"/>
        </w:rPr>
      </w:pPr>
    </w:p>
    <w:p>
      <w:pPr>
        <w:ind w:right="20" w:firstLine="492"/>
        <w:spacing w:after="0" w:line="284" w:lineRule="auto"/>
        <w:rPr>
          <w:sz w:val="20"/>
          <w:szCs w:val="20"/>
          <w:color w:val="auto"/>
        </w:rPr>
      </w:pPr>
      <w:r>
        <w:rPr>
          <w:rFonts w:ascii="Arial" w:cs="Arial" w:eastAsia="Arial" w:hAnsi="Arial"/>
          <w:sz w:val="16"/>
          <w:szCs w:val="16"/>
          <w:color w:val="auto"/>
        </w:rPr>
        <w:t xml:space="preserve">On September 27, 2019, the Solomon Plaintiffs filed a new lawsuit (through new legal counsel) (“the Second Solomon Suit”) titled </w:t>
      </w:r>
      <w:r>
        <w:rPr>
          <w:rFonts w:ascii="Arial" w:cs="Arial" w:eastAsia="Arial" w:hAnsi="Arial"/>
          <w:sz w:val="16"/>
          <w:szCs w:val="16"/>
          <w:i w:val="1"/>
          <w:iCs w:val="1"/>
          <w:color w:val="auto"/>
        </w:rPr>
        <w:t>Solomon Capital, LLC, Solomon Capital 401(K) Trust, Solomon Sharbat and Shelhav Raff v. Iovance Biotherapeutics, Inc., f/k/a/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Lion Biotechnologies Inc. f/k/a/ Genesis Biopharma Inc., and Manish Singh </w:t>
      </w:r>
      <w:r>
        <w:rPr>
          <w:rFonts w:ascii="Arial" w:cs="Arial" w:eastAsia="Arial" w:hAnsi="Arial"/>
          <w:sz w:val="16"/>
          <w:szCs w:val="16"/>
          <w:color w:val="auto"/>
        </w:rPr>
        <w:t>in the Supreme Court of the State of New York, County of</w:t>
      </w:r>
      <w:r>
        <w:rPr>
          <w:rFonts w:ascii="Arial" w:cs="Arial" w:eastAsia="Arial" w:hAnsi="Arial"/>
          <w:sz w:val="16"/>
          <w:szCs w:val="16"/>
          <w:i w:val="1"/>
          <w:iCs w:val="1"/>
          <w:color w:val="auto"/>
        </w:rPr>
        <w:t xml:space="preserve"> </w:t>
      </w:r>
      <w:r>
        <w:rPr>
          <w:rFonts w:ascii="Arial" w:cs="Arial" w:eastAsia="Arial" w:hAnsi="Arial"/>
          <w:sz w:val="16"/>
          <w:szCs w:val="16"/>
          <w:color w:val="auto"/>
        </w:rPr>
        <w:t>New York (index no. 655668/2019).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the Company and the plaintiffs that the plaintiffs would be paid fees and commissions (in cash and stock) if they obtained financing for the Company, and that they directly and indirectly introduced investors to the Company who invested in the Company, or were willing to invest in the Company. Finally, the Solomon Plaintiffs allege that they were promised a license to use the Company’s technology in Israel. The plaintiffs claim that the Company breached the foregoing understandings, promises and agreements and, as a result, they are entitled to certain damages. The Solomon Plaintiffs also allege that Manish Singh, the Company’s former Chief Executive Officer, committed fraud and took shares belonging to them. On February 18, 2020, the Company filed a removal petition and removed the Second Solomon Suit to the U.S. District Court for the Southern District of New York, where the case has been assigned case no. 1:20-cv-1391. On May 22, 2020, the Company moved to dismiss the Second Solomon Suit for lack of personal jurisdiction. On March 26, 2021, the Court denied the Company’s motion to dismiss for lack of personal jurisdiction. The Company filed a response to the complaint in the Second Solomon Suit on April 30, 2021. On May 26, 2021, the Company and Singh filed motions for judgment on the pleadings with respect to the second and third claims asserted against the Company and all claims asserted against Singh, respectively, in the Second Solomon Suit. On January 5, 2022, the Court granted the Company’s motions for judgement on the pleadings, dismissing the second and third claims against the Company and dismissing all claims against Singh. On January 4, 2023, the Court granted in part the Company’s motion for sanctions against Plaintiffs for violating Rule 11 of the Federal Rules of Civil Procedure, in a decision and order that dismissed Plaintiffs’ first claim against the Company, denied Plaintiffs’ motion for leave to amend the complaint, and ordered Plaintiffs to pay the Company’s attorneys’ fees incurred in connection with the Rule 11 motion. Following the Court’s decision and order on the Rule 11 motion, only Plaintiffs’ fifth and sixth claims, for unjust enrichment and indemnification, respectively, remain pending against the Company.</w:t>
      </w:r>
    </w:p>
    <w:p>
      <w:pPr>
        <w:spacing w:after="0" w:line="136" w:lineRule="exact"/>
        <w:rPr>
          <w:sz w:val="20"/>
          <w:szCs w:val="20"/>
          <w:color w:val="auto"/>
        </w:rPr>
      </w:pPr>
    </w:p>
    <w:p>
      <w:pPr>
        <w:jc w:val="both"/>
        <w:ind w:right="140" w:firstLine="492"/>
        <w:spacing w:after="0" w:line="263" w:lineRule="auto"/>
        <w:rPr>
          <w:sz w:val="20"/>
          <w:szCs w:val="20"/>
          <w:color w:val="auto"/>
        </w:rPr>
      </w:pPr>
      <w:r>
        <w:rPr>
          <w:rFonts w:ascii="Arial" w:cs="Arial" w:eastAsia="Arial" w:hAnsi="Arial"/>
          <w:sz w:val="18"/>
          <w:szCs w:val="18"/>
          <w:color w:val="auto"/>
        </w:rPr>
        <w:t>The Company intends to vigorously defend these complaints and pursue its counterclaims, as applicable. At the current stage of the litigation, in both the First Solomon Suit and the Second Solomon Suit, it is not possible to estimate the amount or range of possible loss that might result from an adverse judgment or a settlement of these matters.</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100" w:firstLine="492"/>
        <w:spacing w:after="0" w:line="293" w:lineRule="auto"/>
        <w:rPr>
          <w:sz w:val="20"/>
          <w:szCs w:val="20"/>
          <w:color w:val="auto"/>
        </w:rPr>
      </w:pPr>
      <w:r>
        <w:rPr>
          <w:rFonts w:ascii="Arial" w:cs="Arial" w:eastAsia="Arial" w:hAnsi="Arial"/>
          <w:sz w:val="16"/>
          <w:szCs w:val="16"/>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its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LONG-TERM NOTE PAYABLE</w:t>
      </w:r>
    </w:p>
    <w:p>
      <w:pPr>
        <w:spacing w:after="0" w:line="202"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On January 26, 2021, the Company entered into a Loan Note and accompanying Economic Stimulus Program Loan Agreement with PIDC – Local Development Corporation, a Pennsylvania nonprofit corporation (the “Lender”), pursuant to which the Lender agreed to make a loan (the “Job Creation Loan”) to the Company in a principal amount of $1.0 million. The Job Creation Loan will be for a term of five years starting on February 18, 2021, the date of the issuance of a final certificate of occupancy for the Company’s leased premises in Philadelphia, Pennsylvania. The Job Creation Loan is unsecured, bears no interest, and will be forgiven by the Lender in the amount of $2,000 per full-time or “full time equivalent” (defined as two or more part time employees whose working hours total at least 35 hours a week) employee with an average salary of at least $80,000 (“FT Employees”), up to a maximum amount equal to the amount of the Job Creation Loan, as calculated based on the average number of FT Employees employed at the Company’s premises during the period of the 5-year term beginning on the date that is nine months prior to the maturity date and ending on the maturity date. If the Job Creation Loan is not forgiven in full by the maturity date, the remaining balance of the loan not forgiven will become payable on the maturity date. The Loan Note includes customary events of default. Upon the occurrence of an event of default, the Lender will have the right to exercise remedies against the Company, including the right to require immediate payment of all amounts due under the Loan Note.</w:t>
      </w:r>
    </w:p>
    <w:p>
      <w:pPr>
        <w:spacing w:after="0" w:line="127" w:lineRule="exact"/>
        <w:rPr>
          <w:sz w:val="20"/>
          <w:szCs w:val="20"/>
          <w:color w:val="auto"/>
        </w:rPr>
      </w:pPr>
    </w:p>
    <w:p>
      <w:pPr>
        <w:ind w:right="60" w:firstLine="492"/>
        <w:spacing w:after="0" w:line="311" w:lineRule="auto"/>
        <w:rPr>
          <w:sz w:val="20"/>
          <w:szCs w:val="20"/>
          <w:color w:val="auto"/>
        </w:rPr>
      </w:pPr>
      <w:r>
        <w:rPr>
          <w:rFonts w:ascii="Arial" w:cs="Arial" w:eastAsia="Arial" w:hAnsi="Arial"/>
          <w:sz w:val="16"/>
          <w:szCs w:val="16"/>
          <w:color w:val="auto"/>
        </w:rPr>
        <w:t xml:space="preserve">The Company concluded that it is not reasonably assured that all or a portion of the loan will be forgiven as of December 31, 2022, and therefore accounted for the Job Creation Loan as debt in accordance with ASC Topic 470, </w:t>
      </w:r>
      <w:r>
        <w:rPr>
          <w:rFonts w:ascii="Arial" w:cs="Arial" w:eastAsia="Arial" w:hAnsi="Arial"/>
          <w:sz w:val="16"/>
          <w:szCs w:val="16"/>
          <w:i w:val="1"/>
          <w:iCs w:val="1"/>
          <w:color w:val="auto"/>
        </w:rPr>
        <w:t>Debt</w:t>
      </w:r>
      <w:r>
        <w:rPr>
          <w:rFonts w:ascii="Arial" w:cs="Arial" w:eastAsia="Arial" w:hAnsi="Arial"/>
          <w:sz w:val="16"/>
          <w:szCs w:val="16"/>
          <w:color w:val="auto"/>
        </w:rPr>
        <w:t>, as opposed to an in-substance government grant, and classified as a long-term debt in its Consolidated Balance Sheets as of December 31, 2022 and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SUBSEQUENT EVENTS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Proleukin</w:t>
      </w:r>
      <w:r>
        <w:rPr>
          <w:rFonts w:ascii="Arial" w:cs="Arial" w:eastAsia="Arial" w:hAnsi="Arial"/>
          <w:sz w:val="18"/>
          <w:szCs w:val="18"/>
          <w:color w:val="auto"/>
        </w:rPr>
        <w:t>®</w:t>
      </w:r>
    </w:p>
    <w:p>
      <w:pPr>
        <w:spacing w:after="0" w:line="229"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Pursuant to that certain Option Agreement entered into on January 23, 2023 (the “Option Agreement”) between the Company and Clinigen Holdings Limited, Clinigen Healthcare Limited and Clinigen, Inc. (collectively, “Clinigen”), the Company will acquire worldwide rights to Proleukin® (aldesleukin) (the “Product”), an interleukin-2 product used to promote T-cell activity following TIL infusion.</w:t>
      </w:r>
    </w:p>
    <w:p>
      <w:pPr>
        <w:spacing w:after="0" w:line="146" w:lineRule="exact"/>
        <w:rPr>
          <w:sz w:val="20"/>
          <w:szCs w:val="20"/>
          <w:color w:val="auto"/>
        </w:rPr>
      </w:pPr>
    </w:p>
    <w:p>
      <w:pPr>
        <w:ind w:right="280" w:firstLine="492"/>
        <w:spacing w:after="0" w:line="259" w:lineRule="auto"/>
        <w:rPr>
          <w:sz w:val="20"/>
          <w:szCs w:val="20"/>
          <w:color w:val="auto"/>
        </w:rPr>
      </w:pPr>
      <w:r>
        <w:rPr>
          <w:rFonts w:ascii="Arial" w:cs="Arial" w:eastAsia="Arial" w:hAnsi="Arial"/>
          <w:sz w:val="18"/>
          <w:szCs w:val="18"/>
          <w:color w:val="auto"/>
        </w:rPr>
        <w:t>Material terms of the Option Agreement include an upfront payment of £167.7 million, or approximately $200 million, a £41.7 million, or approximately $50 million, milestone payment upon first approval of lifileucel in advanced melanoma, and deferred consideration based on double-digit rates on global net sales of the Product payable from the Company to Clinigen following the completion of the transaction for the applicable deferred consideration term.</w:t>
      </w:r>
    </w:p>
    <w:p>
      <w:pPr>
        <w:spacing w:after="0" w:line="146" w:lineRule="exact"/>
        <w:rPr>
          <w:sz w:val="20"/>
          <w:szCs w:val="20"/>
          <w:color w:val="auto"/>
        </w:rPr>
      </w:pPr>
    </w:p>
    <w:p>
      <w:pPr>
        <w:ind w:right="40" w:firstLine="492"/>
        <w:spacing w:after="0" w:line="279" w:lineRule="auto"/>
        <w:rPr>
          <w:sz w:val="20"/>
          <w:szCs w:val="20"/>
          <w:color w:val="auto"/>
        </w:rPr>
      </w:pPr>
      <w:r>
        <w:rPr>
          <w:rFonts w:ascii="Arial" w:cs="Arial" w:eastAsia="Arial" w:hAnsi="Arial"/>
          <w:sz w:val="17"/>
          <w:szCs w:val="17"/>
          <w:color w:val="auto"/>
        </w:rPr>
        <w:t>Subject to the terms and conditions of the Option Agreement, the Company will purchase (i) all issued and outstanding shares of Clinigen SP Limited (the “Target”), (ii) the business of the Target and Clinigen comprising the manufacturing, supply, commercialization and the generation of income from the Product rights and the undertaking of an active role in the development, maintenance and exploitation of those rights (the “Operations”), and (iii) certain specified assets identified in the Option Agreement.</w:t>
      </w:r>
    </w:p>
    <w:p>
      <w:pPr>
        <w:spacing w:after="0" w:line="144" w:lineRule="exact"/>
        <w:rPr>
          <w:sz w:val="20"/>
          <w:szCs w:val="20"/>
          <w:color w:val="auto"/>
        </w:rPr>
      </w:pPr>
    </w:p>
    <w:p>
      <w:pPr>
        <w:ind w:right="80" w:firstLine="367"/>
        <w:spacing w:after="0" w:line="259" w:lineRule="auto"/>
        <w:rPr>
          <w:sz w:val="20"/>
          <w:szCs w:val="20"/>
          <w:color w:val="auto"/>
        </w:rPr>
      </w:pPr>
      <w:r>
        <w:rPr>
          <w:rFonts w:ascii="Arial" w:cs="Arial" w:eastAsia="Arial" w:hAnsi="Arial"/>
          <w:sz w:val="18"/>
          <w:szCs w:val="18"/>
          <w:color w:val="auto"/>
        </w:rPr>
        <w:t>The Option Agreement is subject to customary termination provisions, and the Company would be required to pay to Clinigen a reverse termination fee (less certain transaction fees and expenses incurred by the Company) upon certain events as described in the Option Agreement. The closing of the transaction is subject to required regulatory approvals and clearances and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b w:val="1"/>
          <w:bCs w:val="1"/>
          <w:color w:val="auto"/>
        </w:rPr>
        <w:t>Exhibit 21.1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Subsidiaries Of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Iovance Biotherapeutics GmbH, a company formed under the laws of Switzerland.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Iovance Biotherapeutics B.V., a company formed under the laws of The Netherlands.</w:t>
      </w:r>
    </w:p>
    <w:p>
      <w:pPr>
        <w:spacing w:after="0" w:line="206" w:lineRule="exact"/>
        <w:rPr>
          <w:sz w:val="20"/>
          <w:szCs w:val="20"/>
          <w:color w:val="auto"/>
        </w:rPr>
      </w:pPr>
    </w:p>
    <w:p>
      <w:pPr>
        <w:ind w:right="1040"/>
        <w:spacing w:after="0" w:line="250" w:lineRule="auto"/>
        <w:rPr>
          <w:sz w:val="20"/>
          <w:szCs w:val="20"/>
          <w:color w:val="auto"/>
        </w:rPr>
      </w:pPr>
      <w:r>
        <w:rPr>
          <w:rFonts w:ascii="Arial" w:cs="Arial" w:eastAsia="Arial" w:hAnsi="Arial"/>
          <w:sz w:val="22"/>
          <w:szCs w:val="22"/>
          <w:color w:val="auto"/>
        </w:rPr>
        <w:t>Iovance Biotherapeutics Manufacturing LLC, a limited liability company formed under the laws of the Commonwealth of Pennsylvania.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Iovance Biotherapeutics UK Ltd, a limited company formed under the laws of The United Kingdom.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Iovance Biotherapeutics Canada Inc., a company formed under the laws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ind w:left="1040"/>
        <w:spacing w:after="0"/>
        <w:rPr>
          <w:sz w:val="20"/>
          <w:szCs w:val="20"/>
          <w:color w:val="auto"/>
        </w:rPr>
      </w:pPr>
      <w:r>
        <w:rPr>
          <w:rFonts w:ascii="Arial" w:cs="Arial" w:eastAsia="Arial" w:hAnsi="Arial"/>
          <w:sz w:val="18"/>
          <w:szCs w:val="18"/>
          <w:u w:val="single" w:color="auto"/>
          <w:color w:val="auto"/>
        </w:rPr>
        <w:t>CONSENT OF ERNST &amp; YOUNG LLP,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33" w:lineRule="exact"/>
        <w:rPr>
          <w:sz w:val="20"/>
          <w:szCs w:val="20"/>
          <w:color w:val="auto"/>
        </w:rPr>
      </w:pPr>
    </w:p>
    <w:p>
      <w:pPr>
        <w:ind w:left="980" w:right="60" w:hanging="648"/>
        <w:spacing w:after="0" w:line="258" w:lineRule="auto"/>
        <w:tabs>
          <w:tab w:leader="none" w:pos="980" w:val="left"/>
        </w:tabs>
        <w:numPr>
          <w:ilvl w:val="0"/>
          <w:numId w:val="53"/>
        </w:numPr>
        <w:rPr>
          <w:rFonts w:ascii="Arial" w:cs="Arial" w:eastAsia="Arial" w:hAnsi="Arial"/>
          <w:sz w:val="17"/>
          <w:szCs w:val="17"/>
          <w:color w:val="auto"/>
        </w:rPr>
      </w:pPr>
      <w:r>
        <w:rPr>
          <w:rFonts w:ascii="Arial" w:cs="Arial" w:eastAsia="Arial" w:hAnsi="Arial"/>
          <w:sz w:val="18"/>
          <w:szCs w:val="18"/>
          <w:color w:val="auto"/>
        </w:rPr>
        <w:t>Registration Statements (Form S-3 Nos. 333-212373, 333-214073 and 333-238724) of Iovance Biotherapeutics, Inc. and in the related Prospectuses,</w:t>
      </w:r>
    </w:p>
    <w:p>
      <w:pPr>
        <w:spacing w:after="0" w:line="1" w:lineRule="exact"/>
        <w:rPr>
          <w:rFonts w:ascii="Arial" w:cs="Arial" w:eastAsia="Arial" w:hAnsi="Arial"/>
          <w:sz w:val="17"/>
          <w:szCs w:val="17"/>
          <w:color w:val="auto"/>
        </w:rPr>
      </w:pPr>
    </w:p>
    <w:p>
      <w:pPr>
        <w:ind w:left="980" w:right="1180" w:hanging="648"/>
        <w:spacing w:after="0" w:line="250" w:lineRule="auto"/>
        <w:tabs>
          <w:tab w:leader="none" w:pos="980" w:val="left"/>
        </w:tabs>
        <w:numPr>
          <w:ilvl w:val="0"/>
          <w:numId w:val="53"/>
        </w:numPr>
        <w:rPr>
          <w:rFonts w:ascii="Arial" w:cs="Arial" w:eastAsia="Arial" w:hAnsi="Arial"/>
          <w:sz w:val="17"/>
          <w:szCs w:val="17"/>
          <w:color w:val="auto"/>
        </w:rPr>
      </w:pPr>
      <w:r>
        <w:rPr>
          <w:rFonts w:ascii="Arial" w:cs="Arial" w:eastAsia="Arial" w:hAnsi="Arial"/>
          <w:sz w:val="18"/>
          <w:szCs w:val="18"/>
          <w:color w:val="auto"/>
        </w:rPr>
        <w:t>Registration Statement (Form S-8 No. 333-205097) pertaining to the 2011 Equity Incentive Plan of Iovance Biotherapeutics, Inc.,</w:t>
      </w:r>
    </w:p>
    <w:p>
      <w:pPr>
        <w:ind w:left="980" w:right="1180" w:hanging="648"/>
        <w:spacing w:after="0" w:line="250" w:lineRule="auto"/>
        <w:tabs>
          <w:tab w:leader="none" w:pos="980" w:val="left"/>
        </w:tabs>
        <w:numPr>
          <w:ilvl w:val="0"/>
          <w:numId w:val="53"/>
        </w:numPr>
        <w:rPr>
          <w:rFonts w:ascii="Arial" w:cs="Arial" w:eastAsia="Arial" w:hAnsi="Arial"/>
          <w:sz w:val="17"/>
          <w:szCs w:val="17"/>
          <w:color w:val="auto"/>
        </w:rPr>
      </w:pPr>
      <w:r>
        <w:rPr>
          <w:rFonts w:ascii="Arial" w:cs="Arial" w:eastAsia="Arial" w:hAnsi="Arial"/>
          <w:sz w:val="18"/>
          <w:szCs w:val="18"/>
          <w:color w:val="auto"/>
        </w:rPr>
        <w:t>Registration Statement (Form S-8 No. 333-214567) pertaining to the 2014 Equity Incentive Plan of Iovance Biotherapeutics, Inc.,</w:t>
      </w:r>
    </w:p>
    <w:p>
      <w:pPr>
        <w:ind w:left="980" w:hanging="648"/>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7"/>
          <w:szCs w:val="17"/>
          <w:color w:val="auto"/>
        </w:rPr>
        <w:t>Registration Statement (Form S-8 No. 333-217638) pertaining to Maria Fardis RSUs of Iovance Biotherapeutics, Inc.,</w:t>
      </w:r>
    </w:p>
    <w:p>
      <w:pPr>
        <w:spacing w:after="0" w:line="20" w:lineRule="exact"/>
        <w:rPr>
          <w:rFonts w:ascii="Arial" w:cs="Arial" w:eastAsia="Arial" w:hAnsi="Arial"/>
          <w:sz w:val="16"/>
          <w:szCs w:val="16"/>
          <w:color w:val="auto"/>
        </w:rPr>
      </w:pPr>
    </w:p>
    <w:p>
      <w:pPr>
        <w:ind w:left="980" w:right="40" w:hanging="648"/>
        <w:spacing w:after="0" w:line="250" w:lineRule="auto"/>
        <w:tabs>
          <w:tab w:leader="none" w:pos="980" w:val="left"/>
        </w:tabs>
        <w:numPr>
          <w:ilvl w:val="0"/>
          <w:numId w:val="53"/>
        </w:numPr>
        <w:rPr>
          <w:rFonts w:ascii="Arial" w:cs="Arial" w:eastAsia="Arial" w:hAnsi="Arial"/>
          <w:sz w:val="17"/>
          <w:szCs w:val="17"/>
          <w:color w:val="auto"/>
        </w:rPr>
      </w:pPr>
      <w:r>
        <w:rPr>
          <w:rFonts w:ascii="Arial" w:cs="Arial" w:eastAsia="Arial" w:hAnsi="Arial"/>
          <w:sz w:val="18"/>
          <w:szCs w:val="18"/>
          <w:color w:val="auto"/>
        </w:rPr>
        <w:t>Registration Statements (Form S-8 Nos. 333-239316, 333-227242 and 333-266544) pertaining to the 2018 Equity Incentive Plan of Iovance Biotherapeutics, Inc.,</w:t>
      </w:r>
    </w:p>
    <w:p>
      <w:pPr>
        <w:ind w:left="980" w:right="500" w:hanging="648"/>
        <w:spacing w:after="0" w:line="250" w:lineRule="auto"/>
        <w:tabs>
          <w:tab w:leader="none" w:pos="980" w:val="left"/>
        </w:tabs>
        <w:numPr>
          <w:ilvl w:val="0"/>
          <w:numId w:val="53"/>
        </w:numPr>
        <w:rPr>
          <w:rFonts w:ascii="Arial" w:cs="Arial" w:eastAsia="Arial" w:hAnsi="Arial"/>
          <w:sz w:val="17"/>
          <w:szCs w:val="17"/>
          <w:color w:val="auto"/>
        </w:rPr>
      </w:pPr>
      <w:r>
        <w:rPr>
          <w:rFonts w:ascii="Arial" w:cs="Arial" w:eastAsia="Arial" w:hAnsi="Arial"/>
          <w:sz w:val="18"/>
          <w:szCs w:val="18"/>
          <w:color w:val="auto"/>
        </w:rPr>
        <w:t>Registration Statement (Form S-8 No. 333-239317) pertaining to the 2020 Employee Stock Purchase Plan of Iovance Biotherapeutics, Inc., and</w:t>
      </w:r>
    </w:p>
    <w:p>
      <w:pPr>
        <w:ind w:left="980" w:right="240" w:hanging="648"/>
        <w:spacing w:after="0" w:line="260" w:lineRule="auto"/>
        <w:tabs>
          <w:tab w:leader="none" w:pos="980" w:val="left"/>
        </w:tabs>
        <w:numPr>
          <w:ilvl w:val="0"/>
          <w:numId w:val="53"/>
        </w:numPr>
        <w:rPr>
          <w:rFonts w:ascii="Arial" w:cs="Arial" w:eastAsia="Arial" w:hAnsi="Arial"/>
          <w:sz w:val="17"/>
          <w:szCs w:val="17"/>
          <w:color w:val="auto"/>
        </w:rPr>
      </w:pPr>
      <w:r>
        <w:rPr>
          <w:rFonts w:ascii="Arial" w:cs="Arial" w:eastAsia="Arial" w:hAnsi="Arial"/>
          <w:sz w:val="18"/>
          <w:szCs w:val="18"/>
          <w:color w:val="auto"/>
        </w:rPr>
        <w:t>Registration Statement (Form S 8 Nos. 333-259752 and 333-263503) pertaining to the 2021 Inducement Plan of Iovance Biotherapeutics, Inc.;</w:t>
      </w:r>
    </w:p>
    <w:p>
      <w:pPr>
        <w:spacing w:after="0" w:line="25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of our reports dated February 28, 2023, with respect to the consolidated financial statements of Iovance Biotherapeutics, Inc. and the effectiveness of internal control over financial reporting of Iovance Biotherapeutics, Inc. included in this Annual Report (Form 10-K) of Iovance Biotherapeutics, Inc. for the year ended December 31, 2022.</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San Mateo, California</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2" w:name="page143"/>
    <w:bookmarkEnd w:id="142"/>
    <w:p>
      <w:pPr>
        <w:jc w:val="right"/>
        <w:ind w:right="219"/>
        <w:spacing w:after="0"/>
        <w:rPr>
          <w:sz w:val="20"/>
          <w:szCs w:val="20"/>
          <w:color w:val="auto"/>
        </w:rPr>
      </w:pPr>
      <w:r>
        <w:rPr>
          <w:rFonts w:ascii="Arial" w:cs="Arial" w:eastAsia="Arial" w:hAnsi="Arial"/>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26035</wp:posOffset>
            </wp:positionV>
            <wp:extent cx="54521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8">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00" w:lineRule="exact"/>
        <w:rPr>
          <w:sz w:val="20"/>
          <w:szCs w:val="20"/>
          <w:color w:val="auto"/>
        </w:rPr>
      </w:pPr>
    </w:p>
    <w:p>
      <w:pPr>
        <w:spacing w:after="0" w:line="241"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18"/>
          <w:szCs w:val="18"/>
          <w:color w:val="auto"/>
        </w:rPr>
        <w:t>We consent to the incorporation by reference in the Registration Statements of Iovance Biotherapeutics, Inc. on Form S-3 (File No. 333-238724), Form S-3 (File No. 333-214073), Form S-3 (File No. 333-212373), Form S-8 (File No. 333-239317), Form S-8 (File No. 333-239316), Form S-8 (File No. 333-227242), Form S-8 (File No. 333-205097), Form S-8 (File No. 333-217638), Form S-8 (File No. 333-214567), Form S-8 (File No. 333-259752), Form S-8 (File No. 333-263503) and Form S-8 (File No. 333-266544) of our report dated February 25, 2021, with respect to our audit of the consolidated financial statements of Iovance Biotherapeutics, Inc. for the year ended December 31, 2020, which report is included in this Annual Report on Form 10-K of Iovance Biotherapeutics, Inc. for the year ended December 31, 2022.</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502920</wp:posOffset>
            </wp:positionV>
            <wp:extent cx="545211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 Frederick G. Vogt, PhD., J.D., Interim Chief Executive Officer and President, and General Counsel of Iovance Biotherapeutics, Inc., certify that:</w:t>
      </w:r>
    </w:p>
    <w:p>
      <w:pPr>
        <w:spacing w:after="0" w:line="170" w:lineRule="exact"/>
        <w:rPr>
          <w:sz w:val="20"/>
          <w:szCs w:val="20"/>
          <w:color w:val="auto"/>
        </w:rPr>
      </w:pPr>
    </w:p>
    <w:p>
      <w:pPr>
        <w:ind w:left="360" w:hanging="222"/>
        <w:spacing w:after="0"/>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Iovance Biotherapeutics, Inc.</w:t>
      </w:r>
    </w:p>
    <w:p>
      <w:pPr>
        <w:spacing w:after="0" w:line="225" w:lineRule="exact"/>
        <w:rPr>
          <w:rFonts w:ascii="Arial" w:cs="Arial" w:eastAsia="Arial" w:hAnsi="Arial"/>
          <w:sz w:val="18"/>
          <w:szCs w:val="18"/>
          <w:color w:val="auto"/>
        </w:rPr>
      </w:pPr>
    </w:p>
    <w:p>
      <w:pPr>
        <w:ind w:left="380" w:right="140" w:hanging="242"/>
        <w:spacing w:after="0" w:line="263" w:lineRule="auto"/>
        <w:tabs>
          <w:tab w:leader="none" w:pos="372"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40" w:hanging="242"/>
        <w:spacing w:after="0" w:line="263" w:lineRule="auto"/>
        <w:tabs>
          <w:tab w:leader="none" w:pos="372"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80" w:hanging="242"/>
        <w:spacing w:after="0" w:line="263" w:lineRule="auto"/>
        <w:tabs>
          <w:tab w:leader="none" w:pos="3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left="520" w:hanging="382"/>
        <w:spacing w:after="0" w:line="286" w:lineRule="auto"/>
        <w:tabs>
          <w:tab w:leader="none" w:pos="511" w:val="left"/>
        </w:tabs>
        <w:numPr>
          <w:ilvl w:val="0"/>
          <w:numId w:val="5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520" w:right="320" w:hanging="382"/>
        <w:spacing w:after="0" w:line="286" w:lineRule="auto"/>
        <w:tabs>
          <w:tab w:leader="none" w:pos="521" w:val="left"/>
        </w:tabs>
        <w:numPr>
          <w:ilvl w:val="0"/>
          <w:numId w:val="5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520" w:right="100" w:hanging="382"/>
        <w:spacing w:after="0" w:line="263" w:lineRule="auto"/>
        <w:tabs>
          <w:tab w:leader="none" w:pos="5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520" w:right="100" w:hanging="382"/>
        <w:spacing w:after="0" w:line="263" w:lineRule="auto"/>
        <w:tabs>
          <w:tab w:leader="none" w:pos="521"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left="380" w:right="200" w:hanging="242"/>
        <w:spacing w:after="0" w:line="263" w:lineRule="auto"/>
        <w:tabs>
          <w:tab w:leader="none" w:pos="36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sz w:val="20"/>
          <w:szCs w:val="20"/>
          <w:color w:val="auto"/>
        </w:rPr>
      </w:pPr>
    </w:p>
    <w:p>
      <w:pPr>
        <w:ind w:left="520" w:right="20" w:hanging="382"/>
        <w:spacing w:after="0" w:line="342" w:lineRule="auto"/>
        <w:tabs>
          <w:tab w:leader="none" w:pos="501" w:val="left"/>
        </w:tabs>
        <w:numPr>
          <w:ilvl w:val="0"/>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520" w:right="220" w:hanging="382"/>
        <w:spacing w:after="0" w:line="277" w:lineRule="auto"/>
        <w:tabs>
          <w:tab w:leader="none" w:pos="511"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2023</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Frederick G. Vogt, Ph.D.,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Frederick G. Vogt, Ph.D., J.D.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Interim Chief Executive Officer and President, and General Counsel</w:t>
      </w:r>
    </w:p>
    <w:p>
      <w:pPr>
        <w:spacing w:after="0" w:line="3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Jean-Marc Bellemin, Chief Financial Officer of Iovance Biotherapeutics, Inc., certify that:</w:t>
      </w:r>
    </w:p>
    <w:p>
      <w:pPr>
        <w:spacing w:after="0" w:line="225" w:lineRule="exact"/>
        <w:rPr>
          <w:sz w:val="20"/>
          <w:szCs w:val="20"/>
          <w:color w:val="auto"/>
        </w:rPr>
      </w:pPr>
    </w:p>
    <w:p>
      <w:pPr>
        <w:ind w:left="360" w:hanging="222"/>
        <w:spacing w:after="0"/>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Iovance Biotherapeutics, Inc.</w:t>
      </w:r>
    </w:p>
    <w:p>
      <w:pPr>
        <w:spacing w:after="0" w:line="225" w:lineRule="exact"/>
        <w:rPr>
          <w:rFonts w:ascii="Arial" w:cs="Arial" w:eastAsia="Arial" w:hAnsi="Arial"/>
          <w:sz w:val="18"/>
          <w:szCs w:val="18"/>
          <w:color w:val="auto"/>
        </w:rPr>
      </w:pPr>
    </w:p>
    <w:p>
      <w:pPr>
        <w:ind w:left="380" w:right="140" w:hanging="242"/>
        <w:spacing w:after="0" w:line="263" w:lineRule="auto"/>
        <w:tabs>
          <w:tab w:leader="none" w:pos="372"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40" w:hanging="242"/>
        <w:spacing w:after="0" w:line="263" w:lineRule="auto"/>
        <w:tabs>
          <w:tab w:leader="none" w:pos="372"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80" w:hanging="242"/>
        <w:spacing w:after="0" w:line="263" w:lineRule="auto"/>
        <w:tabs>
          <w:tab w:leader="none" w:pos="36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left="520" w:hanging="382"/>
        <w:spacing w:after="0" w:line="286" w:lineRule="auto"/>
        <w:tabs>
          <w:tab w:leader="none" w:pos="511" w:val="left"/>
        </w:tabs>
        <w:numPr>
          <w:ilvl w:val="0"/>
          <w:numId w:val="5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520" w:right="320" w:hanging="382"/>
        <w:spacing w:after="0" w:line="286" w:lineRule="auto"/>
        <w:tabs>
          <w:tab w:leader="none" w:pos="521" w:val="left"/>
        </w:tabs>
        <w:numPr>
          <w:ilvl w:val="0"/>
          <w:numId w:val="5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520" w:right="100" w:hanging="382"/>
        <w:spacing w:after="0" w:line="263" w:lineRule="auto"/>
        <w:tabs>
          <w:tab w:leader="none" w:pos="5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520" w:right="100" w:hanging="382"/>
        <w:spacing w:after="0" w:line="263" w:lineRule="auto"/>
        <w:tabs>
          <w:tab w:leader="none" w:pos="521"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80" w:right="200" w:hanging="242"/>
        <w:spacing w:after="0" w:line="263" w:lineRule="auto"/>
        <w:tabs>
          <w:tab w:leader="none" w:pos="369"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sz w:val="20"/>
          <w:szCs w:val="20"/>
          <w:color w:val="auto"/>
        </w:rPr>
      </w:pPr>
    </w:p>
    <w:p>
      <w:pPr>
        <w:ind w:left="520" w:right="20" w:hanging="382"/>
        <w:spacing w:after="0" w:line="342" w:lineRule="auto"/>
        <w:tabs>
          <w:tab w:leader="none" w:pos="501"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520" w:right="220" w:hanging="382"/>
        <w:spacing w:after="0" w:line="277" w:lineRule="auto"/>
        <w:tabs>
          <w:tab w:leader="none" w:pos="511"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2023</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Jean-Marc Bellemin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Jean-Marc Bellemin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 &amp;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 Frederick G. Vogt, Ph.D., J.D., Interim Chief Executive Officer and President, and General Counsel, of Iovance Biotherapeutics, Inc. (Company), do hereby certify, pursuant to 18 U.S.C. Section 1350, as adopted pursuant to Section 906 of the Sarbanes-Oxley Act of 2002, that to the best of my knowledge:</w:t>
      </w:r>
    </w:p>
    <w:p>
      <w:pPr>
        <w:spacing w:after="0" w:line="224" w:lineRule="exact"/>
        <w:rPr>
          <w:sz w:val="20"/>
          <w:szCs w:val="20"/>
          <w:color w:val="auto"/>
        </w:rPr>
      </w:pPr>
    </w:p>
    <w:p>
      <w:pPr>
        <w:ind w:left="660" w:right="500" w:hanging="652"/>
        <w:spacing w:after="0" w:line="277" w:lineRule="auto"/>
        <w:tabs>
          <w:tab w:leader="none" w:pos="65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2022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120" w:hanging="652"/>
        <w:spacing w:after="0" w:line="277" w:lineRule="auto"/>
        <w:tabs>
          <w:tab w:leader="none" w:pos="65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2023</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Frederick G. Vogt, Ph.D.,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Frederick G. Vogt, Ph.D., J.D.</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Interim Chief Executive Officer and President, and General Counsel</w:t>
      </w:r>
    </w:p>
    <w:p>
      <w:pPr>
        <w:spacing w:after="0" w:line="3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Jean-Marc Bellemin, Chief Financial Officer of Iovance Biotherapeutics, Inc. (Company), do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238" w:lineRule="exact"/>
        <w:rPr>
          <w:sz w:val="20"/>
          <w:szCs w:val="20"/>
          <w:color w:val="auto"/>
        </w:rPr>
      </w:pPr>
    </w:p>
    <w:p>
      <w:pPr>
        <w:ind w:left="660" w:right="540" w:hanging="652"/>
        <w:spacing w:after="0" w:line="277" w:lineRule="auto"/>
        <w:tabs>
          <w:tab w:leader="none" w:pos="59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2022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180" w:hanging="652"/>
        <w:spacing w:after="0" w:line="277" w:lineRule="auto"/>
        <w:tabs>
          <w:tab w:leader="none" w:pos="59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2023</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Jean-Marc Bellemin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Jean-Marc Bellemin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 &amp;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1."/>
      <w:numFmt w:val="decimal"/>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lvl w:ilvl="1">
      <w:lvlJc w:val="left"/>
      <w:lvlText w:val="●"/>
      <w:numFmt w:val="bullet"/>
      <w:start w:val="1"/>
    </w:lvl>
  </w:abstractNum>
  <w:abstractNum w:abstractNumId="21">
    <w:nsid w:val="70A64E2A"/>
    <w:multiLevelType w:val="hybridMultilevel"/>
    <w:lvl w:ilvl="0">
      <w:lvlJc w:val="left"/>
      <w:lvlText w:val="●"/>
      <w:numFmt w:val="bullet"/>
      <w:start w:val="1"/>
    </w:lvl>
    <w:lvl w:ilvl="1">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1)"/>
      <w:numFmt w:val="decimal"/>
      <w:start w:val="1"/>
    </w:lvl>
  </w:abstractNum>
  <w:abstractNum w:abstractNumId="42">
    <w:nsid w:val="12E685FB"/>
    <w:multiLevelType w:val="hybridMultilevel"/>
    <w:lvl w:ilvl="0">
      <w:lvlJc w:val="left"/>
      <w:lvlText w:val="%1"/>
      <w:numFmt w:val="decimal"/>
      <w:start w:val="101"/>
    </w:lvl>
  </w:abstractNum>
  <w:abstractNum w:abstractNumId="43">
    <w:nsid w:val="70C6A529"/>
    <w:multiLevelType w:val="hybridMultilevel"/>
    <w:lvl w:ilvl="0">
      <w:lvlJc w:val="left"/>
      <w:lvlText w:val="%1"/>
      <w:numFmt w:val="decimal"/>
      <w:start w:val="104"/>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o"/>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amp;"/>
      <w:numFmt w:val="bullet"/>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1."/>
      <w:numFmt w:val="decimal"/>
      <w:start w:val="5"/>
    </w:lvl>
  </w:abstractNum>
  <w:abstractNum w:abstractNumId="56">
    <w:nsid w:val="15B5AF5C"/>
    <w:multiLevelType w:val="hybridMultilevel"/>
    <w:lvl w:ilvl="0">
      <w:lvlJc w:val="left"/>
      <w:lvlText w:val="(%1)"/>
      <w:numFmt w:val="lowerLetter"/>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lowerLetter"/>
      <w:start w:val="1"/>
    </w:lvl>
    <w:lvl w:ilvl="1">
      <w:lvlJc w:val="left"/>
      <w:lvlText w:val="%2."/>
      <w:numFmt w:val="decimal"/>
      <w:start w:val="5"/>
    </w:lvl>
  </w:abstractNum>
  <w:abstractNum w:abstractNumId="59">
    <w:nsid w:val="10233C99"/>
    <w:multiLevelType w:val="hybridMultilevel"/>
    <w:lvl w:ilvl="0">
      <w:lvlJc w:val="left"/>
      <w:lvlText w:val="(%1)"/>
      <w:numFmt w:val="lowerLetter"/>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32" Type="http://schemas.openxmlformats.org/officeDocument/2006/relationships/image" Target="media/image109.png"/><Relationship Id="rId151" Type="http://schemas.openxmlformats.org/officeDocument/2006/relationships/image" Target="media/image110.png"/><Relationship Id="rId170" Type="http://schemas.openxmlformats.org/officeDocument/2006/relationships/image" Target="media/image111.png"/><Relationship Id="rId179" Type="http://schemas.openxmlformats.org/officeDocument/2006/relationships/image" Target="media/image112.png"/><Relationship Id="rId180" Type="http://schemas.openxmlformats.org/officeDocument/2006/relationships/image" Target="media/image113.png"/><Relationship Id="rId181" Type="http://schemas.openxmlformats.org/officeDocument/2006/relationships/image" Target="media/image114.png"/><Relationship Id="rId182" Type="http://schemas.openxmlformats.org/officeDocument/2006/relationships/image" Target="media/image115.png"/><Relationship Id="rId183" Type="http://schemas.openxmlformats.org/officeDocument/2006/relationships/image" Target="media/image116.png"/><Relationship Id="rId184" Type="http://schemas.openxmlformats.org/officeDocument/2006/relationships/image" Target="media/image117.png"/><Relationship Id="rId185" Type="http://schemas.openxmlformats.org/officeDocument/2006/relationships/image" Target="media/image118.png"/><Relationship Id="rId186" Type="http://schemas.openxmlformats.org/officeDocument/2006/relationships/image" Target="media/image119.png"/><Relationship Id="rId187" Type="http://schemas.openxmlformats.org/officeDocument/2006/relationships/image" Target="media/image120.png"/><Relationship Id="rId188" Type="http://schemas.openxmlformats.org/officeDocument/2006/relationships/image" Target="media/image121.png"/><Relationship Id="rId189" Type="http://schemas.openxmlformats.org/officeDocument/2006/relationships/image" Target="media/image122.png"/><Relationship Id="rId190" Type="http://schemas.openxmlformats.org/officeDocument/2006/relationships/image" Target="media/image123.png"/><Relationship Id="rId191" Type="http://schemas.openxmlformats.org/officeDocument/2006/relationships/image" Target="media/image124.png"/><Relationship Id="rId192" Type="http://schemas.openxmlformats.org/officeDocument/2006/relationships/image" Target="media/image125.png"/><Relationship Id="rId193" Type="http://schemas.openxmlformats.org/officeDocument/2006/relationships/image" Target="media/image126.png"/><Relationship Id="rId194" Type="http://schemas.openxmlformats.org/officeDocument/2006/relationships/image" Target="media/image127.png"/><Relationship Id="rId195" Type="http://schemas.openxmlformats.org/officeDocument/2006/relationships/image" Target="media/image128.png"/><Relationship Id="rId196" Type="http://schemas.openxmlformats.org/officeDocument/2006/relationships/image" Target="media/image129.png"/><Relationship Id="rId197" Type="http://schemas.openxmlformats.org/officeDocument/2006/relationships/image" Target="media/image130.png"/><Relationship Id="rId198" Type="http://schemas.openxmlformats.org/officeDocument/2006/relationships/image" Target="media/image131.png"/><Relationship Id="rId199" Type="http://schemas.openxmlformats.org/officeDocument/2006/relationships/image" Target="media/image132.png"/><Relationship Id="rId200" Type="http://schemas.openxmlformats.org/officeDocument/2006/relationships/image" Target="media/image133.png"/><Relationship Id="rId201" Type="http://schemas.openxmlformats.org/officeDocument/2006/relationships/image" Target="media/image134.png"/><Relationship Id="rId202" Type="http://schemas.openxmlformats.org/officeDocument/2006/relationships/image" Target="media/image135.png"/><Relationship Id="rId203" Type="http://schemas.openxmlformats.org/officeDocument/2006/relationships/image" Target="media/image136.png"/><Relationship Id="rId204" Type="http://schemas.openxmlformats.org/officeDocument/2006/relationships/image" Target="media/image137.png"/><Relationship Id="rId205" Type="http://schemas.openxmlformats.org/officeDocument/2006/relationships/image" Target="media/image138.png"/><Relationship Id="rId206" Type="http://schemas.openxmlformats.org/officeDocument/2006/relationships/image" Target="media/image139.png"/><Relationship Id="rId207" Type="http://schemas.openxmlformats.org/officeDocument/2006/relationships/image" Target="media/image140.png"/><Relationship Id="rId208" Type="http://schemas.openxmlformats.org/officeDocument/2006/relationships/image" Target="media/image141.png"/><Relationship Id="rId209" Type="http://schemas.openxmlformats.org/officeDocument/2006/relationships/image" Target="media/image142.png"/><Relationship Id="rId210" Type="http://schemas.openxmlformats.org/officeDocument/2006/relationships/image" Target="media/image143.png"/><Relationship Id="rId211" Type="http://schemas.openxmlformats.org/officeDocument/2006/relationships/image" Target="media/image144.png"/><Relationship Id="rId212" Type="http://schemas.openxmlformats.org/officeDocument/2006/relationships/image" Target="media/image145.png"/><Relationship Id="rId213" Type="http://schemas.openxmlformats.org/officeDocument/2006/relationships/image" Target="media/image146.png"/><Relationship Id="rId214" Type="http://schemas.openxmlformats.org/officeDocument/2006/relationships/image" Target="media/image147.png"/><Relationship Id="rId215" Type="http://schemas.openxmlformats.org/officeDocument/2006/relationships/image" Target="media/image148.png"/><Relationship Id="rId216" Type="http://schemas.openxmlformats.org/officeDocument/2006/relationships/image" Target="media/image149.png"/><Relationship Id="rId217" Type="http://schemas.openxmlformats.org/officeDocument/2006/relationships/image" Target="media/image150.png"/><Relationship Id="rId218" Type="http://schemas.openxmlformats.org/officeDocument/2006/relationships/image" Target="media/image151.png"/><Relationship Id="rId219" Type="http://schemas.openxmlformats.org/officeDocument/2006/relationships/image" Target="media/image152.png"/><Relationship Id="rId220" Type="http://schemas.openxmlformats.org/officeDocument/2006/relationships/image" Target="media/image153.png"/><Relationship Id="rId221" Type="http://schemas.openxmlformats.org/officeDocument/2006/relationships/image" Target="media/image154.png"/><Relationship Id="rId222" Type="http://schemas.openxmlformats.org/officeDocument/2006/relationships/image" Target="media/image155.png"/><Relationship Id="rId223" Type="http://schemas.openxmlformats.org/officeDocument/2006/relationships/image" Target="media/image156.png"/><Relationship Id="rId224" Type="http://schemas.openxmlformats.org/officeDocument/2006/relationships/image" Target="media/image157.png"/><Relationship Id="rId225" Type="http://schemas.openxmlformats.org/officeDocument/2006/relationships/image" Target="media/image158.png"/><Relationship Id="rId226" Type="http://schemas.openxmlformats.org/officeDocument/2006/relationships/image" Target="media/image159.png"/><Relationship Id="rId227" Type="http://schemas.openxmlformats.org/officeDocument/2006/relationships/image" Target="media/image160.png"/><Relationship Id="rId228" Type="http://schemas.openxmlformats.org/officeDocument/2006/relationships/image" Target="media/image161.png"/><Relationship Id="rId229" Type="http://schemas.openxmlformats.org/officeDocument/2006/relationships/image" Target="media/image162.png"/><Relationship Id="rId230" Type="http://schemas.openxmlformats.org/officeDocument/2006/relationships/image" Target="media/image163.png"/><Relationship Id="rId231" Type="http://schemas.openxmlformats.org/officeDocument/2006/relationships/image" Target="media/image164.png"/><Relationship Id="rId116" Type="http://schemas.openxmlformats.org/officeDocument/2006/relationships/hyperlink" Target="https://www.sec.gov/Archives/edgar/data/1425205/000114420417030892/v468249_ex2-1.htm" TargetMode="External"/><Relationship Id="rId117" Type="http://schemas.openxmlformats.org/officeDocument/2006/relationships/hyperlink" Target="https://www.sec.gov/Archives/edgar/data/1425205/000114420417030892/v468249_ex3-1.htm" TargetMode="External"/><Relationship Id="rId118" Type="http://schemas.openxmlformats.org/officeDocument/2006/relationships/hyperlink" Target="https://www.sec.gov/Archives/edgar/data/1425205/000114420417030892/v468249_ex3-2.htm" TargetMode="External"/><Relationship Id="rId119" Type="http://schemas.openxmlformats.org/officeDocument/2006/relationships/hyperlink" Target="https://www.sec.gov/Archives/edgar/data/1425205/000114420417030892/v468249_ex3-3.htm" TargetMode="External"/><Relationship Id="rId120" Type="http://schemas.openxmlformats.org/officeDocument/2006/relationships/hyperlink" Target="https://www.sec.gov/Archives/edgar/data/1425205/000114420417039309/v471615_ex3-4.htm" TargetMode="External"/><Relationship Id="rId121" Type="http://schemas.openxmlformats.org/officeDocument/2006/relationships/hyperlink" Target="https://www.sec.gov/Archives/edgar/data/1425205/000114420417039309/v471615_ex3-5.htm" TargetMode="External"/><Relationship Id="rId122" Type="http://schemas.openxmlformats.org/officeDocument/2006/relationships/hyperlink" Target="https://www.sec.gov/Archives/edgar/data/1425205/000114420417034350/v469760_ex3-1.htm" TargetMode="External"/><Relationship Id="rId123" Type="http://schemas.openxmlformats.org/officeDocument/2006/relationships/hyperlink" Target="https://www.sec.gov/Archives/edgar/data/1425205/000114420419030502/tv523383_ex3-1.htm" TargetMode="External"/><Relationship Id="rId124" Type="http://schemas.openxmlformats.org/officeDocument/2006/relationships/hyperlink" Target="https://www.sec.gov/Archives/edgar/data/1425205/000110465922053819/tm2214002d1_ex3-1.htm" TargetMode="External"/><Relationship Id="rId125" Type="http://schemas.openxmlformats.org/officeDocument/2006/relationships/hyperlink" Target="https://www.sec.gov/Archives/edgar/data/1425205/000114420418014151/tv485173_ex4-2.htm" TargetMode="External"/><Relationship Id="rId126" Type="http://schemas.openxmlformats.org/officeDocument/2006/relationships/hyperlink" Target="https://www.sec.gov/Archives/edgar/data/1425205/000110465920024830/ex-4d3.htm" TargetMode="External"/><Relationship Id="rId127" Type="http://schemas.openxmlformats.org/officeDocument/2006/relationships/hyperlink" Target="https://www.sec.gov/Archives/edgar/data/1425205/000114420411058601/v237591_ex10-3.htm" TargetMode="External"/><Relationship Id="rId128" Type="http://schemas.openxmlformats.org/officeDocument/2006/relationships/hyperlink" Target="https://www.sec.gov/Archives/edgar/data/1425205/000110465920024830/ex-10d4.htm" TargetMode="External"/><Relationship Id="rId129" Type="http://schemas.openxmlformats.org/officeDocument/2006/relationships/hyperlink" Target="https://www.sec.gov/Archives/edgar/data/1425205/000110465920024830/ex-10d5.htm" TargetMode="External"/><Relationship Id="rId130" Type="http://schemas.openxmlformats.org/officeDocument/2006/relationships/hyperlink" Target="https://www.sec.gov/Archives/edgar/data/1425205/000114420416111940/v443869_def14a.htm" TargetMode="External"/><Relationship Id="rId131" Type="http://schemas.openxmlformats.org/officeDocument/2006/relationships/hyperlink" Target="https://www.sec.gov/Archives/edgar/data/1425205/000110465920024830/ex-10d7.htm" TargetMode="External"/><Relationship Id="rId133" Type="http://schemas.openxmlformats.org/officeDocument/2006/relationships/hyperlink" Target="https://www.sec.gov/Archives/edgar/data/1425205/000110465920024830/ex-10d8.htm" TargetMode="External"/><Relationship Id="rId134" Type="http://schemas.openxmlformats.org/officeDocument/2006/relationships/hyperlink" Target="https://www.sec.gov/Archives/edgar/data/1425205/000155837022012263/iova-20220630xex10d1.htm" TargetMode="External"/><Relationship Id="rId135" Type="http://schemas.openxmlformats.org/officeDocument/2006/relationships/hyperlink" Target="https://www.sec.gov/Archives/edgar/data/1425205/000110465920024830/ex-10d10.htm" TargetMode="External"/><Relationship Id="rId136" Type="http://schemas.openxmlformats.org/officeDocument/2006/relationships/hyperlink" Target="https://www.sec.gov/Archives/edgar/data/1425205/000110465920024830/ex-10d11.htm" TargetMode="External"/><Relationship Id="rId137" Type="http://schemas.openxmlformats.org/officeDocument/2006/relationships/hyperlink" Target="https://www.sec.gov/Archives/edgar/data/1425205/000155837021010617/iova-20210630xex10d2.htm" TargetMode="External"/><Relationship Id="rId138" Type="http://schemas.openxmlformats.org/officeDocument/2006/relationships/hyperlink" Target="https://www.sec.gov/Archives/edgar/data/1425205/000155837021010617/iova-20210630xex10d3.htm" TargetMode="External"/><Relationship Id="rId139" Type="http://schemas.openxmlformats.org/officeDocument/2006/relationships/hyperlink" Target="https://www.sec.gov/Archives/edgar/data/1425205/000110465920071492/tm2022183d1_ex10-1.htm" TargetMode="External"/><Relationship Id="rId140" Type="http://schemas.openxmlformats.org/officeDocument/2006/relationships/hyperlink" Target="https://www.sec.gov/Archives/edgar/data/1425205/000155837022001976/iova-20211231xex10d13.htm" TargetMode="External"/><Relationship Id="rId141" Type="http://schemas.openxmlformats.org/officeDocument/2006/relationships/hyperlink" Target="https://www.sec.gov/Archives/edgar/data/1425205/000155837021012704/iova-20210922xex10d2.htm" TargetMode="External"/><Relationship Id="rId142" Type="http://schemas.openxmlformats.org/officeDocument/2006/relationships/hyperlink" Target="https://www.sec.gov/Archives/edgar/data/1425205/000155837021012704/iova-20210922xex10d3.htm" TargetMode="External"/><Relationship Id="rId143" Type="http://schemas.openxmlformats.org/officeDocument/2006/relationships/hyperlink" Target="https://www.sec.gov/Archives/edgar/data/1425205/000155837022012263/iova-20220630xex10d2.htm" TargetMode="External"/><Relationship Id="rId144" Type="http://schemas.openxmlformats.org/officeDocument/2006/relationships/hyperlink" Target="https://www.sec.gov/Archives/edgar/data/1425205/000114420411069602/v242935_ex10-1.htm" TargetMode="External"/><Relationship Id="rId145" Type="http://schemas.openxmlformats.org/officeDocument/2006/relationships/hyperlink" Target="https://www.sec.gov/Archives/edgar/data/1425205/000114420411067480/v241925_ex10-1.htm" TargetMode="External"/><Relationship Id="rId146" Type="http://schemas.openxmlformats.org/officeDocument/2006/relationships/hyperlink" Target="https://www.sec.gov/Archives/edgar/data/1425205/000151316013000040/ex102.htm" TargetMode="External"/><Relationship Id="rId147" Type="http://schemas.openxmlformats.org/officeDocument/2006/relationships/hyperlink" Target="https://www.sec.gov/Archives/edgar/data/1425205/000151316013000065/ex102.htm" TargetMode="External"/><Relationship Id="rId148" Type="http://schemas.openxmlformats.org/officeDocument/2006/relationships/hyperlink" Target="https://www.sec.gov/Archives/edgar/data/1425205/000114420415003901/v399590_ex10-1.htm" TargetMode="External"/><Relationship Id="rId149" Type="http://schemas.openxmlformats.org/officeDocument/2006/relationships/hyperlink" Target="https://www.sec.gov/Archives/edgar/data/1425205/000114420415016315/v403564_ex10-47.htm" TargetMode="External"/><Relationship Id="rId150" Type="http://schemas.openxmlformats.org/officeDocument/2006/relationships/hyperlink" Target="https://www.sec.gov/Archives/edgar/data/1425205/000114420415016315/v403564_ex10-46.htm" TargetMode="External"/><Relationship Id="rId152" Type="http://schemas.openxmlformats.org/officeDocument/2006/relationships/hyperlink" Target="https://www.sec.gov/Archives/edgar/data/1425205/000114420415063327/v423195_ex10-47.htm" TargetMode="External"/><Relationship Id="rId153" Type="http://schemas.openxmlformats.org/officeDocument/2006/relationships/hyperlink" Target="https://www.sec.gov/Archives/edgar/data/1425205/000155837021010617/iova-20210630xex10d1.htm" TargetMode="External"/><Relationship Id="rId154" Type="http://schemas.openxmlformats.org/officeDocument/2006/relationships/hyperlink" Target="https://www.sec.gov/Archives/edgar/data/1425205/000114420416106835/v441731_ex10-1.htm" TargetMode="External"/><Relationship Id="rId155" Type="http://schemas.openxmlformats.org/officeDocument/2006/relationships/hyperlink" Target="https://www.sec.gov/Archives/edgar/data/1425205/000114420416106835/v441731_ex10-2.htm" TargetMode="External"/><Relationship Id="rId156" Type="http://schemas.openxmlformats.org/officeDocument/2006/relationships/hyperlink" Target="https://www.sec.gov/Archives/edgar/data/1425205/000114420416122251/v448086_ex10-3.htm" TargetMode="External"/><Relationship Id="rId157" Type="http://schemas.openxmlformats.org/officeDocument/2006/relationships/hyperlink" Target="https://www.sec.gov/Archives/edgar/data/1425205/000114420417013535/v460270_ex10-36.htm" TargetMode="External"/><Relationship Id="rId158" Type="http://schemas.openxmlformats.org/officeDocument/2006/relationships/hyperlink" Target="https://www.sec.gov/Archives/edgar/data/1425205/000114420417040380/v471203_ex10-1.htm" TargetMode="External"/><Relationship Id="rId159" Type="http://schemas.openxmlformats.org/officeDocument/2006/relationships/hyperlink" Target="https://www.sec.gov/Archives/edgar/data/1425205/000114420418014151/tv485173_ex10-34.htm" TargetMode="External"/><Relationship Id="rId160" Type="http://schemas.openxmlformats.org/officeDocument/2006/relationships/hyperlink" Target="https://www.sec.gov/Archives/edgar/data/1425205/000114420418014151/tv485173_ex10-35.htm" TargetMode="External"/><Relationship Id="rId161" Type="http://schemas.openxmlformats.org/officeDocument/2006/relationships/hyperlink" Target="https://www.sec.gov/Archives/edgar/data/1425205/000114420416117596/v445492_ex10-3.htm" TargetMode="External"/><Relationship Id="rId162" Type="http://schemas.openxmlformats.org/officeDocument/2006/relationships/hyperlink" Target="https://www.sec.gov/Archives/edgar/data/1425205/000110465920091526/iova-20200630xex10d4.htm" TargetMode="External"/><Relationship Id="rId163" Type="http://schemas.openxmlformats.org/officeDocument/2006/relationships/hyperlink" Target="https://www.sec.gov/Archives/edgar/data/1425205/000114420418014151/tv485173_ex10-32.htm" TargetMode="External"/><Relationship Id="rId164" Type="http://schemas.openxmlformats.org/officeDocument/2006/relationships/hyperlink" Target="https://www.sec.gov/Archives/edgar/data/1425205/000114420419037248/iova-20190630ex1010a68ed.htm" TargetMode="External"/><Relationship Id="rId165" Type="http://schemas.openxmlformats.org/officeDocument/2006/relationships/hyperlink" Target="https://www.sec.gov/Archives/edgar/data/1425205/000155837021001858/iova-20201231xex10d30.htm" TargetMode="External"/><Relationship Id="rId166" Type="http://schemas.openxmlformats.org/officeDocument/2006/relationships/hyperlink" Target="https://www.sec.gov/Archives/edgar/data/1425205/000155837021006301/iova-20210331xex10d4.htm" TargetMode="External"/><Relationship Id="rId167" Type="http://schemas.openxmlformats.org/officeDocument/2006/relationships/hyperlink" Target="https://www.sec.gov/Archives/edgar/data/1425205/000114420416117275/v446243_ex10-1.htm" TargetMode="External"/><Relationship Id="rId168" Type="http://schemas.openxmlformats.org/officeDocument/2006/relationships/hyperlink" Target="https://www.sec.gov/Archives/edgar/data/1425205/000114420418055365/tv505364_ex10-1.htm" TargetMode="External"/><Relationship Id="rId169" Type="http://schemas.openxmlformats.org/officeDocument/2006/relationships/hyperlink" Target="https://www.sec.gov/Archives/edgar/data/1425205/000110465919059564/ex-10d1.htm" TargetMode="External"/><Relationship Id="rId171" Type="http://schemas.openxmlformats.org/officeDocument/2006/relationships/hyperlink" Target="https://www.sec.gov/Archives/edgar/data/1425205/000110465921016221/tm215703d2_ex10-2.htm" TargetMode="External"/><Relationship Id="rId172" Type="http://schemas.openxmlformats.org/officeDocument/2006/relationships/hyperlink" Target="https://www.sec.gov/Archives/edgar/data/1425205/000110465921016221/tm215703d2_ex10-3.htm" TargetMode="External"/><Relationship Id="rId173" Type="http://schemas.openxmlformats.org/officeDocument/2006/relationships/hyperlink" Target="https://www.sec.gov/Archives/edgar/data/1425205/000114420419029469/tv522894_ex10-1.htm" TargetMode="External"/><Relationship Id="rId174" Type="http://schemas.openxmlformats.org/officeDocument/2006/relationships/hyperlink" Target="https://www.sec.gov/Archives/edgar/data/1425205/000110465919059564/ex-10d2.htm" TargetMode="External"/><Relationship Id="rId175" Type="http://schemas.openxmlformats.org/officeDocument/2006/relationships/hyperlink" Target="https://www.sec.gov/Archives/edgar/data/1425205/000110465920091526/iova-20200630xex10d3.htm" TargetMode="External"/><Relationship Id="rId176" Type="http://schemas.openxmlformats.org/officeDocument/2006/relationships/hyperlink" Target="https://www.sec.gov/Archives/edgar/data/1425205/000155837022001976/iova-20211231xex10d46.htm" TargetMode="External"/><Relationship Id="rId177" Type="http://schemas.openxmlformats.org/officeDocument/2006/relationships/hyperlink" Target="https://www.sec.gov/Archives/edgar/data/1425205/000110465921016221/tm215703d2_ex10-1.htm" TargetMode="External"/><Relationship Id="rId178" Type="http://schemas.openxmlformats.org/officeDocument/2006/relationships/hyperlink" Target="https://www.sec.gov/Archives/edgar/data/1425205/000110465923007585/tm23459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2023-03-01T03:16:39Z</dcterms:created>
  <dcterms:modified xsi:type="dcterms:W3CDTF">2023-03-01T03:16:39Z</dcterms:modified>
</cp:coreProperties>
</file>