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35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61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BILINSKY IGOR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IOVANCE BIOTHERAPEUTICS,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825 INDUSTRIAL ROAD, SUITE 100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3"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IOVANCE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IOVA </w:t>
      </w:r>
      <w:r>
        <w:rPr>
          <w:rFonts w:ascii="Times New Roman" w:cs="Times New Roman" w:eastAsia="Times New Roman" w:hAnsi="Times New Roman"/>
          <w:sz w:val="20"/>
          <w:szCs w:val="20"/>
          <w:color w:val="000000"/>
        </w:rPr>
        <w:t>]</w:t>
      </w: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9" w:lineRule="exact"/>
        <w:rPr>
          <w:sz w:val="24"/>
          <w:szCs w:val="24"/>
          <w:color w:val="auto"/>
        </w:rPr>
      </w:pPr>
    </w:p>
    <w:p>
      <w:pPr>
        <w:sectPr>
          <w:pgSz w:w="11900" w:h="16838" w:orient="portrait"/>
          <w:cols w:equalWidth="0" w:num="3">
            <w:col w:w="3180" w:space="720"/>
            <w:col w:w="3420" w:space="407"/>
            <w:col w:w="3353"/>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117,500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03/09/2026</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117,500</w:t>
            </w: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tcPr>
          <w:p>
            <w:pPr>
              <w:ind w:left="20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0000FF"/>
              </w:rPr>
              <w:t>117,500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1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is still employed with the Issuer on the following dates, the RSUs shall vest over three years, with (i) one-third of the RSUs vesting on the one-year anniversary of the date of grant and (ii) the remaining RSUs shall vest in eight equal quarterly installments over the next two years, commencing with the first quarter following the first anniversary of the date of grant.</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Igor Bilinsky</w:t>
            </w:r>
          </w:p>
        </w:tc>
        <w:tc>
          <w:tcPr>
            <w:tcW w:w="11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03/11/2026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4604" TargetMode="External"/><Relationship Id="rId14" Type="http://schemas.openxmlformats.org/officeDocument/2006/relationships/hyperlink" Target="http://www.sec.gov/cgi-bin/browse-edgar?action=getcompany&amp;CIK=0001425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2026-03-11T16:18:45Z</dcterms:created>
  <dcterms:modified xsi:type="dcterms:W3CDTF">2026-03-11T16:18:45Z</dcterms:modified>
</cp:coreProperties>
</file>