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2018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3560" w:right="2060" w:hanging="3552"/>
        <w:spacing w:after="0" w:line="501" w:lineRule="auto"/>
        <w:tabs>
          <w:tab w:leader="none" w:pos="6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transaction period from __________ to __________</w:t>
      </w: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001-36860</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6920" w:type="dxa"/>
            <w:vAlign w:val="bottom"/>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75-3254381</w:t>
            </w:r>
          </w:p>
        </w:tc>
      </w:tr>
      <w:tr>
        <w:trPr>
          <w:trHeight w:val="216"/>
        </w:trPr>
        <w:tc>
          <w:tcPr>
            <w:tcW w:w="6920" w:type="dxa"/>
            <w:vAlign w:val="bottom"/>
          </w:tcPr>
          <w:p>
            <w:pPr>
              <w:jc w:val="center"/>
              <w:ind w:right="28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92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692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9"/>
              </w:rPr>
              <w:t>999 Skyway Road, Suite 150, San Carlos, California</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4"/>
        </w:trPr>
        <w:tc>
          <w:tcPr>
            <w:tcW w:w="6920" w:type="dxa"/>
            <w:vAlign w:val="bottom"/>
          </w:tcPr>
          <w:p>
            <w:pPr>
              <w:jc w:val="center"/>
              <w:ind w:right="2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92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(650) 260-7120</w:t>
            </w:r>
          </w:p>
        </w:tc>
        <w:tc>
          <w:tcPr>
            <w:tcW w:w="1440" w:type="dxa"/>
            <w:vAlign w:val="bottom"/>
          </w:tcPr>
          <w:p>
            <w:pPr>
              <w:spacing w:after="0"/>
              <w:rPr>
                <w:sz w:val="24"/>
                <w:szCs w:val="24"/>
                <w:color w:val="auto"/>
              </w:rPr>
            </w:pPr>
          </w:p>
        </w:tc>
      </w:tr>
      <w:tr>
        <w:trPr>
          <w:trHeight w:val="234"/>
        </w:trPr>
        <w:tc>
          <w:tcPr>
            <w:tcW w:w="6920" w:type="dxa"/>
            <w:vAlign w:val="bottom"/>
          </w:tcPr>
          <w:p>
            <w:pPr>
              <w:jc w:val="center"/>
              <w:ind w:left="265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144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44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198"/>
        </w:trPr>
        <w:tc>
          <w:tcPr>
            <w:tcW w:w="1260" w:type="dxa"/>
            <w:vAlign w:val="bottom"/>
          </w:tcPr>
          <w:p>
            <w:pPr>
              <w:spacing w:after="0"/>
              <w:rPr>
                <w:sz w:val="17"/>
                <w:szCs w:val="17"/>
                <w:color w:val="auto"/>
              </w:rPr>
            </w:pPr>
          </w:p>
        </w:tc>
        <w:tc>
          <w:tcPr>
            <w:tcW w:w="4040" w:type="dxa"/>
            <w:vAlign w:val="bottom"/>
            <w:gridSpan w:val="2"/>
          </w:tcPr>
          <w:p>
            <w:pPr>
              <w:jc w:val="center"/>
              <w:ind w:right="2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560" w:type="dxa"/>
            <w:vAlign w:val="bottom"/>
          </w:tcPr>
          <w:p>
            <w:pPr>
              <w:spacing w:after="0"/>
              <w:rPr>
                <w:sz w:val="17"/>
                <w:szCs w:val="17"/>
                <w:color w:val="auto"/>
              </w:rPr>
            </w:pPr>
          </w:p>
        </w:tc>
        <w:tc>
          <w:tcPr>
            <w:tcW w:w="188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 xml:space="preserve">Common Stock, $ </w:t>
            </w:r>
            <w:r>
              <w:rPr>
                <w:rFonts w:ascii="Times New Roman" w:cs="Times New Roman" w:eastAsia="Times New Roman" w:hAnsi="Times New Roman"/>
                <w:sz w:val="18"/>
                <w:szCs w:val="18"/>
                <w:color w:val="auto"/>
                <w:w w:val="99"/>
              </w:rPr>
              <w:t>0.000041666</w:t>
            </w:r>
            <w:r>
              <w:rPr>
                <w:rFonts w:ascii="Times New Roman" w:cs="Times New Roman" w:eastAsia="Times New Roman" w:hAnsi="Times New Roman"/>
                <w:sz w:val="18"/>
                <w:szCs w:val="18"/>
                <w:b w:val="1"/>
                <w:bCs w:val="1"/>
                <w:color w:val="auto"/>
                <w:w w:val="99"/>
              </w:rPr>
              <w:t xml:space="preserve"> Par Value per Share</w:t>
            </w:r>
          </w:p>
        </w:tc>
        <w:tc>
          <w:tcPr>
            <w:tcW w:w="344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14" w:right="239" w:bottom="0" w:gutter="0" w:footer="0" w:header="0"/>
        </w:sectPr>
      </w:pPr>
    </w:p>
    <w:p>
      <w:pPr>
        <w:spacing w:after="0" w:line="176" w:lineRule="exact"/>
        <w:rPr>
          <w:sz w:val="24"/>
          <w:szCs w:val="24"/>
          <w:color w:val="auto"/>
        </w:rPr>
      </w:pPr>
    </w:p>
    <w:p>
      <w:pPr>
        <w:ind w:left="180"/>
        <w:spacing w:after="0" w:line="313"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þ</w:t>
      </w:r>
    </w:p>
    <w:p>
      <w:pPr>
        <w:spacing w:after="0" w:line="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1780" w:space="140"/>
            <w:col w:w="4440" w:space="720"/>
            <w:col w:w="4340"/>
          </w:cols>
          <w:pgMar w:left="240" w:top="914" w:right="239" w:bottom="0" w:gutter="0" w:footer="0" w:header="0"/>
          <w:type w:val="continuous"/>
        </w:sectPr>
      </w:pPr>
    </w:p>
    <w:p>
      <w:pPr>
        <w:spacing w:after="0" w:line="17"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held by non-affiliates on June 30, 2018, the last business day of the registrant’s most recently completed second fiscal quarter, was $1,125,017,562. Shares of common stock held by directors and executive officers and any ten percent or greater stockholders and their respective affiliates have been excluded from this calculation, because such stockholders may be deemed to be "affiliates" of the</w:t>
      </w:r>
    </w:p>
    <w:p>
      <w:pPr>
        <w:sectPr>
          <w:pgSz w:w="11900" w:h="16838" w:orient="portrait"/>
          <w:cols w:equalWidth="0" w:num="1">
            <w:col w:w="11420"/>
          </w:cols>
          <w:pgMar w:left="240" w:top="914" w:right="239" w:bottom="0" w:gutter="0" w:footer="0" w:header="0"/>
          <w:type w:val="continuous"/>
        </w:sectPr>
      </w:pPr>
    </w:p>
    <w:bookmarkStart w:id="1" w:name="page2"/>
    <w:bookmarkEnd w:id="1"/>
    <w:p>
      <w:pPr>
        <w:ind w:right="660"/>
        <w:spacing w:after="0" w:line="282" w:lineRule="auto"/>
        <w:rPr>
          <w:sz w:val="20"/>
          <w:szCs w:val="20"/>
          <w:color w:val="auto"/>
        </w:rPr>
      </w:pPr>
      <w:r>
        <w:rPr>
          <w:rFonts w:ascii="Times New Roman" w:cs="Times New Roman" w:eastAsia="Times New Roman" w:hAnsi="Times New Roman"/>
          <w:sz w:val="18"/>
          <w:szCs w:val="18"/>
          <w:color w:val="auto"/>
        </w:rPr>
        <w:t>Registrant. This is not necessarily determinative of affiliate status of other purposes. As of February 13, 2019, there were 123,420,091 shares of the registrant’s common stock outstanding.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registrant’s proxy statement relating to registrant’s 2019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0" w:type="dxa"/>
            <w:vAlign w:val="bottom"/>
            <w:gridSpan w:val="8"/>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7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Item 1.</w:t>
              </w:r>
            </w:hyperlink>
          </w:p>
        </w:tc>
        <w:tc>
          <w:tcPr>
            <w:tcW w:w="620" w:type="dxa"/>
            <w:vAlign w:val="bottom"/>
            <w:tcBorders>
              <w:top w:val="single" w:sz="8" w:color="CCEEFF"/>
            </w:tcBorders>
            <w:gridSpan w:val="5"/>
          </w:tcPr>
          <w:p>
            <w:pPr>
              <w:spacing w:after="0"/>
              <w:rPr>
                <w:sz w:val="15"/>
                <w:szCs w:val="15"/>
                <w:color w:val="auto"/>
              </w:rPr>
            </w:pPr>
          </w:p>
        </w:tc>
        <w:tc>
          <w:tcPr>
            <w:tcW w:w="9120" w:type="dxa"/>
            <w:vAlign w:val="bottom"/>
            <w:tcBorders>
              <w:top w:val="single" w:sz="8" w:color="CCEEFF"/>
            </w:tcBorders>
            <w:gridSpan w:val="22"/>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Business</w:t>
              </w:r>
            </w:hyperlink>
          </w:p>
        </w:tc>
        <w:tc>
          <w:tcPr>
            <w:tcW w:w="1140" w:type="dxa"/>
            <w:vAlign w:val="bottom"/>
            <w:tcBorders>
              <w:top w:val="single" w:sz="8" w:color="CCEEFF"/>
            </w:tcBorders>
            <w:gridSpan w:val="3"/>
          </w:tcPr>
          <w:p>
            <w:pPr>
              <w:jc w:val="right"/>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Item 1A.</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Risk Factors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4"/>
          </w:tcPr>
          <w:p>
            <w:pPr>
              <w:spacing w:after="0" w:line="176" w:lineRule="exact"/>
              <w:rPr>
                <w:rFonts w:ascii="Times New Roman" w:cs="Times New Roman" w:eastAsia="Times New Roman" w:hAnsi="Times New Roman"/>
                <w:sz w:val="18"/>
                <w:szCs w:val="18"/>
                <w:color w:val="0000EE"/>
                <w:w w:val="95"/>
              </w:rPr>
            </w:pPr>
            <w:hyperlink w:anchor="page63">
              <w:r>
                <w:rPr>
                  <w:rFonts w:ascii="Times New Roman" w:cs="Times New Roman" w:eastAsia="Times New Roman" w:hAnsi="Times New Roman"/>
                  <w:sz w:val="18"/>
                  <w:szCs w:val="18"/>
                  <w:color w:val="0000EE"/>
                  <w:w w:val="95"/>
                </w:rPr>
                <w:t>Item 1B.</w:t>
              </w:r>
            </w:hyperlink>
          </w:p>
        </w:tc>
        <w:tc>
          <w:tcPr>
            <w:tcW w:w="520" w:type="dxa"/>
            <w:vAlign w:val="bottom"/>
            <w:gridSpan w:val="3"/>
          </w:tcPr>
          <w:p>
            <w:pPr>
              <w:spacing w:after="0"/>
              <w:rPr>
                <w:sz w:val="15"/>
                <w:szCs w:val="15"/>
                <w:color w:val="auto"/>
              </w:rPr>
            </w:pPr>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Unresolved Staff Comments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3">
              <w:r>
                <w:rPr>
                  <w:rFonts w:ascii="Times New Roman" w:cs="Times New Roman" w:eastAsia="Times New Roman" w:hAnsi="Times New Roman"/>
                  <w:sz w:val="18"/>
                  <w:szCs w:val="18"/>
                  <w:color w:val="0000EE"/>
                  <w:w w:val="94"/>
                </w:rPr>
                <w:t>Item 2.</w:t>
              </w:r>
            </w:hyperlink>
          </w:p>
        </w:tc>
        <w:tc>
          <w:tcPr>
            <w:tcW w:w="640" w:type="dxa"/>
            <w:vAlign w:val="bottom"/>
            <w:gridSpan w:val="6"/>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Properties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Item 3.</w:t>
              </w:r>
            </w:hyperlink>
          </w:p>
        </w:tc>
        <w:tc>
          <w:tcPr>
            <w:tcW w:w="640" w:type="dxa"/>
            <w:vAlign w:val="bottom"/>
            <w:gridSpan w:val="6"/>
          </w:tcPr>
          <w:p>
            <w:pPr>
              <w:spacing w:after="0"/>
              <w:rPr>
                <w:sz w:val="15"/>
                <w:szCs w:val="15"/>
                <w:color w:val="auto"/>
              </w:rPr>
            </w:pPr>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Legal Proceedings.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4.</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5.</w:t>
              </w:r>
            </w:hyperlink>
          </w:p>
        </w:tc>
        <w:tc>
          <w:tcPr>
            <w:tcW w:w="560" w:type="dxa"/>
            <w:vAlign w:val="bottom"/>
            <w:tcBorders>
              <w:top w:val="single" w:sz="8" w:color="CCEEFF"/>
            </w:tcBorders>
            <w:gridSpan w:val="4"/>
          </w:tcPr>
          <w:p>
            <w:pPr>
              <w:spacing w:after="0"/>
              <w:rPr>
                <w:sz w:val="15"/>
                <w:szCs w:val="15"/>
                <w:color w:val="auto"/>
              </w:rPr>
            </w:pPr>
          </w:p>
        </w:tc>
        <w:tc>
          <w:tcPr>
            <w:tcW w:w="9120" w:type="dxa"/>
            <w:vAlign w:val="bottom"/>
            <w:tcBorders>
              <w:top w:val="single" w:sz="8" w:color="CCEEFF"/>
            </w:tcBorders>
            <w:gridSpan w:val="22"/>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Market for Common Equity, Related Stockholder Matters and Issuer Purchases of Equity Securities</w:t>
              </w:r>
            </w:hyperlink>
          </w:p>
        </w:tc>
        <w:tc>
          <w:tcPr>
            <w:tcW w:w="1140" w:type="dxa"/>
            <w:vAlign w:val="bottom"/>
            <w:tcBorders>
              <w:top w:val="single" w:sz="8" w:color="CCEEFF"/>
            </w:tcBorders>
            <w:gridSpan w:val="3"/>
          </w:tcPr>
          <w:p>
            <w:pPr>
              <w:jc w:val="right"/>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7">
              <w:r>
                <w:rPr>
                  <w:rFonts w:ascii="Times New Roman" w:cs="Times New Roman" w:eastAsia="Times New Roman" w:hAnsi="Times New Roman"/>
                  <w:sz w:val="18"/>
                  <w:szCs w:val="18"/>
                  <w:color w:val="0000EE"/>
                  <w:w w:val="94"/>
                </w:rPr>
                <w:t>Item 6.</w:t>
              </w:r>
            </w:hyperlink>
          </w:p>
        </w:tc>
        <w:tc>
          <w:tcPr>
            <w:tcW w:w="640" w:type="dxa"/>
            <w:vAlign w:val="bottom"/>
            <w:gridSpan w:val="6"/>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Selected Financial Data</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Pr>
          <w:p>
            <w:pPr>
              <w:spacing w:after="0" w:line="176" w:lineRule="exact"/>
              <w:rPr>
                <w:rFonts w:ascii="Times New Roman" w:cs="Times New Roman" w:eastAsia="Times New Roman" w:hAnsi="Times New Roman"/>
                <w:sz w:val="18"/>
                <w:szCs w:val="18"/>
                <w:color w:val="0000EE"/>
                <w:w w:val="94"/>
              </w:rPr>
            </w:pPr>
            <w:hyperlink w:anchor="page67">
              <w:r>
                <w:rPr>
                  <w:rFonts w:ascii="Times New Roman" w:cs="Times New Roman" w:eastAsia="Times New Roman" w:hAnsi="Times New Roman"/>
                  <w:sz w:val="18"/>
                  <w:szCs w:val="18"/>
                  <w:color w:val="0000EE"/>
                  <w:w w:val="94"/>
                </w:rPr>
                <w:t>Item 7.</w:t>
              </w:r>
            </w:hyperlink>
          </w:p>
        </w:tc>
        <w:tc>
          <w:tcPr>
            <w:tcW w:w="640" w:type="dxa"/>
            <w:vAlign w:val="bottom"/>
            <w:gridSpan w:val="6"/>
          </w:tcPr>
          <w:p>
            <w:pPr>
              <w:spacing w:after="0"/>
              <w:rPr>
                <w:sz w:val="15"/>
                <w:szCs w:val="15"/>
                <w:color w:val="auto"/>
              </w:rPr>
            </w:pPr>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7A.</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Quantitative and Qualitative Disclosures About Market Risk</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8.</w:t>
              </w:r>
            </w:hyperlink>
          </w:p>
        </w:tc>
        <w:tc>
          <w:tcPr>
            <w:tcW w:w="520" w:type="dxa"/>
            <w:vAlign w:val="bottom"/>
            <w:tcBorders>
              <w:top w:val="single" w:sz="8" w:color="CCEEFF"/>
            </w:tcBorders>
            <w:gridSpan w:val="3"/>
          </w:tcPr>
          <w:p>
            <w:pPr>
              <w:spacing w:after="0"/>
              <w:rPr>
                <w:sz w:val="15"/>
                <w:szCs w:val="15"/>
                <w:color w:val="auto"/>
              </w:rPr>
            </w:pPr>
          </w:p>
        </w:tc>
        <w:tc>
          <w:tcPr>
            <w:tcW w:w="4360" w:type="dxa"/>
            <w:vAlign w:val="bottom"/>
            <w:tcBorders>
              <w:top w:val="single" w:sz="8" w:color="0000EE"/>
            </w:tcBorders>
            <w:gridSpan w:val="16"/>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Financial Statements and Supplementary Data</w:t>
              </w:r>
            </w:hyperlink>
          </w:p>
        </w:tc>
        <w:tc>
          <w:tcPr>
            <w:tcW w:w="4760" w:type="dxa"/>
            <w:vAlign w:val="bottom"/>
            <w:tcBorders>
              <w:top w:val="single" w:sz="8" w:color="CCEEFF"/>
            </w:tcBorders>
            <w:gridSpan w:val="6"/>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74">
              <w:r>
                <w:rPr>
                  <w:rFonts w:ascii="Times New Roman" w:cs="Times New Roman" w:eastAsia="Times New Roman" w:hAnsi="Times New Roman"/>
                  <w:sz w:val="18"/>
                  <w:szCs w:val="18"/>
                  <w:color w:val="0000EE"/>
                  <w:w w:val="94"/>
                </w:rPr>
                <w:t>Item 9.</w:t>
              </w:r>
            </w:hyperlink>
          </w:p>
        </w:tc>
        <w:tc>
          <w:tcPr>
            <w:tcW w:w="640" w:type="dxa"/>
            <w:vAlign w:val="bottom"/>
            <w:tcBorders>
              <w:bottom w:val="single" w:sz="8" w:color="CCEEFF"/>
            </w:tcBorders>
            <w:gridSpan w:val="6"/>
            <w:shd w:val="clear" w:color="auto" w:fill="CCEEFF"/>
          </w:tcPr>
          <w:p>
            <w:pPr>
              <w:spacing w:after="0"/>
              <w:rPr>
                <w:sz w:val="17"/>
                <w:szCs w:val="17"/>
                <w:color w:val="auto"/>
              </w:rPr>
            </w:pPr>
          </w:p>
        </w:tc>
        <w:tc>
          <w:tcPr>
            <w:tcW w:w="64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40" w:type="dxa"/>
            <w:vAlign w:val="bottom"/>
            <w:tcBorders>
              <w:bottom w:val="single" w:sz="8" w:color="CCEEFF"/>
            </w:tcBorders>
            <w:gridSpan w:val="3"/>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7"/>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9A.</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Controls and Procedures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Item 9B.</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Other Information</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10.</w:t>
              </w:r>
            </w:hyperlink>
          </w:p>
        </w:tc>
        <w:tc>
          <w:tcPr>
            <w:tcW w:w="500" w:type="dxa"/>
            <w:vAlign w:val="bottom"/>
            <w:tcBorders>
              <w:top w:val="single" w:sz="8" w:color="CCEEFF"/>
            </w:tcBorders>
            <w:gridSpan w:val="2"/>
          </w:tcPr>
          <w:p>
            <w:pPr>
              <w:spacing w:after="0"/>
              <w:rPr>
                <w:sz w:val="15"/>
                <w:szCs w:val="15"/>
                <w:color w:val="auto"/>
              </w:rPr>
            </w:pPr>
          </w:p>
        </w:tc>
        <w:tc>
          <w:tcPr>
            <w:tcW w:w="9120" w:type="dxa"/>
            <w:vAlign w:val="bottom"/>
            <w:tcBorders>
              <w:top w:val="single" w:sz="8" w:color="CCEEFF"/>
            </w:tcBorders>
            <w:gridSpan w:val="22"/>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Directors, Executive Officers and Corporate Governance</w:t>
              </w:r>
            </w:hyperlink>
          </w:p>
        </w:tc>
        <w:tc>
          <w:tcPr>
            <w:tcW w:w="1140" w:type="dxa"/>
            <w:vAlign w:val="bottom"/>
            <w:tcBorders>
              <w:top w:val="single" w:sz="8" w:color="CCEEFF"/>
            </w:tcBorders>
            <w:gridSpan w:val="3"/>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11.</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Executive Compensation</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12.</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13.</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Certain Relationships and Related Transactions, and Director Independence.</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14.</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Principal Accounting Fees and Services.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PART IV</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15.</w:t>
              </w:r>
            </w:hyperlink>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Exhibits, Financial Statements Schedules.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7"/>
          </w:tcPr>
          <w:p>
            <w:pPr>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Item 16.</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10-K Summary.</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76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top w:val="single" w:sz="8" w:color="0000EE"/>
              <w:bottom w:val="single" w:sz="8" w:color="auto"/>
            </w:tcBorders>
            <w:gridSpan w:val="4"/>
          </w:tcPr>
          <w:p>
            <w:pPr>
              <w:spacing w:after="0"/>
              <w:rPr>
                <w:sz w:val="24"/>
                <w:szCs w:val="24"/>
                <w:color w:val="auto"/>
              </w:rPr>
            </w:pPr>
          </w:p>
        </w:tc>
        <w:tc>
          <w:tcPr>
            <w:tcW w:w="4360" w:type="dxa"/>
            <w:vAlign w:val="bottom"/>
            <w:tcBorders>
              <w:bottom w:val="single" w:sz="8" w:color="auto"/>
            </w:tcBorders>
            <w:gridSpan w:val="13"/>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“could,” “would,” “should,” “expect,” “intend,” “plan,” “anticipate,” “believe,” “estimate,” “predict,” “project,” “aim,” “potential,” “continue,” “ongoing,” “goal,” or the negative of these terms or other similar expressions, although not all forward-looking statements contain these words.</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spacing w:after="0" w:line="18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enrollment, and timing of our clinical trials;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660" w:right="58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manufactures to continue to manufacture tumor infiltrating lymphocytes, or TIL, in accordance with our selected process;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construct and staff our own manufacturing facility on a timely basis and within the estimated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(“FDA”) or other regulatory authority approval of, or other action with respect to,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ind w:left="660" w:right="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other research and development and strategic collaborations;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manufacturing methods and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results may differ from those set forth in this Annual Report on Form 10-K due to the risks and uncertainties inherent in the Company’s business, including, without limitation: the FDA may not agree with the Company’s interpretation of the results of its clinical trials; later developments with the FDA that may be inconsistent with already completed FDA meetings; the preliminary clinical results, including efficacy and safety results, from ongoing Phase 2 may not be reflected in the final analyses of these trials including new cohorts within these trials; the results obtained in the Company’s ongoing clinical trials, such as the studies and trials referred to in this 10-K, may not be indicative of results obtained in future clinical trials or supportive of product approval; regulatory authorities may potentially delay the timing of FDA or other regulatory authority approval of, or other action with respect to, the Company’s product candidates (specifically, the Company’s description of FDA interactions are subject to FDA’s interpretation, as well as FDA’s authority to request new or additional information); the Company may not be able to obtain or maintain FDA or other regulatory authority approval of its product candidates; the Company’s ability to address FDA or other regulatory authority requirements relating to its clinical programs and registrational plans, such requirements including, but not limited to, clinical and safety requirements as well as manufacturing and control requirements; risks related to the Company’s accelerated FDA review designations; the ability of the Company to obtain and maintain intellectual property rights relating to its product pipeline; and the acceptance by the market of the Company’s product candidates and their potential reimbursement by payors, if approved.</w:t>
      </w:r>
    </w:p>
    <w:p>
      <w:pPr>
        <w:spacing w:after="0" w:line="1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requires otherwise, in this report the terms “Iovance,” the “Company,” “we,” “us” and “our” refer to Iovance Biotherapeutics,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cancer immunotherapy products designed to harness the power of a patient’s own immune system to eradicate cancer cells. Tumor infiltrating lymphocyte, or TIL, therapy is a platform technology that has already been studied for the treatment of metastatic melanoma and metastatic cervical cancer and other solid tumors by the National Cancer Institute, or NCI. Our lead product candidate, lifileucel for metastatic melanoma, previously known as LN-144, is an autologous adoptive cell therapy utilizing TIL, which are T cells derived from patients’ tumors. We are also developing a second product candidate, an autologous adoptive cell therapy utilizing TIL for the treatment of cancers other than metastatic melanoma, which is known as LN-145. We are investigating the effectiveness and safety of TIL therapy for the treatment of metastatic melanoma, squamous cell carcinoma of the head and neck, cervical cancer and metastatic non-small cell lung cancer through company sponsored trials, as well as for other oncology indications in investigator-sponsored trials. Our sponsored clinical trials and our investigator-sponsor clinical trials are described in more detail below.</w:t>
      </w:r>
    </w:p>
    <w:p>
      <w:pPr>
        <w:spacing w:after="0" w:line="18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We have an on-going Phase 2 clinical trial, C-144-01, of our lead product candidate, lifileucel, for the treatment of metastatic melanoma. This multicenter trial is enrolling patients with melanoma whose disease has progressed following treatment with at least one systemic therapy, including a PD-1 inhibitor and if BRAF mutated, a BRAF, or BRAF/MEK inhibitor (National Clinical Trial identification number NCT02360579). The purpose of the trial is to evaluate the efficacy and safety of lifileucel. The C-144-01 trial uses our proprietary Generation 2, or Gen 2, manufacturing process. We completed and closed Cohort 2 in this trial in 2018, and a new single-arm registrational cohort, Cohort 4, of this trial began enrollment in early 2019.</w:t>
      </w:r>
    </w:p>
    <w:p>
      <w:pPr>
        <w:spacing w:after="0" w:line="184"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In addition to our ongoing trial in metastatic melanoma, we have initiated clinical trials of LN-145, TIL therapy in cervical, head and neck, and other cancers. C-145-04 is an ongoing Phase 2, multicenter trial that will assess the safety and efficacy of LN-145 for the treatment of patients with recurrent, metastatic or persistent cervical cancer (NCT03108495). C-145-03 is an ongoing Phase 2, multicenter trial that will enroll up to 47 patients and will assess the safety and efficacy of LN-145 for the treatment of patients with recurrent metastatic squamous cell carcinoma of the head and neck (NCT03083873).</w:t>
      </w:r>
    </w:p>
    <w:p>
      <w:pPr>
        <w:spacing w:after="0" w:line="180" w:lineRule="exact"/>
        <w:rPr>
          <w:sz w:val="20"/>
          <w:szCs w:val="20"/>
          <w:color w:val="auto"/>
        </w:rPr>
      </w:pPr>
    </w:p>
    <w:p>
      <w:pPr>
        <w:ind w:right="120" w:firstLine="492"/>
        <w:spacing w:after="0" w:line="255" w:lineRule="auto"/>
        <w:rPr>
          <w:sz w:val="20"/>
          <w:szCs w:val="20"/>
          <w:color w:val="auto"/>
        </w:rPr>
      </w:pPr>
      <w:r>
        <w:rPr>
          <w:rFonts w:ascii="Times New Roman" w:cs="Times New Roman" w:eastAsia="Times New Roman" w:hAnsi="Times New Roman"/>
          <w:sz w:val="18"/>
          <w:szCs w:val="18"/>
          <w:color w:val="auto"/>
        </w:rPr>
        <w:t>We are investigating the potential of our TIL therapies in earlier lines of treatment. IOV-COM-202 is a Phase 2, multicenter trial that is composed of three cohorts to enroll up to a total of 36 patients. In Cohort 1, we intend to enroll advanced unresectable or metastatic melanoma patients who have not received prior immunotherapy including checkpoint inhibitors such as anti-PD-1/anti-PD-L1 therapy. The patients will receive lifileucel in combination with pembrolizumab. In Cohort 2, we intend to enroll advanced head and neck squamous cell carcinoma patients who are also naïve to prior immunotherapy including anti-PD-1/anti-PD-L1 therapy. The patients will receive LN-145 in combination with pembrolizumab. In Cohort 3, we intend to enroll non-small cell lung cancer patients who have previously received systemic therapy which could include checkpoint inhibitors. This trial is open for patient enrollment (NCT03645928).</w:t>
      </w:r>
    </w:p>
    <w:p>
      <w:pPr>
        <w:spacing w:after="0" w:line="189" w:lineRule="exact"/>
        <w:rPr>
          <w:sz w:val="20"/>
          <w:szCs w:val="20"/>
          <w:color w:val="auto"/>
        </w:rPr>
      </w:pPr>
    </w:p>
    <w:p>
      <w:pPr>
        <w:ind w:right="80" w:firstLine="495"/>
        <w:spacing w:after="0" w:line="255" w:lineRule="auto"/>
        <w:rPr>
          <w:sz w:val="20"/>
          <w:szCs w:val="20"/>
          <w:color w:val="auto"/>
        </w:rPr>
      </w:pPr>
      <w:r>
        <w:rPr>
          <w:rFonts w:ascii="Times New Roman" w:cs="Times New Roman" w:eastAsia="Times New Roman" w:hAnsi="Times New Roman"/>
          <w:sz w:val="18"/>
          <w:szCs w:val="18"/>
          <w:color w:val="auto"/>
        </w:rPr>
        <w:t>We are also investigating TIL therapy in non-small cell lung cancer, or NSCLC, in combination with anti-PD-L1 therapy. We have initiated a trial, IOV-LUN-201, in anti-PD-1/ PD-L1 naïve patients for the treatment of patients with a combination of LN-145 and durvalumab (NCT03419559). This trial was initiated in the first half of 2018 and is a collaboration with MedImmune, the global biologics research and development arm of AstraZeneca. In addition to this trial, we have financially sponsored an investigator-sponsored trial in NSCLC in collaboration with the H. Lee Moffitt Cancer Center and Research Institute, or Moffitt, Stand Up To Cancer, and others evaluating the combination of TIL therapy and nivolumab (NCT03215810). Patients who are treatment naïve to prior anti-PD-1/ PD-L1 therapy with stage IV or recurrent NSCLC are being enrolled in this trial. Patients receive the TIL product if they do not respond to treatment with nivolumab. The TIL product is manufactured by Moffitt for this trial. Patient dosing began in the fourth quarter of 2017, and preliminary results from the Moffitt trial were presented at the World Conference on Lung Cancer in September 2018.</w:t>
      </w:r>
    </w:p>
    <w:p>
      <w:pPr>
        <w:spacing w:after="0" w:line="185"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8"/>
          <w:szCs w:val="18"/>
          <w:color w:val="auto"/>
        </w:rPr>
        <w:t>As part of our collaboration program with the MD Anderson Cancer Center, or MDACC, two new Phase 2 trials were initiated in 2018. The first trial, 2017-0672 (NCT03449108), is intended to allow for investigation of LN-145 manufactured by us using our Gen 2 manufacturing process to treat patients with soft tissue sarcoma, osteosarcoma and platinum resistant ovarian cancer. A second trial under the collaboration with MDACC is now active as well (NCT03610490). This trial will use TIL manufactured by MDACC using urelumab as part of the manufacturing process. Both trials are sponsored by MDACC.</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product candidate pipeline and selected investigator-sponsored proof-of-concept studies are summarized in the graph below: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826135</wp:posOffset>
            </wp:positionH>
            <wp:positionV relativeFrom="page">
              <wp:posOffset>586105</wp:posOffset>
            </wp:positionV>
            <wp:extent cx="5917565" cy="26244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9175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80" w:firstLine="492"/>
        <w:spacing w:after="0" w:line="266" w:lineRule="auto"/>
        <w:rPr>
          <w:sz w:val="20"/>
          <w:szCs w:val="20"/>
          <w:color w:val="auto"/>
        </w:rPr>
      </w:pPr>
      <w:r>
        <w:rPr>
          <w:rFonts w:ascii="Times New Roman" w:cs="Times New Roman" w:eastAsia="Times New Roman" w:hAnsi="Times New Roman"/>
          <w:sz w:val="18"/>
          <w:szCs w:val="18"/>
          <w:color w:val="auto"/>
        </w:rPr>
        <w:t>For the two investigator-sponsored trials listed in our pipeline graph above, MDACC is the sponsor. For one of the studies, NCT03610490, MDACC uses its own manufacturing process, referred to here as MDACC TIL. The data obtained using this manufacturing process may not be representative of our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Developments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2018, we reported several significant events, including the following: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Clinical</w:t>
      </w:r>
    </w:p>
    <w:p>
      <w:pPr>
        <w:spacing w:after="0" w:line="27" w:lineRule="exact"/>
        <w:rPr>
          <w:sz w:val="20"/>
          <w:szCs w:val="20"/>
          <w:color w:val="auto"/>
        </w:rPr>
      </w:pPr>
    </w:p>
    <w:p>
      <w:pPr>
        <w:ind w:left="1300" w:right="24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Cohort 2 of our global Phase 2 lifileucel metastatic melanoma clinical trial, C-144-01, reached full enrollment in late 2018 and was therefore closed for further enrollment.</w:t>
      </w:r>
    </w:p>
    <w:p>
      <w:pPr>
        <w:ind w:left="1300" w:right="2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new data from Cohort 2 of the C-144-01 clinical trial in a poster and as an oral presentation at the Society for Immunotherapy of Cancer, or SITC, 33rd Annual Meeting in Washington, D.C. on November 7-11, 2018. The presentation included interim analysis of 47 consecutively dosed patients with an objective response rate, or ORR, of 38%, with a median duration of response, or DOR, as of the date of the data extract, of 6.4 months and range of 1.3+ to 14+ months. The ORR includes one complete response and 17 partial responses. Patients in Cohort 2 had a mean of 3.3 prior systemic therapies and all the patients had received anti-PD-1 immunotherapy. The most common treatment emergent adverse events observed in Cohort 2 to date include chills, febrile neutropenia, anemia, decreased platelet count, pyrexia, and hypophosphataemia. Two grade 5 events were reported, one not related to TIL therapy and one possibly related to TIL therapy.</w:t>
      </w:r>
    </w:p>
    <w:p>
      <w:pPr>
        <w:spacing w:after="0" w:line="3"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patient dosing in our C-145-04 clinical trial for cervical cancer. We dosed our first patient in Europe in this trial. This design is based on a Simon’s two-stage design. The first stage has been completed and enrollment in the trial continues with target enrollment of 47. The preliminary data from the trial for 15 patients was an ORR of 27% with a DOR ranging from 2.4 to 2.5+ months. Patients in the trial had a median of five prior therapies. The safety findings from this trial remain consistent with previous reports. The most common treatment emergent adverse events observed to date include chills, pyrexia, anemia, hypotension, platelet count decrease, and vomiting. The protocol for this trial has been amended to limit the number of prior therapies to no more than three and to exclude patients who have been treated with prior immunotherapy, and to use Gen 2 TIL manufacturing. We anticipate providing an update on this trial in 2019.</w:t>
      </w:r>
    </w:p>
    <w:p>
      <w:pPr>
        <w:spacing w:after="0" w:line="3"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C-145-03 clinical trial for head and neck cancer, to date, preliminary data for 13 patients was an ORR of 31%, with 4 partial responses, with the DOR ranging from 2.8 to 7.6 months. Patients in the trial had a median of three prior therapies. The safety findings from this trial are also consistent with previous reports. The protocol for this trial has been amended to use Gen 2 TIL manufacturing. The most common treatment emergent adverse events observed to date include chills, hypotension, pyrexia, hyponatremia, and anemia.</w:t>
      </w:r>
    </w:p>
    <w:p>
      <w:pPr>
        <w:spacing w:after="0" w:line="1" w:lineRule="exact"/>
        <w:rPr>
          <w:rFonts w:ascii="Times New Roman" w:cs="Times New Roman" w:eastAsia="Times New Roman" w:hAnsi="Times New Roman"/>
          <w:sz w:val="18"/>
          <w:szCs w:val="18"/>
          <w:color w:val="auto"/>
        </w:rPr>
      </w:pPr>
    </w:p>
    <w:p>
      <w:pPr>
        <w:ind w:left="1300" w:right="6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amended the protocol for our clinical trial in NSCLC in collaboration with MedImmune, IOV-LUN-201, to eliminate the TIL monotherapy cohort. Patients will now be enrolled for treatment with LN-145 and durvalumab. There are currently nine sites active for this trial.</w:t>
      </w:r>
    </w:p>
    <w:p>
      <w:pPr>
        <w:spacing w:after="0" w:line="1" w:lineRule="exact"/>
        <w:rPr>
          <w:rFonts w:ascii="Times New Roman" w:cs="Times New Roman" w:eastAsia="Times New Roman" w:hAnsi="Times New Roman"/>
          <w:sz w:val="18"/>
          <w:szCs w:val="18"/>
          <w:color w:val="auto"/>
        </w:rPr>
      </w:pPr>
    </w:p>
    <w:p>
      <w:pPr>
        <w:ind w:left="1300" w:right="180" w:hanging="320"/>
        <w:spacing w:after="0" w:line="250"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 in PD-1 naïve melanoma and head and neck patients with TIL therapy in combination with pembrolizumab, and LN-145 as monotherapy in NSCLC patients, IOV-COM-202, was opened to enrollment with two sites active.</w:t>
      </w: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2018, we have expanded to over 90 clinical sites for our five company-sponsored studies.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6" w:name="page7"/>
    <w:bookmarkEnd w:id="6"/>
    <w:p>
      <w:pPr>
        <w:ind w:left="500"/>
        <w:spacing w:after="0"/>
        <w:rPr>
          <w:sz w:val="20"/>
          <w:szCs w:val="20"/>
          <w:color w:val="auto"/>
        </w:rPr>
      </w:pPr>
      <w:r>
        <w:rPr>
          <w:rFonts w:ascii="Times New Roman" w:cs="Times New Roman" w:eastAsia="Times New Roman" w:hAnsi="Times New Roman"/>
          <w:sz w:val="18"/>
          <w:szCs w:val="18"/>
          <w:color w:val="auto"/>
        </w:rPr>
        <w:t>Regulatory</w:t>
      </w:r>
    </w:p>
    <w:p>
      <w:pPr>
        <w:spacing w:after="0" w:line="27" w:lineRule="exact"/>
        <w:rPr>
          <w:sz w:val="20"/>
          <w:szCs w:val="20"/>
          <w:color w:val="auto"/>
        </w:rPr>
      </w:pPr>
    </w:p>
    <w:p>
      <w:pPr>
        <w:ind w:left="1300" w:right="26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Regenerative Medicine Advanced Therapy, or RMAT, designation for lifileucel for the treatment of patients with metastatic melanoma from the U.S. Food and Drug Administration, or FDA.</w:t>
      </w:r>
    </w:p>
    <w:p>
      <w:pPr>
        <w:ind w:left="1300" w:hanging="320"/>
        <w:spacing w:after="0" w:line="25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an end of Phase 2 meeting with the FDA during which the FDA acknowledged that a single-arm cohort as part of the C-144-01 clinical trial could be supportive of initial registration of lifileucel and that conduct of a randomized Phase 3 trial in the patient population being enrolled may not be feasible. We began patient enrollment in a new cohort, Cohort 4, of our C-144-01 clinical trial in early 2019. This will be a single-arm cohort for registration in metastatic melanoma in a patient population that is post PD-1 blocking antibody and, if BRAF mutation positive, a BRAF inhibitor or BRAF inhibitor with MEK inhibitor. We expect to fully enroll the necessary patients into this cohort by late 2019 or early 2020. Cohort 4 is expected to enroll 75 patients. The primary endpoint is ORR as determined by Blinded Independent Review Committee, or BIRC. This protocol was submitted and approved by the FDA.</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Research</w:t>
      </w:r>
    </w:p>
    <w:p>
      <w:pPr>
        <w:spacing w:after="0" w:line="27" w:lineRule="exact"/>
        <w:rPr>
          <w:sz w:val="20"/>
          <w:szCs w:val="20"/>
          <w:color w:val="auto"/>
        </w:rPr>
      </w:pPr>
    </w:p>
    <w:p>
      <w:pPr>
        <w:ind w:left="1300" w:right="46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collaboration with the Ohio State University, we have developed a product candidate called peripheral blood lymphocytes, or PBLs. A clinical program to administer PBLs in chronic lymphocytic leukemia patients is expected to begin in 2019.</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presented preclinical data from our PD-1 selected TIL therapy, one of our next-generation TIL products, at SITC in November 2018.</w:t>
      </w:r>
    </w:p>
    <w:p>
      <w:pPr>
        <w:spacing w:after="0" w:line="9" w:lineRule="exact"/>
        <w:rPr>
          <w:rFonts w:ascii="Times New Roman" w:cs="Times New Roman" w:eastAsia="Times New Roman" w:hAnsi="Times New Roman"/>
          <w:sz w:val="18"/>
          <w:szCs w:val="18"/>
          <w:color w:val="auto"/>
        </w:rPr>
      </w:pPr>
    </w:p>
    <w:p>
      <w:pPr>
        <w:ind w:left="1300" w:right="32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research collaboration with Roswell Park Cancer Institute, or RPCI, we performed preclinical studies of TIL therapy in bladder cancer. An investigator-sponsored clinical trial of TIL in bladder cancer patients at RPCI is expected to begin in 2019.</w:t>
      </w:r>
    </w:p>
    <w:p>
      <w:pPr>
        <w:ind w:left="1300" w:right="54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preclinical research collaboration with Cellectis S.A., or Cellectis, to investigate transcription activator-like effector nucleases, or TALEN, for genetic editing in conjunction with TIL therapy.</w:t>
      </w:r>
    </w:p>
    <w:p>
      <w:pPr>
        <w:ind w:left="1300" w:right="180" w:hanging="320"/>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preclinical research collaboration with Phio Pharmaceuticals, Inc., or Phio, to investigate self-delivering ribonucleic acid interference methods for altering genetic expression in conjunction with TIL therapy.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Manufacturing</w:t>
      </w:r>
    </w:p>
    <w:p>
      <w:pPr>
        <w:spacing w:after="0" w:line="27" w:lineRule="exact"/>
        <w:rPr>
          <w:sz w:val="20"/>
          <w:szCs w:val="20"/>
          <w:color w:val="auto"/>
        </w:rPr>
      </w:pPr>
    </w:p>
    <w:p>
      <w:pPr>
        <w:ind w:left="1300" w:right="180" w:hanging="320"/>
        <w:spacing w:after="0" w:line="250"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a new three-year manufacturing services agreement, or MSA, with MaSTherCell S.A, or MaSTherCell. MaSTherCell will manufacture TIL therapies for our European late-stage clinical trials in its commercial-ready current Good Manufacturing Practices, or cGMP, manufacturing suites. The MSA increases our capacity for manufacturing TIL therapies in Europe.</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that we intend to begin building our own commercial manufacturing facility in the U.S. in 2019.</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Corporate</w:t>
      </w:r>
    </w:p>
    <w:p>
      <w:pPr>
        <w:spacing w:after="0" w:line="27" w:lineRule="exact"/>
        <w:rPr>
          <w:sz w:val="20"/>
          <w:szCs w:val="20"/>
          <w:color w:val="auto"/>
        </w:rPr>
      </w:pPr>
    </w:p>
    <w:p>
      <w:pPr>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2018 we closed an underwritten public offering of 15,000,000 shares of our common stock at a public offering price of $11.50 per share, before underwriting discounts. The shares sold included 1,956,521 shares issued upon the exercise in full by the underwriter of its option to purchase additional shares at the public offering price, less the underwriting discount. The net proceeds from the offering, after deducting the underwriting discounts, commissions and other offering expenses payable by us, were $162.0 million.</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2018, we closed an underwritten public offering of 25,300,000 shares of our common stock at a public offering price of $9.97 per share, before underwriting discounts. The shares sold included 3,300,000 shares issued upon the exercise in full by the underwriter of its option to purchase additional shares at the public offering price, less the underwriting discount. The net proceeds from the offering, after deducting the underwriting discounts, commissions and other offering expenses payable by us, were $236.7 million.</w:t>
      </w:r>
    </w:p>
    <w:p>
      <w:pPr>
        <w:spacing w:after="0" w:line="1"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two U.S. patents, U.S Patent Nos. 10,130,659 and 10,166,257, covering therapeutic methods based upon our proprietary Gen 2 TIL manufacturing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229"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Our goal is to be a leader in the development and commercialization of TIL-based immunotherapies to treat solid tumors. We are developing a portfolio of TIL-based product candidates with the potential to meaningfully improve survival and quality of life for cancer patients. Key elements of our strategy include:</w:t>
      </w:r>
    </w:p>
    <w:p>
      <w:pPr>
        <w:spacing w:after="0" w:line="172" w:lineRule="exact"/>
        <w:rPr>
          <w:sz w:val="20"/>
          <w:szCs w:val="20"/>
          <w:color w:val="auto"/>
        </w:rPr>
      </w:pPr>
    </w:p>
    <w:p>
      <w:pPr>
        <w:ind w:right="1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Expedite clinical development, regulatory approval, and commercialization of our lead product candidate lifileucel for the treatment of metastatic melanoma.</w:t>
      </w:r>
    </w:p>
    <w:p>
      <w:pPr>
        <w:spacing w:after="0" w:line="15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Based on results of TIL therapy from trials sponsored by the NCI and our own clinical trials in metastatic melanoma, we are focused on expediting the development, regulatory approval and commercialization of our lead product candidate, lifileucel, for the treatment of patients with metastatic melanoma. We filed an investigational new drug application, or IND, with the FDA in December 2014 to initiate a company-sponsored Phase 2 single-arm, multicenter clinical trial of lifileucel in patients with metastatic melanoma. We began enrollment of this trial in the second half of 2015 and expanded it into three cohorts in 2017. In 2019 we will expand into an additional cohort, Cohort 4, which will serve as the basis for registration. Cohort 1 evaluated our first-generation TIL manufacturing process, Cohort 2 evaluated our second-generation, Gen 2, TIL manufacturing process and Cohort 3 evaluated retreatment of certain patients with a second dose of TIL. We announced initial data from the first two arms of this trial at the ASCO and SITC Annual Meetings in 2017 and presented updated data from Cohort 2 in November 2018 at SITC. Patient enrollment in Cohort 4 began in early 2019.</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ind w:right="200" w:firstLine="492"/>
        <w:spacing w:after="0" w:line="261" w:lineRule="auto"/>
        <w:rPr>
          <w:sz w:val="20"/>
          <w:szCs w:val="20"/>
          <w:color w:val="auto"/>
        </w:rPr>
      </w:pPr>
      <w:r>
        <w:rPr>
          <w:rFonts w:ascii="Times New Roman" w:cs="Times New Roman" w:eastAsia="Times New Roman" w:hAnsi="Times New Roman"/>
          <w:sz w:val="18"/>
          <w:szCs w:val="18"/>
          <w:color w:val="auto"/>
        </w:rPr>
        <w:t>We held an end of Phase 2 meeting with the FDA in September 2018. In addition we received an RMAT designation for lifileucel. Based on the meeting and subsequent dialog with the FDA we submitted and the FDA has approved the protocol for Cohort 4 of the C-144-01 trial. We began patient enrollment in Cohort 4 in early 2019. We expect to fully enroll the expected 75 patients into this cohort by late 2019 or early 2020. The primary endpoint is ORR as determined by BIRC.</w:t>
      </w:r>
    </w:p>
    <w:p>
      <w:pPr>
        <w:spacing w:after="0" w:line="176" w:lineRule="exact"/>
        <w:rPr>
          <w:sz w:val="20"/>
          <w:szCs w:val="20"/>
          <w:color w:val="auto"/>
        </w:rPr>
      </w:pPr>
    </w:p>
    <w:p>
      <w:pPr>
        <w:ind w:right="3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 to improve our TIL manufacturing process and develop new TIL manufacturing technology to become the preferred provider of TIL therapy in the U.S. and the rest of the world.</w:t>
      </w:r>
    </w:p>
    <w:p>
      <w:pPr>
        <w:spacing w:after="0" w:line="159"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We believe that we are the only company in the United States to have a centralized TIL manufacturing process and location. In 2018, we utilized our second generation TIL manufacturing process, known as Gen 2, which reduced TIL manufacturing time from 5-6 weeks to 22 days, allowing for a more commercially-viable product candidate. Gen 2 also produces a cryopreserved product for ease of administration and handling. The Gen 2 manufacturing process was utilized in completed Cohort 2 of our ongoing C-144-01 trial and will be used for Cohort 4 of this trial and has also been selected for use in most of our other ongoing TIL clinical development. We have included Gen 2 as the manufacturing process for registration for our discussions with the FDA and eventually the anticipated Biologics License Application, or BLA, filing for lifileucel. Our strategy is to establish our Gen 2 process as a commercial manufacturing process for TIL therapies, including lifileucel.</w:t>
      </w:r>
    </w:p>
    <w:p>
      <w:pPr>
        <w:spacing w:after="0" w:line="185"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Collaborate with governmental, academic and corporate partners to improve and develop TIL and PBL therapies for new indications or for use in combination with other therapies, and to evaluate new manufacturing methods.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our own research and process development efforts, we seek to collaborate with government, academic research institutions, and corporate partners to improve TIL manufacturing and to develop TIL therapies for new indications. For example, in 2018, we announced new collaborations with RPCI, Cellectis, and Phio, as described in the following sections, and continued our collaborations with Moffitt, MDACC, and the Ohio State University, to evaluate several new solid tumor and hematologic indications for TIL and PBL therapy in clinical and preclinical studies as well as, in some cases, new TIL manufacturing approaches. In August 2016, we expanded our Cooperative Research and Development Agreement, or CRADA, with the NCI for another 5-year term. This collaboration with the NCI is directed at research on unmodified TIL therapy and also addresses human papilloma virus, or HPV-associated cancers (cervical and head and neck), lung, bladder, and breast cancer. A description of these collaborations and related agreements is provided in the following sections of this Annual Report on Form 10-K.</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Continue to establish manufacturing capacity for TIL products.</w:t>
      </w:r>
    </w:p>
    <w:p>
      <w:pPr>
        <w:spacing w:after="0" w:line="229"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We continue to invest in improving the process and efficiency of manufacturing our product candidates in the United States and Europe for TIL manufacturing. Currently we use several contract manufacturing organizations, or CMOs, to supply our TIL-based products for our clinical trials under various MSAs. CMOs limit the amount of upfront capital investment.</w:t>
      </w:r>
    </w:p>
    <w:p>
      <w:pPr>
        <w:spacing w:after="0" w:line="176" w:lineRule="exact"/>
        <w:rPr>
          <w:sz w:val="20"/>
          <w:szCs w:val="20"/>
          <w:color w:val="auto"/>
        </w:rPr>
      </w:pPr>
    </w:p>
    <w:p>
      <w:pPr>
        <w:ind w:right="80" w:firstLine="486"/>
        <w:spacing w:after="0" w:line="289" w:lineRule="auto"/>
        <w:rPr>
          <w:sz w:val="20"/>
          <w:szCs w:val="20"/>
          <w:color w:val="auto"/>
        </w:rPr>
      </w:pPr>
      <w:r>
        <w:rPr>
          <w:rFonts w:ascii="Times New Roman" w:cs="Times New Roman" w:eastAsia="Times New Roman" w:hAnsi="Times New Roman"/>
          <w:sz w:val="17"/>
          <w:szCs w:val="17"/>
          <w:color w:val="auto"/>
        </w:rPr>
        <w:t>We intend to begin construction of our own manufacturing facility in 2019, in order to provide for better margins and rapid implementation of innovative changes for TIL therapies that we may develop or commercialize. We intend to carefully manage our cost structure, and reduce the long-term cost of manufacturing our products, although there can be no assurance that we will be able to reduce our manufacturing costs to commercially attractive levels.</w:t>
      </w:r>
    </w:p>
    <w:p>
      <w:pPr>
        <w:spacing w:after="0" w:line="15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In October 2018, we entered into a three-year MSA and related statement of work with MaSTherCell S.A., a subsidiary of Orgenesis Inc., a cell therapy-dedicated Contract Development and Manufacturing Organization. Pursuant to the MSA, MaSTherCell agreed to provide manufacturing and other services for use in our European clinical trials.</w:t>
      </w:r>
    </w:p>
    <w:p>
      <w:pPr>
        <w:spacing w:after="0" w:line="17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In 2017, we entered into a three-year MSA and related statements of work with PharmaCell B.V., or PharmaCell, a contract manufacturing services company based in the Netherlands, to manufacture our autologous cell therapy products for use in our European clinical trials. PharmaCell was subsequently acquired by Lonza Group Ltd., or Lonza. Lonza manufactures TIL products for our European clinical trials in its clinical and commercial facility in Geleen, the Netherlands.</w:t>
      </w:r>
    </w:p>
    <w:p>
      <w:pPr>
        <w:spacing w:after="0" w:line="18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Also in 2017, we entered into a two-year MSA and related statements of work with Moffitt, to manufacture our autologous cell therapy products for use in clinical trials.</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2016, we entered into a three-year MSA and related statements of work with WuXi AppTec, Inc., or WuXi, in order to increase our TIL manufacturing capacity in facilities with both clinical and commercial capability. We have extended the term of the MSA and related statements of work until May 2020. We intend to use WuXi as the initial manufacturer for commercial production of lifileucel.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Iovance-Sponsored Clinical Trials</w:t>
      </w:r>
    </w:p>
    <w:p>
      <w:pPr>
        <w:spacing w:after="0" w:line="229" w:lineRule="exact"/>
        <w:rPr>
          <w:sz w:val="20"/>
          <w:szCs w:val="20"/>
          <w:color w:val="auto"/>
        </w:rPr>
      </w:pPr>
    </w:p>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We currently have five ongoing Phase 2 clinical studies. The ongoing studies include C-144-01, of our lead product candidate, lifileucel, for the treatment of metastatic melanoma; C-145-04, of our product candidate LN-145 for recurrent, metastatic or persistent cervical cancer; and C-145-03, of our product candidate LN-145, for recurrent and/or metastatic squamous cell carcinoma of the head and neck. During 2018, we initiated a Phase 2 clinical trial, IOV-COM-202, a basket trial that will treat checkpoint naïve patients with TIL in combination with pembro for metastatic melanoma and head and neck cancer. The trial also includes a cohort that will treat relapsed and refractory NSCLC patients with TIL alone. Additional information about our clinical trials is presented as follows: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Lifileucel for Metastatic Melanoma</w:t>
      </w:r>
    </w:p>
    <w:p>
      <w:pPr>
        <w:spacing w:after="0" w:line="22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We are developing lifileucel to treat metastatic melanoma. Melanoma is a common type of skin cancer, accounting for approximately 91,000 patients diagnosed and 9,320 deaths each year in the United States according to the NCI’s Surveillance, Epidemiology and End Results program, or SEER program, as of 2018. Our ongoing Phase 2 trial, C-144-01, is a prospective, registrational, four-cohort interventional study evaluating lifileucel in metastatic melanoma patients who have progressed after prior anti-PD-1 therapy and if BRAF mutant, after BRAF or BRAF/MEK inhibitor therapy. Patients enrolled in this trial to date have failed several prior treatment regimens.</w:t>
      </w:r>
    </w:p>
    <w:p>
      <w:pPr>
        <w:spacing w:after="0" w:line="184"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 xml:space="preserve">Patients with metastatic melanoma who have failed at least one treatment under the current standards of care have an unfavorable prognosis with very few curative treatment options. The National Comprehensive Cancer Network, or NCCN, has updated its recommendations for the treatment of patients with unresectable or metastatic melanoma. Initial therapy can include checkpoint inhibitors either alone or in combination (ipilimumab, nivolumab, pembrolizumab), targeted therapies for patients with BRAF mutations (dabrafenib/trametinib, vemurafenib/cobimetinib combinations or single agents) or participating in a clinical trial. For patients not responding or progressing and who have an adequate clinical status, agents selected from the previous list or of a different therapeutic class can be used as well as high dose IL-2. NCCN experts also recommend participating in a clinical trial at any stage of disease. Patients who do not respond to the current second-line therapies have very few treatment options and typically have a very poor prognosis, with limited median survival measured in months. According to estimates from Decision Resource Group’s </w:t>
      </w:r>
      <w:r>
        <w:rPr>
          <w:rFonts w:ascii="Times New Roman" w:cs="Times New Roman" w:eastAsia="Times New Roman" w:hAnsi="Times New Roman"/>
          <w:sz w:val="18"/>
          <w:szCs w:val="18"/>
          <w:i w:val="1"/>
          <w:iCs w:val="1"/>
          <w:color w:val="auto"/>
        </w:rPr>
        <w:t>Disease Landscape and Forecast for Malignant Melanoma</w:t>
      </w:r>
      <w:r>
        <w:rPr>
          <w:rFonts w:ascii="Times New Roman" w:cs="Times New Roman" w:eastAsia="Times New Roman" w:hAnsi="Times New Roman"/>
          <w:sz w:val="18"/>
          <w:szCs w:val="18"/>
          <w:color w:val="auto"/>
        </w:rPr>
        <w:t xml:space="preserve"> report, in the United States in 2018, approximately 4,950 melanoma patients are on their 3rd or 4th line of therapy and approximately 6,282 melanoma patients are on their 2nd line of therapy.</w:t>
      </w:r>
    </w:p>
    <w:p>
      <w:pPr>
        <w:spacing w:after="0" w:line="186"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We are using our Gen 2 manufacturing process for all ongoing Phase 2 trials, and as a result, Cohort 1 of C-144-01, using our first generation or Gen 1 manufacturing process, was closed to enrollment in 2017 and subsequent patients were enrolled in Cohort 2. The planned enrollment in C-144-01 was reached in late 2018 and Cohort 2 is closed to enrollment. Cohort 3 is a retreatment cohort. In November 2018, we reported preliminary data from Cohort 2 of C-144-01 for 47 patients, who demonstrated an ORR of 38% with an initial DOR of 6.4 months and a range of 1.3+ to 14+ months. ORR was determined by response evaluation criteria in solid tumors version 1.1, or RECIST 1.1, as reported by each investigator. The ORR includes one complete response and 17 partial responses, one of which is unconfirmed because of the patient not having reached the follow-on assessment as of the end of 2018. Patients in the study had a mean of 3.3 prior systemic therapies and all the patients had received anti-PD-1 immunotherapy. The safety findings for C-144-01 remain consistent with previous reports. The most common treatment emergent adverse events observed in this cohort to date include chills, febrile neutropenia, anemia, decreased platelet count, pyrexia, and hypophosphataemia. Two grade 5 treatment emergent adverse events have been observed to date. As additional patients are enrolled in the C-144-01 study, the safety profile of lifileucel may change.</w:t>
      </w:r>
    </w:p>
    <w:p>
      <w:pPr>
        <w:spacing w:after="0" w:line="186" w:lineRule="exact"/>
        <w:rPr>
          <w:sz w:val="20"/>
          <w:szCs w:val="20"/>
          <w:color w:val="auto"/>
        </w:rPr>
      </w:pPr>
    </w:p>
    <w:p>
      <w:pPr>
        <w:ind w:right="80" w:firstLine="495"/>
        <w:spacing w:after="0" w:line="255" w:lineRule="auto"/>
        <w:rPr>
          <w:sz w:val="20"/>
          <w:szCs w:val="20"/>
          <w:color w:val="auto"/>
        </w:rPr>
      </w:pPr>
      <w:r>
        <w:rPr>
          <w:rFonts w:ascii="Times New Roman" w:cs="Times New Roman" w:eastAsia="Times New Roman" w:hAnsi="Times New Roman"/>
          <w:sz w:val="18"/>
          <w:szCs w:val="18"/>
          <w:color w:val="auto"/>
        </w:rPr>
        <w:t>We held an End of Phase 2 meeting with the FDA, in September 2018 to discuss the C-144-01 study. In its written minutes to the meeting, the FDA acknowledged that conduct of a randomized Phase 3 study may not be feasible in its intended population of advanced melanoma patients, who have been treated with at least one systemic therapy including an anti-PD-1 antibody and if BRAF mutation positive, a BRAF inhibitor or BRAF inhibitor with MEK inhibitor, and that a randomized study is not required for the registration of lifileucel. The FDA further acknowledged that a single-arm cohort of the C-144-01 trial may be acceptable for registration in this indication. A new cohort, Cohort 4, of 75 patients will be enrolled in C-144-01 with a prospective definition of the primary endpoint of ORR to be read out by a BIRC, to support registration of lifileucel. The FDA recommended that we validate a potency assay prior to starting Cohort 4, which we have done. We began enrolling patients in Cohort 4 in early 2019 in the United States and in Europe and expect it to be fully enrolled by late 2019 or early 2020. A BLA submission to the FDA including Cohort 4 results is expected in the second half of 2020.</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LN-145 for Cervical Cancer</w:t>
      </w:r>
    </w:p>
    <w:p>
      <w:pPr>
        <w:spacing w:after="0" w:line="229" w:lineRule="exact"/>
        <w:rPr>
          <w:sz w:val="20"/>
          <w:szCs w:val="20"/>
          <w:color w:val="auto"/>
        </w:rPr>
      </w:pPr>
    </w:p>
    <w:p>
      <w:pPr>
        <w:ind w:right="320" w:firstLine="495"/>
        <w:spacing w:after="0" w:line="282" w:lineRule="auto"/>
        <w:rPr>
          <w:sz w:val="20"/>
          <w:szCs w:val="20"/>
          <w:color w:val="auto"/>
        </w:rPr>
      </w:pPr>
      <w:r>
        <w:rPr>
          <w:rFonts w:ascii="Times New Roman" w:cs="Times New Roman" w:eastAsia="Times New Roman" w:hAnsi="Times New Roman"/>
          <w:sz w:val="18"/>
          <w:szCs w:val="18"/>
          <w:color w:val="auto"/>
        </w:rPr>
        <w:t>We are developing LN-145 to treat cervical cancer. According to estimates from the SEER program, approximately 13,000 women were diagnosed with cervical cancer, and approximately 4,000 cervical cancer-related deaths occurred in the United States in 2018.</w:t>
      </w:r>
    </w:p>
    <w:p>
      <w:pPr>
        <w:spacing w:after="0" w:line="162"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In August 2017, we enrolled our first patient in our ongoing Phase 2 trial, C-145-04, for the treatment of patients with recurrent, metastatic or persistent cervical cancer who have failed one prior therapy. The trial met the initial efficacy threshold for the first stage of the Simon’s two stage design and continued to enroll patients to reach the full target sample size of 47 patients. The study is enrolling patients in the United States and Europe. Preliminary data for 15 patients yielded an ORR of 27%. While the median DOR was not reached at the time of that data report, the range of available data was from 2.4 to 2.5+ months. Patients in the study had a median of five prior therapies. The safety findings from this study remained consistent with previous reports. The most common treatment emergent adverse events observed to date included chills, pyrexia, anemia, hypotension, platelet count decrease, and vomiting. The protocol for this study has been amended to limit the number of prior therapies to 1-3 and to exclude patients who have been treated with prior immunotherapy, and to exclusively use Gen 2 TIL manufacturing process. We anticipate providing an update on this study at a medical conference in 2019. As additional patients are enrolled in the C-145-04 study, the safety profile of LN-145 may change.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LN-145 for Head and Neck Cancer</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According to estimates from the SEER program, approximately 65,000 people were diagnosed with head- and neck-related cancers, and approximately 14,000 head- and neck- related cancer deaths occurred in the United States in 2018.</w:t>
      </w:r>
    </w:p>
    <w:p>
      <w:pPr>
        <w:spacing w:after="0" w:line="162" w:lineRule="exact"/>
        <w:rPr>
          <w:sz w:val="20"/>
          <w:szCs w:val="20"/>
          <w:color w:val="auto"/>
        </w:rPr>
      </w:pPr>
    </w:p>
    <w:p>
      <w:pPr>
        <w:ind w:firstLine="495"/>
        <w:spacing w:after="0" w:line="272" w:lineRule="auto"/>
        <w:rPr>
          <w:sz w:val="20"/>
          <w:szCs w:val="20"/>
          <w:color w:val="auto"/>
        </w:rPr>
      </w:pPr>
      <w:r>
        <w:rPr>
          <w:rFonts w:ascii="Times New Roman" w:cs="Times New Roman" w:eastAsia="Times New Roman" w:hAnsi="Times New Roman"/>
          <w:sz w:val="17"/>
          <w:szCs w:val="17"/>
          <w:color w:val="auto"/>
        </w:rPr>
        <w:t>We are developing LN-145 to treat head and neck cancers. In June 2017, we enrolled our first patient in our ongoing Phase 2 trial, C-145-03, for the treatment of patients with recurrent and/or metastatic squamous cell carcinoma of the head and neck, who have failed one prior therapy. The trial has met the initial efficacy threshold for the first stage of the Simon’s two stage design and will continue to enroll patients to the full target sample size of 47 patients. The trial is enrolling patients in the United States. We have amended the protocol so that newly enrolled patients will be treated using LN-145 produced from the Gen 2 manufacturing process. To date, preliminary data for 13 patients has yielded an ORR of 31%, with 4 partial responses, with the DOR ranging from 2.8 to 7.6 months. Patients in the study had a median of three prior therapies. The safety findings from this study are also consistent with previous reports. The protocol for this study has been amended to use Gen 2 TIL manufacturing. The most common treatment emergent adverse events observed to date include chills, hypotension, pyrexia, hyponatremia, and anemia. As additional patients are enrolled in the C-145-03 study, the safety profile of LN-145 may change.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LN-145 for Non-Small Cell Lung Cancer</w:t>
      </w:r>
    </w:p>
    <w:p>
      <w:pPr>
        <w:spacing w:after="0" w:line="229" w:lineRule="exact"/>
        <w:rPr>
          <w:sz w:val="20"/>
          <w:szCs w:val="20"/>
          <w:color w:val="auto"/>
        </w:rPr>
      </w:pPr>
    </w:p>
    <w:p>
      <w:pPr>
        <w:ind w:right="40" w:firstLine="495"/>
        <w:spacing w:after="0" w:line="282" w:lineRule="auto"/>
        <w:rPr>
          <w:sz w:val="20"/>
          <w:szCs w:val="20"/>
          <w:color w:val="auto"/>
        </w:rPr>
      </w:pPr>
      <w:r>
        <w:rPr>
          <w:rFonts w:ascii="Times New Roman" w:cs="Times New Roman" w:eastAsia="Times New Roman" w:hAnsi="Times New Roman"/>
          <w:sz w:val="18"/>
          <w:szCs w:val="18"/>
          <w:color w:val="auto"/>
        </w:rPr>
        <w:t>We are developing LN-145 to treat NSCLC. According to estimates from the SEER program, approximately 234,000 people were diagnosed with lung and bronchus cancers, and approximately 154,000 deaths occurred related to these cancers in the United States in 2018.</w:t>
      </w:r>
    </w:p>
    <w:p>
      <w:pPr>
        <w:spacing w:after="0" w:line="162" w:lineRule="exact"/>
        <w:rPr>
          <w:sz w:val="20"/>
          <w:szCs w:val="20"/>
          <w:color w:val="auto"/>
        </w:rPr>
      </w:pPr>
    </w:p>
    <w:p>
      <w:pPr>
        <w:ind w:right="140" w:firstLine="495"/>
        <w:spacing w:after="0" w:line="266" w:lineRule="auto"/>
        <w:rPr>
          <w:sz w:val="20"/>
          <w:szCs w:val="20"/>
          <w:color w:val="auto"/>
        </w:rPr>
      </w:pPr>
      <w:r>
        <w:rPr>
          <w:rFonts w:ascii="Times New Roman" w:cs="Times New Roman" w:eastAsia="Times New Roman" w:hAnsi="Times New Roman"/>
          <w:sz w:val="18"/>
          <w:szCs w:val="18"/>
          <w:color w:val="auto"/>
        </w:rPr>
        <w:t>Under our collaboration with MedImmune, we have initiated a two-cohort Phase 2 trial, IOV-LUN-201, in combination with durvalumab for the treatment of patients with locally advanced metastatic NSCLC. Patients in this study will be naïve to PD-1 or PD-L1 therapy. The study is expected to begin enrollment in 2019. The study will use Gen 2 TIL manufacturing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Investigator-Sponsored Clinical Trials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TIL in Other Solid Tumor Indications</w:t>
      </w:r>
    </w:p>
    <w:p>
      <w:pPr>
        <w:spacing w:after="0" w:line="22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are collaborating with MDACC on clinical trials to evaluate TIL therapy in sarcomas, ovarian cancer and pancreatic cancer. These trials, NCT03610490 and NCT03449108, began enrolling patients in 2018. Patients in these trials will be treated with LN-145 or TIL manufactured by MDACC.</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collaborating with RPCI on a clinical trial to evaluate TIL therapy in bladder cancer. This trial is expected to begin enrolling patients in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in this trial will be treated with LN-145.</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TIL in Combination with Other Immunotherapy Drugs</w:t>
      </w:r>
    </w:p>
    <w:p>
      <w:pPr>
        <w:spacing w:after="0" w:line="229"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Checkpoint inhibitors are a class of immunotherapy drugs that seek to overcome one of cancer’s main defenses against an immune system attack. PD-1 is a checkpoint protein found on immune cells called T cells. It normally acts as a type of “off switch” that helps prevent T cells from attacking other cells in the body. It does this by attaching to PD-L1, a protein found on both normal and cancerous cells, which may then shut down an attack by a T cell. Some cancer cells have large amounts of PD-L1 expressed on their surfaces, which helps them evade T cell attack.</w:t>
      </w:r>
    </w:p>
    <w:p>
      <w:pPr>
        <w:spacing w:after="0" w:line="180"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color w:val="auto"/>
        </w:rPr>
        <w:t>We are collaborating with Moffitt in study NCT03215810, which is currently enrolling patients to evaluate TIL therapy in combination with the checkpoint inhibitor nivolumab in NSCLC. An additional clinical trial, NCT03374839, is being conducted by Moffitt to evaluate TIL therapy in combination with nivolumab in metastatic melanoma. We have also previously collaborated with Moffitt on a clinical trial, NCT01701674, to evaluate TIL therapy in combination with the CTLA-4 checkpoint inhibitor ipilimumab.</w:t>
      </w:r>
    </w:p>
    <w:p>
      <w:pPr>
        <w:spacing w:after="0" w:line="180"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Under our CRADA, we are collaborating with the NCI in study NCT02621021 to evaluate TIL therapy in combination with the checkpoint inhibitor pembrolizumab in a 170-patient clinical trial in patients with advanced melanoma. This study is currently enrolling.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 Therapy Background</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Immune system</w:t>
      </w:r>
    </w:p>
    <w:p>
      <w:pPr>
        <w:spacing w:after="0" w:line="229"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18"/>
          <w:szCs w:val="18"/>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 cells which mature in the bone marrow. T cells can be distinguished from other white blood cells by T cell receptors present on their cell surface. These receptors contribute to tumor surveillance by helping T cells recognize infected cells as well as cancerous cells. T cells are involved in both sensing and killing infected or cancerous cells, as well as coordinating the activation of other cells in an immune response.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Cancer immunotherapy</w:t>
      </w:r>
    </w:p>
    <w:p>
      <w:pPr>
        <w:spacing w:after="0" w:line="229"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Despite the progress that has been made over the past several decades, effective treatment of cancer, especially solid tumors, continues to be challenging. Some reasons solid tumors are so difficult to treat are: (i) in many solid tumors, multiple genes (as many as hundreds or thousands of genes) are mutated, and solid tumors are heterogeneous, (ii) it is not always clear which particular mutations are critical, and (iii) tumors can adapt and find a way to evade treatments that target a single mutation. In addition, the tumor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468" w:gutter="0" w:footer="0" w:header="0"/>
        </w:sectPr>
      </w:pPr>
    </w:p>
    <w:bookmarkStart w:id="10" w:name="page11"/>
    <w:bookmarkEnd w:id="10"/>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We believe that adoptive cell therapy, with the use of human cells as therapeutic entities to reengage the immune system, may be a significant advancement in the treatment of cancer. These one-time cellular therapies may avoid the long-term side effects associated with current treatments and have the potential to be effective. We believe TIL therapy, in particular, has the potential to treat solid tumors by increasing the effectiveness and number of a patient's cancer-specific T cells. TIL therapy is polyclonal, and we believe that it is capable of targeting multiple tumor antigens on cancer cells. Furthermore, the non-myeloablative lymphodepleting chemotherapy administered prior to TIL infusion is capable of suppressing the hostile tumor microenvironment, which we believe will enhance the efficacy of TIL therapy.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Tumor-infiltrating lymphocytes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Adoptive cell therapy with TIL involves the following steps:</w:t>
      </w:r>
    </w:p>
    <w:p>
      <w:pPr>
        <w:spacing w:after="0" w:line="225" w:lineRule="exact"/>
        <w:rPr>
          <w:sz w:val="20"/>
          <w:szCs w:val="20"/>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Excision: After a surgical resection of a lesion, a patient’s TIL are removed from the tumor</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Tumor is fragmented and placed in media for TIL to leave the tumor</w:t>
      </w:r>
    </w:p>
    <w:p>
      <w:pPr>
        <w:spacing w:after="0" w:line="9" w:lineRule="exact"/>
        <w:rPr>
          <w:rFonts w:ascii="Times New Roman" w:cs="Times New Roman" w:eastAsia="Times New Roman" w:hAnsi="Times New Roman"/>
          <w:sz w:val="18"/>
          <w:szCs w:val="18"/>
          <w:color w:val="auto"/>
        </w:rPr>
      </w:pPr>
    </w:p>
    <w:p>
      <w:pPr>
        <w:ind w:left="1140" w:hanging="322"/>
        <w:spacing w:after="0" w:line="185" w:lineRule="auto"/>
        <w:tabs>
          <w:tab w:leader="none" w:pos="114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 xml:space="preserve">Expansion: TIL expanded exponentially </w:t>
      </w:r>
      <w:r>
        <w:rPr>
          <w:rFonts w:ascii="Times New Roman" w:cs="Times New Roman" w:eastAsia="Times New Roman" w:hAnsi="Times New Roman"/>
          <w:sz w:val="16"/>
          <w:szCs w:val="16"/>
          <w:i w:val="1"/>
          <w:iCs w:val="1"/>
          <w:color w:val="auto"/>
        </w:rPr>
        <w:t>ex vivo</w:t>
      </w:r>
      <w:r>
        <w:rPr>
          <w:rFonts w:ascii="Times New Roman" w:cs="Times New Roman" w:eastAsia="Times New Roman" w:hAnsi="Times New Roman"/>
          <w:sz w:val="16"/>
          <w:szCs w:val="16"/>
          <w:color w:val="auto"/>
        </w:rPr>
        <w:t xml:space="preserve"> to yield 10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 xml:space="preserve"> – 10</w:t>
      </w:r>
      <w:r>
        <w:rPr>
          <w:rFonts w:ascii="Times New Roman" w:cs="Times New Roman" w:eastAsia="Times New Roman" w:hAnsi="Times New Roman"/>
          <w:sz w:val="25"/>
          <w:szCs w:val="25"/>
          <w:color w:val="auto"/>
          <w:vertAlign w:val="superscript"/>
        </w:rPr>
        <w:t>11</w:t>
      </w:r>
      <w:r>
        <w:rPr>
          <w:rFonts w:ascii="Times New Roman" w:cs="Times New Roman" w:eastAsia="Times New Roman" w:hAnsi="Times New Roman"/>
          <w:sz w:val="16"/>
          <w:szCs w:val="16"/>
          <w:color w:val="auto"/>
        </w:rPr>
        <w:t xml:space="preserve"> TIL</w:t>
      </w:r>
    </w:p>
    <w:p>
      <w:pPr>
        <w:spacing w:after="0" w:line="1" w:lineRule="exact"/>
        <w:rPr>
          <w:rFonts w:ascii="Times New Roman" w:cs="Times New Roman" w:eastAsia="Times New Roman" w:hAnsi="Times New Roman"/>
          <w:sz w:val="29"/>
          <w:szCs w:val="29"/>
          <w:color w:val="auto"/>
          <w:vertAlign w:val="superscript"/>
        </w:rPr>
      </w:pPr>
    </w:p>
    <w:p>
      <w:pPr>
        <w:ind w:left="1140" w:right="140" w:hanging="322"/>
        <w:spacing w:after="0" w:line="254"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Infusion: Patient receives non-myeloablative lymphodepletion to eliminate potentially suppressive tumor microenvironment and maximize engraftment and potential potency of TIL therapy; patient is infused with their expanded TIL and up to 6 doses of IL-2 to promote activation, proliferation and anti-tumor cytolytic activity of 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0" w:firstLine="495"/>
        <w:spacing w:after="0" w:line="258" w:lineRule="auto"/>
        <w:rPr>
          <w:sz w:val="20"/>
          <w:szCs w:val="20"/>
          <w:color w:val="auto"/>
        </w:rPr>
      </w:pPr>
      <w:r>
        <w:rPr>
          <w:rFonts w:ascii="Times New Roman" w:cs="Times New Roman" w:eastAsia="Times New Roman" w:hAnsi="Times New Roman"/>
          <w:sz w:val="18"/>
          <w:szCs w:val="18"/>
          <w:color w:val="auto"/>
        </w:rPr>
        <w:t>Currently, our Gen 2 manufacturing process takes 22 days from receipt of the patient’s tumor at the manufacturing facility until shipping of the final TIL product to the institution for infusion of the TIL back into the patient. We currently treat patients with a single infusion of TIL, although our protocols allow for evaluation of more than one administration of TIL. After infusion, TIL can potentially infiltrate the tumor microenvironment to eliminate large numbers of cancer cells. TIL can also further proliferate in the body. TIL therapy can potentially overcome several mechanisms of tumor escape to which endogenous T cells may be susceptible due to the hostile tumor microenvironment.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Historical clinical results with TIL in metastatic melanoma</w:t>
      </w:r>
    </w:p>
    <w:p>
      <w:pPr>
        <w:spacing w:after="0" w:line="229"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18"/>
          <w:szCs w:val="18"/>
          <w:color w:val="auto"/>
        </w:rPr>
        <w:t>To date, hundreds of metastatic melanoma patients have already been treated with TIL therapy produced locally using different manufacturing methods at different academic institutions and hospitals in the United States, Europe, Canada, and Israel. At NCI, clinical responses have been relatively consistent in several trials: over 50% of the melanoma patients treated with TIL have an objective response (i.e. tumor regression of 30% or more, as defined by RECIST criteria) and approximately 22-24% of patients have a complete response (tumor regression of 100%) with no evidence of disease remaining after only one administration. Most patients who have had a complete response remained in response in 3-7 years of follow up. Furthermore, patients can respond to TIL therapy regardless of their prior therapies.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ind w:firstLine="492"/>
        <w:spacing w:after="0" w:line="253" w:lineRule="auto"/>
        <w:rPr>
          <w:sz w:val="20"/>
          <w:szCs w:val="20"/>
          <w:color w:val="auto"/>
        </w:rPr>
      </w:pPr>
      <w:r>
        <w:rPr>
          <w:rFonts w:ascii="Times New Roman" w:cs="Times New Roman" w:eastAsia="Times New Roman" w:hAnsi="Times New Roman"/>
          <w:sz w:val="18"/>
          <w:szCs w:val="18"/>
          <w:color w:val="auto"/>
        </w:rPr>
        <w:t>In September 2015, Dr. Rosenberg, a recognized pioneer in immuno-oncology and adoptive cell therapy using TIL, presented updated findings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a standard TIL protocol using nonmyeloablative, or NMA, chemotherapy, with the second group also receiving total body irradiation. 54% of the patients treated with TIL therapy achieved an objective response. An objective response occurs when there is a complete remission or a partial remission of the tumor. Out of the 101 patients, 24, or 24%, had experienced a complete remission and 23 of the 24, or 96%, showed ongoing durability of this response at 30 to 47 months following treatment, at the time of publication. Median follow-up time was approximately 40.9 months. Overall survival, or OS, was approximately 80% at 12 months, and median OS had not yet been achieved. Median progression-free survival was approximately 8-10 months. This observation was also presented by Dr. Stephanie Goff at the 2016 ASCO meeting and published in the Journal of Clinical Oncology in June 2016. At the ASCO 2018 meeting, Dr. Goff presented updated findings from the study. Patients that had prior anti PD-1 treatment had an ORR of 20-25%.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Overall Survival of patients in TIL ± TBI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157480</wp:posOffset>
            </wp:positionV>
            <wp:extent cx="4416425" cy="298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1642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492"/>
        <w:spacing w:after="0" w:line="284" w:lineRule="auto"/>
        <w:rPr>
          <w:sz w:val="20"/>
          <w:szCs w:val="20"/>
          <w:color w:val="auto"/>
        </w:rPr>
      </w:pPr>
      <w:r>
        <w:rPr>
          <w:rFonts w:ascii="Times New Roman" w:cs="Times New Roman" w:eastAsia="Times New Roman" w:hAnsi="Times New Roman"/>
          <w:sz w:val="18"/>
          <w:szCs w:val="18"/>
          <w:i w:val="1"/>
          <w:iCs w:val="1"/>
          <w:color w:val="auto"/>
        </w:rPr>
        <w:t>Source: Goff, S.L. et al. Randomized, Prospective Evaluation Comparing Intensity of Lymphodepletion Before Adoptive Transfer of Tumor-Infiltrating Lymphocytes for Patients With Metastatic Melanoma. Journal of Clinical Oncology, 34(20), 2389-2397.</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with TIL in other solid tumor indications</w:t>
      </w:r>
    </w:p>
    <w:p>
      <w:pPr>
        <w:spacing w:after="0" w:line="229"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18"/>
          <w:szCs w:val="18"/>
          <w:color w:val="auto"/>
        </w:rPr>
        <w:t xml:space="preserve">Under our CRADA with the NCI, we are providing research, development and clinical funding for the development of unmodified TIL therapy for a variety of solid tumor indications, including HPV-associated cancers (cervical, head and neck), bladder, breast, and lung cancers. The NCI has an ongoing clinical trial involving TIL therapy to treat advanced HPV-positive cervical cancer. Data from this trial was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in April 2015 and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in April 2017 and was updated at the ASCO meeting in 2018. Out of 18 cervical cancer patients treated with HPV-TIL, two experienced complete remissions reported as ongoing at 53 and 67 months. Another three patients experienced a three-month partial response. Additionally, the NCI has ongoing trials to treat patients using TIL with colorectal cancer, gastric cancer, pancreatic cancer, hepatocellular carcinoma and cholangiocarcinoma and lung cancer. Depending on results from the research and development and clinical trials conducted at the NCI under our CRADA, we may pursue the development and regulatory approval of TIL therapy for additional indications.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229"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 xml:space="preserve">We continue to enroll patients in our ongoing TIL programs and we closely monitor our studies to learn about all safety events occurring, as described elsewhere in this Annual Report on Form 10-K. Some of these events may be associated with TIL therapy. To date, however, the largest set of data for TIL therapy was generated by the NCI as part of their multiple clinical studies. Per publications from the NCI, toxicities or adverse events during TIL therapy have been mostly associated with either the lymphodepletion regimen or the high-dose IL-2 therapy given after TIL infusion as described by Goff et al. in the </w:t>
      </w:r>
      <w:r>
        <w:rPr>
          <w:rFonts w:ascii="Times New Roman" w:cs="Times New Roman" w:eastAsia="Times New Roman" w:hAnsi="Times New Roman"/>
          <w:sz w:val="18"/>
          <w:szCs w:val="18"/>
          <w:i w:val="1"/>
          <w:iCs w:val="1"/>
          <w:color w:val="auto"/>
        </w:rPr>
        <w:t xml:space="preserve">Journal of Clinical Oncology </w:t>
      </w:r>
      <w:r>
        <w:rPr>
          <w:rFonts w:ascii="Times New Roman" w:cs="Times New Roman" w:eastAsia="Times New Roman" w:hAnsi="Times New Roman"/>
          <w:sz w:val="18"/>
          <w:szCs w:val="18"/>
          <w:color w:val="auto"/>
        </w:rPr>
        <w:t>in June 2016. The standard approach to the administration of high-dose IL-2 is to continue dosing until patients can no longer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tolerate treatment. Our trials, however, have limited administration of IL-2 to up to 6 doses.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Next Generation TIL Product Strategies</w:t>
      </w:r>
    </w:p>
    <w:p>
      <w:pPr>
        <w:spacing w:after="0" w:line="229"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18"/>
          <w:szCs w:val="18"/>
          <w:color w:val="auto"/>
        </w:rPr>
        <w:t>We are developing next generation TIL products using owned and licensed intellectual property rights, in some cases in combination with collaborators such as Phio Pharmaceuticals and Cellectis, as described elsewhere in this Annual Report on Form 10-K. These products include both genetically-modified TIL and PD-1 selected TIL therapies. We are also developing PBL therapy for chronic lymphocytic leukemia.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Development, Manufacturing, and Manufacturing Agreements</w:t>
      </w:r>
    </w:p>
    <w:p>
      <w:pPr>
        <w:spacing w:after="0" w:line="229" w:lineRule="exact"/>
        <w:rPr>
          <w:sz w:val="20"/>
          <w:szCs w:val="20"/>
          <w:color w:val="auto"/>
        </w:rPr>
      </w:pPr>
    </w:p>
    <w:p>
      <w:pPr>
        <w:ind w:right="60" w:firstLine="495"/>
        <w:spacing w:after="0" w:line="256" w:lineRule="auto"/>
        <w:rPr>
          <w:sz w:val="20"/>
          <w:szCs w:val="20"/>
          <w:color w:val="auto"/>
        </w:rPr>
      </w:pPr>
      <w:r>
        <w:rPr>
          <w:rFonts w:ascii="Times New Roman" w:cs="Times New Roman" w:eastAsia="Times New Roman" w:hAnsi="Times New Roman"/>
          <w:sz w:val="18"/>
          <w:szCs w:val="18"/>
          <w:color w:val="auto"/>
        </w:rPr>
        <w:t>Our first generation TIL manufacturing process was based on the NCI’s original manufacturing and processing of TIL, which we modified so that it could be reproduced in a cGMP environment. This first-generation process expanded the number of TIL over a 5 to 6 week period and produced a non-cryopreserved product for administration to the patient. Our Gen 2 TIL manufacturing process, which was developed by our internal research and process development team, shortens the manufacturing process while allowing for a cryopreserved product. The Gen 2 process is currently in use in all of our trials in which we manufacture TIL products, including lifileucel and LN-145. We have selected Gen 2 for product registration and ongoing and future TIL clinical development, although we continue to develop new TIL manufacturing processes.</w:t>
      </w:r>
    </w:p>
    <w:p>
      <w:pPr>
        <w:spacing w:after="0" w:line="188" w:lineRule="exact"/>
        <w:rPr>
          <w:sz w:val="20"/>
          <w:szCs w:val="20"/>
          <w:color w:val="auto"/>
        </w:rPr>
      </w:pPr>
    </w:p>
    <w:p>
      <w:pPr>
        <w:jc w:val="both"/>
        <w:ind w:right="180" w:firstLine="495"/>
        <w:spacing w:after="0" w:line="261" w:lineRule="auto"/>
        <w:rPr>
          <w:sz w:val="20"/>
          <w:szCs w:val="20"/>
          <w:color w:val="auto"/>
        </w:rPr>
      </w:pPr>
      <w:r>
        <w:rPr>
          <w:rFonts w:ascii="Times New Roman" w:cs="Times New Roman" w:eastAsia="Times New Roman" w:hAnsi="Times New Roman"/>
          <w:sz w:val="18"/>
          <w:szCs w:val="18"/>
          <w:color w:val="auto"/>
        </w:rPr>
        <w:t>The Gen 2 manufacturing process begins with the collection of the patient’s tumor, which is then sent to a central manufacturing facility, where the T cells are isolated. These cells are stimulated to proliferate, then propagated in cell culture flasks until sufficient cells are available for infusion back into the patient. The TIL is then washed and put in media suitable for cryopreservation and infusion. The final product is shipped back to the clinical center where it can be administered to the patient. The following diagram illustrates our Gen 2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125730</wp:posOffset>
            </wp:positionV>
            <wp:extent cx="5617210" cy="2444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1721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We have entered into MSAs with WuXi, Moffitt, MaSTherCell, and PharmaCell, which was acquired by Lonza, pursuant to which they have agreed to manufacture, package, ship and handle quality assurance and quality control of certain clinical trials for our TIL products working closely with our employees. We have two suites for clinical manufacturing at WuXi, and one of those suites is also available to manufacture TIL for commercial use. Cell processing activities will be conducted at all companies under cGMP, using qualified equipment and materials. We believe that all materials and components utilized in the production of the final TIL product are readily available from qualified suppliers. We expect to rely on these CMOs, to meet anticipated clinical trial and if approved, commercial demands. In the future, we may rely on them or other third parties, or our own manufacturing capabilities for the manufacturing and processing of TIL-based product candidates for our clinical trials.</w:t>
      </w:r>
    </w:p>
    <w:p>
      <w:pPr>
        <w:spacing w:after="0" w:line="189" w:lineRule="exact"/>
        <w:rPr>
          <w:sz w:val="20"/>
          <w:szCs w:val="20"/>
          <w:color w:val="auto"/>
        </w:rPr>
      </w:pPr>
    </w:p>
    <w:p>
      <w:pPr>
        <w:ind w:right="60" w:firstLine="495"/>
        <w:spacing w:after="0" w:line="261" w:lineRule="auto"/>
        <w:rPr>
          <w:sz w:val="20"/>
          <w:szCs w:val="20"/>
          <w:color w:val="auto"/>
        </w:rPr>
      </w:pPr>
      <w:r>
        <w:rPr>
          <w:rFonts w:ascii="Times New Roman" w:cs="Times New Roman" w:eastAsia="Times New Roman" w:hAnsi="Times New Roman"/>
          <w:sz w:val="18"/>
          <w:szCs w:val="18"/>
          <w:color w:val="auto"/>
        </w:rPr>
        <w:t>To meet projected needs for commercial sale quantities, we intend to build our own commercial manufacturing facility to supply and process products. Developing our own manufacturing capabilities may be costlier than we anticipate or result in significant delays. If we are unable to develop our own manufacturing capabilities, we may need to rely on CMOs, including both current and alternate suppliers, to ensure sufficient capacity is available for commercial purposes.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WuXi AppTec</w:t>
      </w:r>
    </w:p>
    <w:p>
      <w:pPr>
        <w:spacing w:after="0" w:line="229" w:lineRule="exact"/>
        <w:rPr>
          <w:sz w:val="20"/>
          <w:szCs w:val="20"/>
          <w:color w:val="auto"/>
        </w:rPr>
      </w:pPr>
    </w:p>
    <w:p>
      <w:pPr>
        <w:ind w:right="140" w:firstLine="492"/>
        <w:spacing w:after="0" w:line="258" w:lineRule="auto"/>
        <w:rPr>
          <w:sz w:val="20"/>
          <w:szCs w:val="20"/>
          <w:color w:val="auto"/>
        </w:rPr>
      </w:pPr>
      <w:r>
        <w:rPr>
          <w:rFonts w:ascii="Times New Roman" w:cs="Times New Roman" w:eastAsia="Times New Roman" w:hAnsi="Times New Roman"/>
          <w:sz w:val="18"/>
          <w:szCs w:val="18"/>
          <w:color w:val="auto"/>
        </w:rPr>
        <w:t>In November 2016, the Company entered into a three-year manufacturing and services agreement, or MSA, with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Company and WuXi have extended the terms of the related statements of work until May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Personalized Patient Product Management</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September 2017, we entered into a partnership with TrakCel Ltd. to build a scheduling and logistics software tool that automates the supply chain for our TIL therapy products. The TrakCel software will electronically link us with our clinical sites, CMOs and couriers to schedule and track TIL therapies for each patient. The TrakCel software is also intended to help manage capacity utilization and throughput and will provide efficiencies in the delivery of TIL treatment.</w:t>
      </w:r>
    </w:p>
    <w:p>
      <w:pPr>
        <w:spacing w:after="0" w:line="180"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TrakCel software is also designed to ensure chain of identity for each patient’s product. Because our product candidates are specifically manufactured for each individual patient, we will be required to maintain a chain of identity with respect to the patient’s tumor as it moves from the patient to the manufacturing facility, through the manufacturing process, and back to the patient.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Orphan Drug Designation</w:t>
      </w:r>
    </w:p>
    <w:p>
      <w:pPr>
        <w:spacing w:after="0" w:line="229" w:lineRule="exact"/>
        <w:rPr>
          <w:sz w:val="20"/>
          <w:szCs w:val="20"/>
          <w:color w:val="auto"/>
        </w:rPr>
      </w:pPr>
    </w:p>
    <w:p>
      <w:pPr>
        <w:ind w:right="80" w:firstLine="495"/>
        <w:spacing w:after="0" w:line="266" w:lineRule="auto"/>
        <w:rPr>
          <w:sz w:val="20"/>
          <w:szCs w:val="20"/>
          <w:color w:val="auto"/>
        </w:rPr>
      </w:pPr>
      <w:r>
        <w:rPr>
          <w:rFonts w:ascii="Times New Roman" w:cs="Times New Roman" w:eastAsia="Times New Roman" w:hAnsi="Times New Roman"/>
          <w:sz w:val="18"/>
          <w:szCs w:val="18"/>
          <w:color w:val="auto"/>
        </w:rPr>
        <w:t>During 2015, we received an orphan-drug designation for lifileucel in the United States to treat malignant melanoma stages IIB-IV. If approved,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76" w:lineRule="exact"/>
        <w:rPr>
          <w:sz w:val="20"/>
          <w:szCs w:val="20"/>
          <w:color w:val="auto"/>
        </w:rPr>
      </w:pPr>
    </w:p>
    <w:p>
      <w:pPr>
        <w:ind w:right="120" w:firstLine="495"/>
        <w:spacing w:after="0" w:line="282" w:lineRule="auto"/>
        <w:rPr>
          <w:sz w:val="20"/>
          <w:szCs w:val="20"/>
          <w:color w:val="auto"/>
        </w:rPr>
      </w:pPr>
      <w:r>
        <w:rPr>
          <w:rFonts w:ascii="Times New Roman" w:cs="Times New Roman" w:eastAsia="Times New Roman" w:hAnsi="Times New Roman"/>
          <w:sz w:val="18"/>
          <w:szCs w:val="18"/>
          <w:color w:val="auto"/>
        </w:rPr>
        <w:t>During 2018, we received an orphan drug designation from the FDA for L-145 for the treatment of cervical cancer with a tumor size of greater than 2 cm in diameter.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 Track Designation</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August 2017, we announced that the FDA had granted Fast Track designation for lifileucel for the treatment of advanced melanoma.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a rolling review of a BLA by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Regenerative Medicine Advanced Therapy Designation</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October 2018, we announced that the FDA had granted RMAT designation for lifileucel for the treatment of patients with metastatic melanoma. The RMAT designation is based on data provided to the FDA from our C-144-01 study.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Plan</w:t>
      </w:r>
    </w:p>
    <w:p>
      <w:pPr>
        <w:spacing w:after="0" w:line="229" w:lineRule="exact"/>
        <w:rPr>
          <w:sz w:val="20"/>
          <w:szCs w:val="20"/>
          <w:color w:val="auto"/>
        </w:rPr>
      </w:pPr>
    </w:p>
    <w:p>
      <w:pPr>
        <w:ind w:firstLine="495"/>
        <w:spacing w:after="0" w:line="313" w:lineRule="auto"/>
        <w:rPr>
          <w:sz w:val="20"/>
          <w:szCs w:val="20"/>
          <w:color w:val="auto"/>
        </w:rPr>
      </w:pPr>
      <w:r>
        <w:rPr>
          <w:rFonts w:ascii="Times New Roman" w:cs="Times New Roman" w:eastAsia="Times New Roman" w:hAnsi="Times New Roman"/>
          <w:sz w:val="17"/>
          <w:szCs w:val="17"/>
          <w:color w:val="auto"/>
        </w:rPr>
        <w:t>We currently have no sales, marketing or commercial product distribution capabilities. We have limited personnel dedicated to commercialization. As we make progress towards registration of lifileucel, we plan to build sales and commercialization capabilities in support of commercialization of our products.</w:t>
      </w:r>
    </w:p>
    <w:p>
      <w:pPr>
        <w:spacing w:after="0" w:line="138" w:lineRule="exact"/>
        <w:rPr>
          <w:sz w:val="20"/>
          <w:szCs w:val="20"/>
          <w:color w:val="auto"/>
        </w:rPr>
      </w:pPr>
    </w:p>
    <w:p>
      <w:pPr>
        <w:jc w:val="both"/>
        <w:ind w:right="80" w:firstLine="495"/>
        <w:spacing w:after="0" w:line="266" w:lineRule="auto"/>
        <w:rPr>
          <w:sz w:val="20"/>
          <w:szCs w:val="20"/>
          <w:color w:val="auto"/>
        </w:rPr>
      </w:pPr>
      <w:r>
        <w:rPr>
          <w:rFonts w:ascii="Times New Roman" w:cs="Times New Roman" w:eastAsia="Times New Roman" w:hAnsi="Times New Roman"/>
          <w:sz w:val="18"/>
          <w:szCs w:val="18"/>
          <w:color w:val="auto"/>
        </w:rPr>
        <w:t>We have not yet decided on a commercial strategy for our TIL products. Our commercial strategy for markets outside the U.S. may include the use of strategic partners, distributors, a contract sales force or the establishment of our own commercial infrastructure. We plan to further evaluate these alternatives as we approach approval for one of our product candidates.</w:t>
      </w:r>
    </w:p>
    <w:p>
      <w:pPr>
        <w:spacing w:after="0" w:line="176" w:lineRule="exact"/>
        <w:rPr>
          <w:sz w:val="20"/>
          <w:szCs w:val="20"/>
          <w:color w:val="auto"/>
        </w:rPr>
      </w:pPr>
    </w:p>
    <w:p>
      <w:pPr>
        <w:ind w:right="20" w:firstLine="495"/>
        <w:spacing w:after="0" w:line="266" w:lineRule="auto"/>
        <w:rPr>
          <w:sz w:val="20"/>
          <w:szCs w:val="20"/>
          <w:color w:val="auto"/>
        </w:rPr>
      </w:pPr>
      <w:r>
        <w:rPr>
          <w:rFonts w:ascii="Times New Roman" w:cs="Times New Roman" w:eastAsia="Times New Roman" w:hAnsi="Times New Roman"/>
          <w:sz w:val="18"/>
          <w:szCs w:val="18"/>
          <w:color w:val="auto"/>
        </w:rPr>
        <w:t>As additional product candidates advance through our pipeline, our commercial plans may change. Clinical data, size of the development programs, size of the target market, size of a commercial infrastructure, intellectual property protection and manufacturing needs may all influence our U.S., Europe and rest-of-world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18"/>
          <w:szCs w:val="18"/>
          <w:color w:val="auto"/>
        </w:rPr>
        <w:t>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also plan to rely on regulatory protection afforded through orphan drug designations, available regulatory exclusivities and patent term extensions where available. To achieve this objective, a strategic focus for us has been to develop our own intellectual property, while also identifying and licensing patents that provide protection and serve as an optimal platform to enhance our intellectual property and technology base.</w:t>
      </w:r>
    </w:p>
    <w:p>
      <w:pPr>
        <w:spacing w:after="0" w:line="188" w:lineRule="exact"/>
        <w:rPr>
          <w:sz w:val="20"/>
          <w:szCs w:val="20"/>
          <w:color w:val="auto"/>
        </w:rPr>
      </w:pPr>
    </w:p>
    <w:p>
      <w:pPr>
        <w:jc w:val="both"/>
        <w:ind w:right="180" w:firstLine="495"/>
        <w:spacing w:after="0" w:line="261" w:lineRule="auto"/>
        <w:rPr>
          <w:sz w:val="20"/>
          <w:szCs w:val="20"/>
          <w:color w:val="auto"/>
        </w:rPr>
      </w:pPr>
      <w:r>
        <w:rPr>
          <w:rFonts w:ascii="Times New Roman" w:cs="Times New Roman" w:eastAsia="Times New Roman" w:hAnsi="Times New Roman"/>
          <w:sz w:val="18"/>
          <w:szCs w:val="18"/>
          <w:color w:val="auto"/>
        </w:rPr>
        <w:t>We have engaged in the development of our own patent portfolio based on internal research and development activities in 2018. As a result, we now own a number of pending patent applications and granted patents in the fields of TIL therapy, marrow infiltrating lymphocyte or MIL therapy, PBL therapy, TIL, MIL, and PBL manufacturing processes, and TIL, MIL, and PBL expansion methods. Our patent portfolio includes two recently-granted U.S. patents related to our Gen 2 TIL manufacturing process. We expect to further develop our own patent portfolio as a strategic focus in 2019.</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36"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Research, Development and License Agreements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Currently, preclinical research and development is conducted primarily at our own internal research and development laboratory in Tampa, Florida, and additionally with the NCI, Moffitt, and MDACC, as described below. We also have preclinical collaborations with MDACC, RPCI, and Ohio State University. We sponsor our own clinical trials and also collaborate on investigator-sponsored clinical trials with the NCI, Moffitt, MDACC, and RPCI.</w:t>
      </w:r>
    </w:p>
    <w:p>
      <w:pPr>
        <w:spacing w:after="0" w:line="176"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addition, we hold exclusive, co-exclusive, and non-exclusive licenses to certain patent and other intellectual property rights with the National Institutes of Health, or NIH, an agency of the United States Public Health Service within the Department of Health and Human Services, Moffitt, MDACC, and PolyBioCept as described below in this Annual Report on Form 10-K.</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National Institutes of Health and the National Cancer Institute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w:t>
      </w:r>
    </w:p>
    <w:p>
      <w:pPr>
        <w:spacing w:after="0" w:line="227"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In August 2011, we signed a five-year CRADA with the NCI to work with Dr. Steven Rosenberg on developing adoptive cell immunotherapies that are designed to destroy metastatic melanoma cells using a patient’s tumor infiltrating lymphocytes.</w:t>
      </w:r>
    </w:p>
    <w:p>
      <w:pPr>
        <w:spacing w:after="0" w:line="16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 January 2015, we executed an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August 2016, the NCI and we entered into a second amendment to the CRADA. The principal changes effected by the second amendment included</w:t>
      </w:r>
    </w:p>
    <w:p>
      <w:pPr>
        <w:spacing w:after="0" w:line="27" w:lineRule="exact"/>
        <w:rPr>
          <w:sz w:val="20"/>
          <w:szCs w:val="20"/>
          <w:color w:val="auto"/>
        </w:rPr>
      </w:pPr>
    </w:p>
    <w:p>
      <w:pPr>
        <w:jc w:val="both"/>
        <w:ind w:right="200" w:firstLine="8"/>
        <w:spacing w:after="0" w:line="254"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will continue the development of improved methods for the generation and selection of unmodified TIL with anti-tumor reactivity in metastatic melanoma, bladder, lung, breast, and HPV-associated cancers.</w:t>
      </w:r>
    </w:p>
    <w:p>
      <w:pPr>
        <w:spacing w:after="0" w:line="186"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Pursuant to the terms of the CRADA, as amended, we are required to make quarterly payments of $0.5 million to the NCI for support of research activities. To the extent we license patent rights relating to TIL-based product candidates under this agreement, we will be responsible for all patent-related expenses and fees, past and future, relating to the TIL-based product candidate. In addition, we may be required to supply certain test articles, including TIL, grown and processed under cGMP conditions, suitable for use in clinical trials, where we hold the investigational new drug application for such clinical trial. The extended CRADA has a five-year term expiring in August 2021. Either party may unilaterally terminate the CRADA for any reason or for no reason at any time by providing written notice at least 60 days before the desired termination date.</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w:t>
      </w:r>
    </w:p>
    <w:p>
      <w:pPr>
        <w:spacing w:after="0" w:line="227"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Effective October 5, 2011, we entered into a Patent License Agreement (“the Patent License Agreement”) with the NIH, which Patent License Agreement was subsequently amended on February 9, 2015 and October 2, 2015. Pursuant to the Patent License Agreement as amended, the NIH granted us licenses, including exclusive, co-exclusive, and non-exclusive licenses, to certain technologies relating to unmodified autologous tumor infiltrating lymphocyte adoptive cell therapy products for the treatment of metastatic melanoma, lung, breast, bladder and HPV-positive cancers. Unless terminated sooner, the license shall remain in effect until the last licensed patent right expires.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227" w:lineRule="exact"/>
        <w:rPr>
          <w:sz w:val="20"/>
          <w:szCs w:val="20"/>
          <w:color w:val="auto"/>
        </w:rPr>
      </w:pPr>
    </w:p>
    <w:p>
      <w:pPr>
        <w:ind w:firstLine="492"/>
        <w:spacing w:after="0" w:line="272" w:lineRule="auto"/>
        <w:rPr>
          <w:sz w:val="20"/>
          <w:szCs w:val="20"/>
          <w:color w:val="auto"/>
        </w:rPr>
      </w:pPr>
      <w:r>
        <w:rPr>
          <w:rFonts w:ascii="Times New Roman" w:cs="Times New Roman" w:eastAsia="Times New Roman" w:hAnsi="Times New Roman"/>
          <w:sz w:val="17"/>
          <w:szCs w:val="17"/>
          <w:color w:val="auto"/>
        </w:rPr>
        <w:t>On February 10, 2015, we entered into an Exclusive Patent License Agreement (the “Exclusive Patent License Agreement”) with the NIH under which we received an exclusive license to the NIH’s rights to patent-pending technologies related to methods for improving adoptive cell therapy through potentially more potent and efficient production of TIL from melanoma tumors by selecting for T-cell populations that express various inhibitory receptors. Unless terminated sooner, the license shall remain in effect until the last licensed patent right expires. 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5" w:name="page16"/>
    <w:bookmarkEnd w:id="1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 Lee Moffitt Cancer Center</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Collaboration and Clinical Grant Agreements with Moffitt</w:t>
      </w:r>
    </w:p>
    <w:p>
      <w:pPr>
        <w:spacing w:after="0" w:line="22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 December 2016, we entered into a new three-year sponsored research agreement, or SRA, with Moffitt. The SRA covers research aimed at better understanding TIL products and enhancing the therapeutic efficacy of TIL.</w:t>
      </w:r>
    </w:p>
    <w:p>
      <w:pPr>
        <w:spacing w:after="0" w:line="162" w:lineRule="exact"/>
        <w:rPr>
          <w:sz w:val="20"/>
          <w:szCs w:val="20"/>
          <w:color w:val="auto"/>
        </w:rPr>
      </w:pPr>
    </w:p>
    <w:p>
      <w:pPr>
        <w:ind w:right="40" w:firstLine="486"/>
        <w:spacing w:after="0" w:line="276" w:lineRule="auto"/>
        <w:rPr>
          <w:sz w:val="20"/>
          <w:szCs w:val="20"/>
          <w:color w:val="auto"/>
        </w:rPr>
      </w:pPr>
      <w:r>
        <w:rPr>
          <w:rFonts w:ascii="Times New Roman" w:cs="Times New Roman" w:eastAsia="Times New Roman" w:hAnsi="Times New Roman"/>
          <w:sz w:val="17"/>
          <w:szCs w:val="17"/>
          <w:color w:val="auto"/>
        </w:rPr>
        <w:t>We have entered into three clinical grant agreements with Moffitt involving investigator-sponsored trials. In June 2017, we entered into a clinical grant agreement with Moffitt to evaluate TIL therapy in a clinical trial that combines TIL with nivolumab in NSCLC. Dosing in this clinical trial began in late</w:t>
      </w:r>
    </w:p>
    <w:p>
      <w:pPr>
        <w:spacing w:after="0" w:line="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8"/>
          <w:szCs w:val="18"/>
          <w:color w:val="auto"/>
        </w:rPr>
        <w:t>2017. This Phase 1 study (NCT03215810) is designed to enroll up to 18 patients with advanced NSCLC. Initial results were reported at the 19</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World Conference on Lung Cancer in September 2018. Under this clinical grant agreement, we obtained a non-exclusive, royalty-free license to any new Moffitt inventions made in the performance of the agreement. In December 2016, we entered into a clinical grant agreement with Moffitt under which we provide support for an ongoing clinical trial at Moffitt that combines TIL therapy with nivolumab for the treatment of patients with metastatic melanoma. In July 2014, we entered into a clinical grant agreement with Moffitt under which we provided support for a clinical trial at Moffitt that combines TIL therapy with ipilimumab for the treatment of patients with metastatic melanoma. Under all three clinical grant agreements with Moffit, we have non-exclusive rights to clinical data arising from the respective clinical trials.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Exclusive License Agreement with Moffitt</w:t>
      </w:r>
    </w:p>
    <w:p>
      <w:pPr>
        <w:spacing w:after="0" w:line="22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entered into a license agreement with Moffitt, or the “First Moffitt License”, effective as of June 28, 2014, under which we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8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First Moffitt License, we paid an upfront licensing fee in the amount of $0.1 million. A patent issuance fee will also be payable under the First Moffitt License, upon the issuance of the first U.S. patent covering the subject technology. In addition, we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us in agreement with Moffitt.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PolyBioCept and Karolinska University Hospital</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PolyBioCept Exclusive and Co-Exclusive License Agreement</w:t>
      </w:r>
    </w:p>
    <w:p>
      <w:pPr>
        <w:spacing w:after="0" w:line="227" w:lineRule="exact"/>
        <w:rPr>
          <w:sz w:val="20"/>
          <w:szCs w:val="20"/>
          <w:color w:val="auto"/>
        </w:rPr>
      </w:pPr>
    </w:p>
    <w:p>
      <w:pPr>
        <w:ind w:right="80" w:firstLine="486"/>
        <w:spacing w:after="0" w:line="274" w:lineRule="auto"/>
        <w:rPr>
          <w:sz w:val="20"/>
          <w:szCs w:val="20"/>
          <w:color w:val="auto"/>
        </w:rPr>
      </w:pPr>
      <w:r>
        <w:rPr>
          <w:rFonts w:ascii="Times New Roman" w:cs="Times New Roman" w:eastAsia="Times New Roman" w:hAnsi="Times New Roman"/>
          <w:sz w:val="17"/>
          <w:szCs w:val="17"/>
          <w:color w:val="auto"/>
        </w:rPr>
        <w:t>On September 14, 2016, we entered into an exclusive and co-exclusive license Agreement, or the PolyBioCept Agreement, with PolyBioCept. PolyBioCept has filed two patent applications with claims related to a cytokine cocktail for use in expansion of lymphocytes, one of which has been abandoned. Under the PolyBioCept Agreement, we received the exclusive right and license to PolyBioCept’s intellectual property to develop, manufacture, market and genetically engineer TIL produced by expansion, selection and enrichment using a proprietary cytokine cocktail. We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paid PolyBioCept a total of $2.5 million as an upfront exclusive license payment. We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our common stock. If all the foregoing product development, regulatory approval and sales milestone payments are met, we will have to pay PolyBioCept an additional $8.7 million and will have to issue to PolyBioCept a total 2,219,376 shares of unregistered common stock. In addition to these potential payments, we reimbursed PolyBioCept $0.2 million in expenses related to the transfer of know-how and paid PolyBioCept $0.1 million as a clinical trials management fee. The PolyBioCept Agreement has an initial term of 30 years and may be extended for additional five-year periods.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Karolinska University Hospital and Karolinska Institute Agreements</w:t>
      </w:r>
    </w:p>
    <w:p>
      <w:pPr>
        <w:spacing w:after="0" w:line="227"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execution of the PolyBioCept Agreement, we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In the year ended December 31, 2016, we paid Karolinska University Hospital $1.6 million to conduct these clinical trials. As of April 9, 2018, we terminated the clinical trials agreement with the Karolinska University Hospital. In June 2018, we received a refund of $1.6 million from Karolinska University Hospital, which resulted in a reversal of prior period expenses and a credit of $0.4 million in our consolidated statement of operations for the year ended December 31, 2018.</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6" w:name="page17"/>
    <w:bookmarkEnd w:id="16"/>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M.D. Anderson Cancer Center</w:t>
      </w:r>
    </w:p>
    <w:p>
      <w:pPr>
        <w:spacing w:after="0" w:line="22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In April 2017, we entered into a Strategic Alliance Agreement, or SAA, with MDACC under which we and MDACC agreed to conduct clinical and preclinical research studies. We agreed in the SAA to provide total funding not to exceed approximately $14.2 million for the performance of the multi-year studies under the SAA. In return, we will acquire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of all deliverables due to us from M.D. Anderson thereunder. In May 2017, the Company made a prepayment of $1.4 million under this agreement.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Roswell Park Cancer Institute</w:t>
      </w:r>
    </w:p>
    <w:p>
      <w:pPr>
        <w:spacing w:after="0" w:line="229"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In November 2018, we entered into an SAA with RPCI to conduct a clinical research study of TIL therapy in bladder cancer. The trial is being conducted and sponsored by RPCI and will use LN-145 manufactured by us. We plan to initiate dosing in this study in 2019. Previously, in July 2018, we entered into a Research Collaboration Agreement with Roswell Park Cancer Institute for a pre-clinical collaboration to explore the potential for TIL therapy in bladder and other cancers.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MedImmune</w:t>
      </w:r>
    </w:p>
    <w:p>
      <w:pPr>
        <w:spacing w:after="0" w:line="229" w:lineRule="exact"/>
        <w:rPr>
          <w:sz w:val="20"/>
          <w:szCs w:val="20"/>
          <w:color w:val="auto"/>
        </w:rPr>
      </w:pPr>
    </w:p>
    <w:p>
      <w:pPr>
        <w:ind w:right="80" w:firstLine="486"/>
        <w:spacing w:after="0" w:line="274" w:lineRule="auto"/>
        <w:rPr>
          <w:sz w:val="20"/>
          <w:szCs w:val="20"/>
          <w:color w:val="auto"/>
        </w:rPr>
      </w:pPr>
      <w:r>
        <w:rPr>
          <w:rFonts w:ascii="Times New Roman" w:cs="Times New Roman" w:eastAsia="Times New Roman" w:hAnsi="Times New Roman"/>
          <w:sz w:val="17"/>
          <w:szCs w:val="17"/>
          <w:color w:val="auto"/>
        </w:rPr>
        <w:t>In December 2015, we entered into a collaboration agreement, which we refer to as the MedImmune Agreement, with MedImmune, the global biologics research and development arm of AstraZeneca, to conduct clinical and preclinical research in immuno-oncology. Under the terms of the MedImmune Agreement, we will fund and conduct at least one clinical trial combining MedImmune's PD-L1 inhibitor, durvalumab, which will be supplied by MedImmune, with TIL product manufactured by us. In December 2017, under the MedImmune Agreement, we announced a Phase 2 multicenter clinical trial in NSCLC, IOV-LUN-201, to be sponsored by us. The protocol for this trial was amended in 2018 to enroll 12 anti-PD-1/ PD-L1 naïve NSCLC patients for treatment with durvalumab first, and if they fail to respond, for treatment with LN-145. This clinical trial is expected to begin enrolling patients in 2019.</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Ohio State University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2017, we entered into a preclinical research collaboration with the Ohio State University focused on TIL, MIL and PBL technologies.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collaboration focuses on hematologic malignancies in areas of poor prognostic cancer with high unmet need, which include AML and CLL.</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Cellectis and Phio</w:t>
      </w:r>
    </w:p>
    <w:p>
      <w:pPr>
        <w:spacing w:after="0" w:line="229" w:lineRule="exact"/>
        <w:rPr>
          <w:sz w:val="20"/>
          <w:szCs w:val="20"/>
          <w:color w:val="auto"/>
        </w:rPr>
      </w:pPr>
    </w:p>
    <w:p>
      <w:pPr>
        <w:ind w:right="260" w:firstLine="492"/>
        <w:spacing w:after="0" w:line="261" w:lineRule="auto"/>
        <w:rPr>
          <w:sz w:val="20"/>
          <w:szCs w:val="20"/>
          <w:color w:val="auto"/>
        </w:rPr>
      </w:pPr>
      <w:r>
        <w:rPr>
          <w:rFonts w:ascii="Times New Roman" w:cs="Times New Roman" w:eastAsia="Times New Roman" w:hAnsi="Times New Roman"/>
          <w:sz w:val="18"/>
          <w:szCs w:val="18"/>
          <w:color w:val="auto"/>
        </w:rPr>
        <w:t>In June 2018, we entered into a preclinical research collaboration with Cellectis S.A., or Cellectis, to investigate transcription activator-like effector nucleases, or TALEN, for genetic editing in conjunction with TIL therapy. In May 2018, we entered into a preclinical research collaboration with Phio Pharmaceuticals, Inc., or Phio, to investigate self-delivering ribonucleic acid interference methods for altering genetic expression in conjunction with TIL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put significant resources in developing novel and proprietary therapies for the treatment of cancer. We compete with multiple entities who have developed and are developing immuno-oncology therapies,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University Hospital at Herlev, and the University of Manchester. While these universities and public and private research institutions primarily have educational objectives, they may develop proprietary technologies that lead to other FDA-approved therapies or that secure patent protection. We anticipate that we will face possibly increasing competition as new drugs and therapies enter the market and advanced technologies become available.</w:t>
      </w:r>
    </w:p>
    <w:p>
      <w:pPr>
        <w:spacing w:after="0" w:line="18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Due to the promising clinical therapeutic effect of their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Bristol-Myers Squibb, Merck, Nektar Therapeutics, Idera Pharmaceuticals, Syndax Pharmaceuticals, Dynavax Technologies, Oncosec Medical, Immetacyte, WindMIL Therapeutics, and others. We also may compete with therapies based on genetically engineered T cells rendered reactive against tumor-associated antigens prior to their administration to patients. Genetically engineered T cells are being pursued by several companies, including Adaptimmune, Celgene (in collaboration with bluebird bio as well as through Celgene’s subsidiary Juno Therapeutics), Gilead Sciences, Novartis and others. To date, these technologies have been primarily applicable to hematologic malignancies, but their application in solid tumor indications may create competition with us.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17" w:name="page18"/>
    <w:bookmarkEnd w:id="17"/>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Competition for late stage melanoma patients may come, if approved, from several compounds currently under development. NKTR-214, a pegylated version of IL-2, a CD122 agonist, under development by Nektar, in combination with nivolumab has reported 20 out of 38 stage 4 treatment naïve melanoma patients reported a partial or complete response. NKTR-214 activates cancer-fighting T cells and natural killer cells directly in the tumor, and it boosts PD-1 expression. At least two companies are combining novel agents, such as TLR9 agonists, with checkpoint inhibitors in melanoma indications. Idera Pharmaceuticals reported preliminary results from an ongoing Phase 3 clinical trial of the TLR9 agonist IMO-2125 in combination with ipilimumab indicating an ORR of 29% in 34 melanoma patients who had previously received anti-PD-1 therapy. Dynavax reported preliminary results from an ongoing Phase 1b clinical trial of the TLR9 agonist SD-101 in combination with pembrolizumab indicating an ORR of 21% in 29 patients who had received prior anti-PD-1 therapy.</w:t>
      </w:r>
    </w:p>
    <w:p>
      <w:pPr>
        <w:spacing w:after="0" w:line="185"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While other types of cancer immunotherapies may potentially be used in combination with TIL, such as checkpoint inhibitors, to enhance efficacy, we also expect substantial direct competition from other types of immunotherapies. We face competition from immunotherapy treatments offered by companies such as Amgen, AstraZeneca, Bristol-Myers Squibb, Merck, and Roche. Immunotherapy is also being pursued by several biotechnology companies as well as by large-cap pharmaceutical companies. We cannot predict whether other types of immunotherapies may be enhanced and show greater efficacy. As a result, we may have direct and substantial competition from such immunotherapies in the future.</w:t>
      </w:r>
    </w:p>
    <w:p>
      <w:pPr>
        <w:spacing w:after="0" w:line="184"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18"/>
          <w:szCs w:val="18"/>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8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85" w:lineRule="exact"/>
        <w:rPr>
          <w:sz w:val="20"/>
          <w:szCs w:val="20"/>
          <w:color w:val="auto"/>
        </w:rPr>
      </w:pPr>
    </w:p>
    <w:p>
      <w:pPr>
        <w:ind w:right="120" w:firstLine="495"/>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18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Biologic products are regulated by the FDA under a combination of the Federal Food, Drug, and Cosmetic Act, or FFDCA,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The process required by the FDA before biologic product candidates may be marketed in the United States generally involves the following:</w:t>
      </w:r>
    </w:p>
    <w:p>
      <w:pPr>
        <w:spacing w:after="0" w:line="225" w:lineRule="exact"/>
        <w:rPr>
          <w:sz w:val="20"/>
          <w:szCs w:val="20"/>
          <w:color w:val="auto"/>
        </w:rPr>
      </w:pPr>
    </w:p>
    <w:p>
      <w:pPr>
        <w:ind w:left="820" w:right="80" w:hanging="326"/>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or GLP, regulation, as well as manufacturing development and formulation studies;</w:t>
      </w:r>
    </w:p>
    <w:p>
      <w:pPr>
        <w:ind w:left="820" w:right="40" w:hanging="326"/>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or centrally, before the trial is begun;</w:t>
      </w:r>
    </w:p>
    <w:p>
      <w:pPr>
        <w:spacing w:after="0" w:line="9" w:lineRule="exact"/>
        <w:rPr>
          <w:rFonts w:ascii="Times New Roman" w:cs="Times New Roman" w:eastAsia="Times New Roman" w:hAnsi="Times New Roman"/>
          <w:sz w:val="18"/>
          <w:szCs w:val="18"/>
          <w:color w:val="auto"/>
        </w:rPr>
      </w:pPr>
    </w:p>
    <w:p>
      <w:pPr>
        <w:ind w:left="820" w:right="140" w:hanging="326"/>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efficacy of the proposed biologic product candidate for its intended purpose;</w:t>
      </w: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pivotal clinical trial(s);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9" w:lineRule="exact"/>
        <w:rPr>
          <w:rFonts w:ascii="Times New Roman" w:cs="Times New Roman" w:eastAsia="Times New Roman" w:hAnsi="Times New Roman"/>
          <w:sz w:val="18"/>
          <w:szCs w:val="18"/>
          <w:color w:val="auto"/>
        </w:rPr>
      </w:pPr>
    </w:p>
    <w:p>
      <w:pPr>
        <w:ind w:left="820" w:right="80" w:hanging="326"/>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current Good Clinical Practices, or cGCPs; and</w:t>
      </w:r>
    </w:p>
    <w:p>
      <w:pPr>
        <w:spacing w:after="0" w:line="1" w:lineRule="exact"/>
        <w:rPr>
          <w:rFonts w:ascii="Times New Roman" w:cs="Times New Roman" w:eastAsia="Times New Roman" w:hAnsi="Times New Roman"/>
          <w:sz w:val="18"/>
          <w:szCs w:val="18"/>
          <w:color w:val="auto"/>
        </w:rPr>
      </w:pPr>
    </w:p>
    <w:p>
      <w:pPr>
        <w:ind w:left="820" w:right="60" w:hanging="326"/>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particular indications for use in the United States, which must be updated periodically when changes are made.</w:t>
      </w:r>
    </w:p>
    <w:p>
      <w:pPr>
        <w:spacing w:after="0" w:line="180"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trials due to safety concerns or non-compliance. Submission of an IND therefore may or may not result in FDA authorization to begin a clinical trial.</w:t>
      </w:r>
    </w:p>
    <w:p>
      <w:pPr>
        <w:spacing w:after="0" w:line="186"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pacing w:after="0" w:line="180"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w:t>
      </w:r>
    </w:p>
    <w:p>
      <w:pPr>
        <w:spacing w:after="0" w:line="188" w:lineRule="exact"/>
        <w:rPr>
          <w:sz w:val="20"/>
          <w:szCs w:val="20"/>
          <w:color w:val="auto"/>
        </w:rPr>
      </w:pPr>
    </w:p>
    <w:p>
      <w:pPr>
        <w:ind w:right="100" w:firstLine="495"/>
        <w:spacing w:after="0" w:line="256"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or centrally must review and approve the plan for any clinical trial, its informed consent form and any subject communications, before the clinical trial begins at that site, and upon amendment of the trial, and must monitor the study until completed. An IRB considers, among other things, whether the risks to individuals participating in the trials are minimized and are reasonable in relation to anticipated benefits and whether the planned human subject protections are adequate. Informed consent must be received from each study subject prior to participation in a clinical study. Progress reports detailing the results of the clinical trials must also be submitted at least annually to the FDA and the IRB and more frequently if serious adverse events or other significant safety information is found.</w:t>
      </w:r>
    </w:p>
    <w:p>
      <w:pPr>
        <w:spacing w:after="0" w:line="188" w:lineRule="exact"/>
        <w:rPr>
          <w:sz w:val="20"/>
          <w:szCs w:val="20"/>
          <w:color w:val="auto"/>
        </w:rPr>
      </w:pPr>
    </w:p>
    <w:p>
      <w:pPr>
        <w:ind w:right="120" w:firstLine="495"/>
        <w:spacing w:after="0" w:line="254" w:lineRule="auto"/>
        <w:rPr>
          <w:sz w:val="20"/>
          <w:szCs w:val="20"/>
          <w:color w:val="auto"/>
        </w:rPr>
      </w:pPr>
      <w:r>
        <w:rPr>
          <w:rFonts w:ascii="Times New Roman" w:cs="Times New Roman" w:eastAsia="Times New Roman" w:hAnsi="Times New Roman"/>
          <w:sz w:val="18"/>
          <w:szCs w:val="18"/>
          <w:color w:val="auto"/>
        </w:rPr>
        <w:t>Regulatory authorities, the IRB, or the sponsor may suspend a clinical trial at any time on various grounds, including a finding that the subjects are being exposed to an unacceptable health risk, that the trial is not being conducted in accordance with regulatory or IRB requirements, or that the trial is unlikely to meet its stated objectives. Sponsors may also discontinue studies or development programs for many reasons, including changing business objectives. Some studies also include oversight by an independent group of qualified experts organized by the clinical study sponsor, known as a data safety monitoring board, or DSMB, which provides recommendations and assessments for whether or not a study should move forward at designated check points based on access to certain data from the study. Following a review by a DSMB, the study may be halted if there is an unacceptable safety risk for subjects or on other grounds, such as failure to demonstrate efficacy. There are also requirements governing the reporting of ongoing clinical studies and clinical study results to public registries. For instance, we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jc w:val="both"/>
        <w:ind w:firstLine="495"/>
        <w:spacing w:after="0" w:line="289" w:lineRule="auto"/>
        <w:rPr>
          <w:sz w:val="20"/>
          <w:szCs w:val="20"/>
          <w:color w:val="auto"/>
        </w:rPr>
      </w:pPr>
      <w:r>
        <w:rPr>
          <w:rFonts w:ascii="Times New Roman" w:cs="Times New Roman" w:eastAsia="Times New Roman" w:hAnsi="Times New Roman"/>
          <w:sz w:val="17"/>
          <w:szCs w:val="17"/>
          <w:color w:val="auto"/>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p>
      <w:pPr>
        <w:spacing w:after="0" w:line="158" w:lineRule="exact"/>
        <w:rPr>
          <w:sz w:val="20"/>
          <w:szCs w:val="20"/>
          <w:color w:val="auto"/>
        </w:rPr>
      </w:pPr>
    </w:p>
    <w:p>
      <w:pPr>
        <w:ind w:left="820" w:right="80" w:hanging="326"/>
        <w:spacing w:after="0" w:line="257"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 w:lineRule="exact"/>
        <w:rPr>
          <w:rFonts w:ascii="Times New Roman" w:cs="Times New Roman" w:eastAsia="Times New Roman" w:hAnsi="Times New Roman"/>
          <w:sz w:val="18"/>
          <w:szCs w:val="18"/>
          <w:color w:val="auto"/>
        </w:rPr>
      </w:pPr>
    </w:p>
    <w:p>
      <w:pPr>
        <w:ind w:left="820" w:right="140" w:hanging="326"/>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 w:lineRule="exact"/>
        <w:rPr>
          <w:rFonts w:ascii="Times New Roman" w:cs="Times New Roman" w:eastAsia="Times New Roman" w:hAnsi="Times New Roman"/>
          <w:sz w:val="18"/>
          <w:szCs w:val="18"/>
          <w:color w:val="auto"/>
        </w:rPr>
      </w:pPr>
    </w:p>
    <w:p>
      <w:pPr>
        <w:jc w:val="both"/>
        <w:ind w:left="820" w:right="40" w:hanging="326"/>
        <w:spacing w:after="0" w:line="25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p>
      <w:pPr>
        <w:spacing w:after="0" w:line="1" w:lineRule="exact"/>
        <w:rPr>
          <w:rFonts w:ascii="Times New Roman" w:cs="Times New Roman" w:eastAsia="Times New Roman" w:hAnsi="Times New Roman"/>
          <w:sz w:val="18"/>
          <w:szCs w:val="18"/>
          <w:color w:val="auto"/>
        </w:rPr>
      </w:pPr>
    </w:p>
    <w:p>
      <w:pPr>
        <w:ind w:left="820" w:right="180" w:hanging="326"/>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 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0"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spacing w:after="0" w:line="185"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cGMP requirements. Investigational biologics and active ingredients imported into the United States are also subject to regulation by the FDA relating to their labeling and distribution. Further, the export of investigational products outside of the United States is subject to regulatory requirements of the importing country as well as U.S. export requirements under the FFDCA. Additional United States and foreign laws and regulations may also be applicable to the handling, import, export, and transportation of biological materials, including tissue samples.</w:t>
      </w:r>
    </w:p>
    <w:p>
      <w:pPr>
        <w:spacing w:after="0" w:line="184"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86"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molecular targets that the FDA determines to be substantially relevant to the growth or progression of pediatric cancer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0" w:name="page21"/>
    <w:bookmarkEnd w:id="20"/>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229"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the Prescription Drug User Fee Act, and the sponsor of an approved BLA is also subject to annual program fees. These fees are typically increased annually. A waiver of user fees may be obtained under certain limited circumstances.</w:t>
      </w:r>
    </w:p>
    <w:p>
      <w:pPr>
        <w:spacing w:after="0" w:line="185" w:lineRule="exact"/>
        <w:rPr>
          <w:sz w:val="20"/>
          <w:szCs w:val="20"/>
          <w:color w:val="auto"/>
        </w:rPr>
      </w:pPr>
    </w:p>
    <w:p>
      <w:pPr>
        <w:ind w:firstLine="495"/>
        <w:spacing w:after="0" w:line="261" w:lineRule="auto"/>
        <w:rPr>
          <w:sz w:val="20"/>
          <w:szCs w:val="20"/>
          <w:color w:val="auto"/>
        </w:rPr>
      </w:pPr>
      <w:r>
        <w:rPr>
          <w:rFonts w:ascii="Times New Roman" w:cs="Times New Roman" w:eastAsia="Times New Roman" w:hAnsi="Times New Roman"/>
          <w:sz w:val="18"/>
          <w:szCs w:val="18"/>
          <w:color w:val="auto"/>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80"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spacing w:after="0" w:line="185"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84" w:lineRule="exact"/>
        <w:rPr>
          <w:sz w:val="20"/>
          <w:szCs w:val="20"/>
          <w:color w:val="auto"/>
        </w:rPr>
      </w:pPr>
    </w:p>
    <w:p>
      <w:pPr>
        <w:ind w:right="140" w:firstLine="495"/>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w:t>
      </w:r>
    </w:p>
    <w:p>
      <w:pPr>
        <w:spacing w:after="0" w:line="180" w:lineRule="exact"/>
        <w:rPr>
          <w:sz w:val="20"/>
          <w:szCs w:val="20"/>
          <w:color w:val="auto"/>
        </w:rPr>
      </w:pPr>
    </w:p>
    <w:p>
      <w:pPr>
        <w:ind w:right="140" w:firstLine="495"/>
        <w:spacing w:after="0" w:line="274" w:lineRule="auto"/>
        <w:rPr>
          <w:sz w:val="20"/>
          <w:szCs w:val="20"/>
          <w:color w:val="auto"/>
        </w:rPr>
      </w:pPr>
      <w:r>
        <w:rPr>
          <w:rFonts w:ascii="Times New Roman" w:cs="Times New Roman" w:eastAsia="Times New Roman" w:hAnsi="Times New Roman"/>
          <w:sz w:val="17"/>
          <w:szCs w:val="17"/>
          <w:color w:val="auto"/>
        </w:rPr>
        <w:t>If the FDA determines that the application, manufacturing process or manufacturing facilities are not acceptable, it will outline the deficiencies in the submission and often will request additional testing, clinical studies,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spacing w:after="0" w:line="174"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right="60" w:firstLine="495"/>
        <w:spacing w:after="0" w:line="266" w:lineRule="auto"/>
        <w:rPr>
          <w:sz w:val="20"/>
          <w:szCs w:val="20"/>
          <w:color w:val="auto"/>
        </w:rPr>
      </w:pPr>
      <w:r>
        <w:rPr>
          <w:rFonts w:ascii="Times New Roman" w:cs="Times New Roman" w:eastAsia="Times New Roman" w:hAnsi="Times New Roman"/>
          <w:sz w:val="18"/>
          <w:szCs w:val="18"/>
          <w:color w:val="auto"/>
        </w:rPr>
        <w:t>If compliance with the pre- 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spacing w:after="0" w:line="176"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Rriority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spacing w:after="0" w:line="186" w:lineRule="exact"/>
        <w:rPr>
          <w:sz w:val="20"/>
          <w:szCs w:val="20"/>
          <w:color w:val="auto"/>
        </w:rPr>
      </w:pPr>
    </w:p>
    <w:p>
      <w:pPr>
        <w:ind w:right="100" w:firstLine="495"/>
        <w:spacing w:after="0" w:line="254"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spacing w:after="0" w:line="189" w:lineRule="exact"/>
        <w:rPr>
          <w:sz w:val="20"/>
          <w:szCs w:val="20"/>
          <w:color w:val="auto"/>
        </w:rPr>
      </w:pPr>
    </w:p>
    <w:p>
      <w:pPr>
        <w:ind w:right="20" w:firstLine="495"/>
        <w:spacing w:after="0" w:line="252" w:lineRule="auto"/>
        <w:rPr>
          <w:sz w:val="20"/>
          <w:szCs w:val="20"/>
          <w:color w:val="auto"/>
        </w:rPr>
      </w:pPr>
      <w:r>
        <w:rPr>
          <w:rFonts w:ascii="Times New Roman" w:cs="Times New Roman" w:eastAsia="Times New Roman" w:hAnsi="Times New Roman"/>
          <w:sz w:val="18"/>
          <w:szCs w:val="18"/>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Therapy designation also allows the sponsor to file sections of the BLA for review on a rolling basis.</w:t>
      </w:r>
    </w:p>
    <w:p>
      <w:pPr>
        <w:spacing w:after="0" w:line="19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Recently, through the 21st Century Cures Act, or Cures Act, Congress also established another expedited program, called a Regenerative Medicine Advanced Therapy, or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spacing w:after="0" w:line="185" w:lineRule="exact"/>
        <w:rPr>
          <w:sz w:val="20"/>
          <w:szCs w:val="20"/>
          <w:color w:val="auto"/>
        </w:rPr>
      </w:pPr>
    </w:p>
    <w:p>
      <w:pPr>
        <w:ind w:right="80" w:firstLine="495"/>
        <w:spacing w:after="0" w:line="266" w:lineRule="auto"/>
        <w:rPr>
          <w:sz w:val="20"/>
          <w:szCs w:val="20"/>
          <w:color w:val="auto"/>
        </w:rPr>
      </w:pPr>
      <w:r>
        <w:rPr>
          <w:rFonts w:ascii="Times New Roman" w:cs="Times New Roman" w:eastAsia="Times New Roman" w:hAnsi="Times New Roman"/>
          <w:sz w:val="18"/>
          <w:szCs w:val="18"/>
          <w:color w:val="auto"/>
        </w:rPr>
        <w:t>In August 2017, we announced that the FDA had granted Fast Track designation for lifileucel, for advanced metastatic melanoma. The Fast Track designation does not change the standards for approval but may expedite the development or approval process. In October 2018, we announced that lifileucel had received the RMAT designation for metastatic melanoma.</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229" w:lineRule="exact"/>
        <w:rPr>
          <w:sz w:val="20"/>
          <w:szCs w:val="20"/>
          <w:color w:val="auto"/>
        </w:rPr>
      </w:pPr>
    </w:p>
    <w:p>
      <w:pPr>
        <w:ind w:right="80" w:firstLine="495"/>
        <w:spacing w:after="0" w:line="266" w:lineRule="auto"/>
        <w:rPr>
          <w:sz w:val="20"/>
          <w:szCs w:val="20"/>
          <w:color w:val="auto"/>
        </w:rPr>
      </w:pPr>
      <w:r>
        <w:rPr>
          <w:rFonts w:ascii="Times New Roman" w:cs="Times New Roman" w:eastAsia="Times New Roman" w:hAnsi="Times New Roman"/>
          <w:sz w:val="18"/>
          <w:szCs w:val="18"/>
          <w:color w:val="auto"/>
        </w:rPr>
        <w:t>During 2015, we received an orphan drug designation for lifileucel in the United States to treat malignant melanoma stages IIB-IV. We plan to seek orphan drug designation for some or all our other product candidates in specific orphan indications in which there is a medically plausible basis for the use of such products.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right="280" w:firstLine="495"/>
        <w:spacing w:after="0" w:line="282" w:lineRule="auto"/>
        <w:rPr>
          <w:sz w:val="20"/>
          <w:szCs w:val="20"/>
          <w:color w:val="auto"/>
        </w:rPr>
      </w:pPr>
      <w:r>
        <w:rPr>
          <w:rFonts w:ascii="Times New Roman" w:cs="Times New Roman" w:eastAsia="Times New Roman" w:hAnsi="Times New Roman"/>
          <w:sz w:val="18"/>
          <w:szCs w:val="18"/>
          <w:color w:val="auto"/>
        </w:rPr>
        <w:t>During 2018, we received an orphan-drug designation from the FDA for LN-145 for the treatment of cervical cancer with a tumor size of great than 2cm in diameter.</w:t>
      </w:r>
    </w:p>
    <w:p>
      <w:pPr>
        <w:spacing w:after="0" w:line="162"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Additionally, sponsors must present a plausible hypothesis for clinical superiority to obtain orphan drug designation if there is a product already approved by the FDA that is intended for the same indication and that is considered by the FDA to be the same product as the already approved product. This hypothesis for clinical superiority must be demonstrated to obtain orphan exclusivity. Orphan drug designation must be requested before submitting a BLA. After the FDA grants orphan drug designation, the generic identity of the therapeutic agent and its potential orphan use are disclosed publicly by the FDA.</w:t>
      </w:r>
    </w:p>
    <w:p>
      <w:pPr>
        <w:spacing w:after="0" w:line="18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as sameness is defined in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opportunities for certain research grant funding, and a waiver of the BLA application fees. The tax credit, however, was recently limited through Congress’s tax reform efforts. Despite these benefits, the orphan drug designation does not convey any advantage in, or shorten the duration of, the regulatory review or approval process.</w:t>
      </w:r>
    </w:p>
    <w:p>
      <w:pPr>
        <w:spacing w:after="0" w:line="186"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and Data Exclusivity and Biosimilars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While the FDA may eventually license products, as further described below, that are biosimilar to any of our product candidates that are approved, our products may receive periods of regulatory exclusivity, in addition to orphan drug exclusivity for those products with orphan drug designations, providing additional protection from certain forms of competition. For instance, our products may receive 12 years of reference product exclusivity that begins running at the time of first licensure. During this time, the FDA may not make an approval of a biosimilar product effective and may not accept a biosimilar application for four years from the date of licensure. However, certain changes and supplements to an approved BLA, and subsequent applications filed by the same sponsor, manufacturer, licensor, predecessor in interest, or other related entity do not qualify for the exclusivity period. The PHSA also includes provisions to protect reference products that have patent protection. The biosimilar product sponsor and reference product sponsor may, but are not required to,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86"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 and Patent Term Extension</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This six-month exclusivity may be granted if 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signatures, fulfilling post-marketing study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Recent court decisions have impacted FDA’s enforcement activity regarding off-label promotion in light of First Amendment considerations; however, there are still significant risks in this area, in part due to the potential for False Claims Act exposure.</w:t>
      </w:r>
    </w:p>
    <w:p>
      <w:pPr>
        <w:spacing w:after="0" w:line="186"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that list their products,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are also subject to further FDA review and approval.</w:t>
      </w:r>
    </w:p>
    <w:p>
      <w:pPr>
        <w:spacing w:after="0" w:line="186"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The Drug Supply Chain Security Act, or DSCSA,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85"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Additional Biologic Requirements</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spacing w:after="0" w:line="18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29"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Our sales, promotion, medical education and other activities following product approval will be subject to regulation by numerous regulatory and law enforcement authorities in the United States, and in addition to the FDA, these entities may include the Federal Trade Commission, the Department of Justice, the Centers for Medicare &amp; Medicaid Services, other divisions of the Department of Health and Human Services and state and local governments. Our promotional and scientific/educational programs must comply with the federal Anti-Kickback Statute, or AKS, the Foreign Corrupt Practices Act, or FCPA, the False Claims Act, or FCA, the Veterans Health Care Act, physician payment transparency laws, privacy laws, security laws, and additional state laws similar to the foregoing.</w:t>
      </w:r>
    </w:p>
    <w:p>
      <w:pPr>
        <w:spacing w:after="0" w:line="188"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its facts and circumstances. Our practices may not in all cases meet all the criteria for protection under a statutory exception or regulatory safe harbor.</w:t>
      </w:r>
    </w:p>
    <w:p>
      <w:pPr>
        <w:spacing w:after="0" w:line="186"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federal AKS was amended by the Patient Protection Affordable Care Act of 2010, as amended by the Health Care and Education Reconciliation Act of 2010, which is collectively referred to as the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AKS constitutes a false or fraudulent claim for purposes of the federal civil False Claims Act. On January 31, 2019, the U.S. Department of Health and Human Services issued a proposed rule aimed at eliminating certain AKS safe harbor protections for drug rebates.</w:t>
      </w:r>
    </w:p>
    <w:p>
      <w:pPr>
        <w:spacing w:after="0" w:line="188" w:lineRule="exact"/>
        <w:rPr>
          <w:sz w:val="20"/>
          <w:szCs w:val="20"/>
          <w:color w:val="auto"/>
        </w:rPr>
      </w:pPr>
    </w:p>
    <w:p>
      <w:pPr>
        <w:ind w:right="60" w:firstLine="495"/>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176"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8"/>
          <w:szCs w:val="18"/>
          <w:color w:val="auto"/>
        </w:rPr>
        <w:t>The FCA imposes liability on persons who, among other things, knowingly present or cause to be presented false or fraudulent claims for payment to, or approval by the federal government knowingly making or using, or causing to be made or used a false statement or record material to a claim to the federal government, or avoiding, decreasing or concealing an obligation to pay money to the federal government. The civil FCA has been or can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may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9" w:lineRule="exact"/>
        <w:rPr>
          <w:sz w:val="20"/>
          <w:szCs w:val="20"/>
          <w:color w:val="auto"/>
        </w:rPr>
      </w:pPr>
    </w:p>
    <w:p>
      <w:pPr>
        <w:ind w:right="60" w:firstLine="495"/>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drugs by Medicaid or Medicare requires manufacturers of the drugs to submit pricing information to the Centers for Medicare &amp; Medicaid Services, or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risk of submitting false information to the government, and potential FCA liability.</w:t>
      </w:r>
    </w:p>
    <w:p>
      <w:pPr>
        <w:spacing w:after="0" w:line="193"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spacing w:after="0" w:line="184" w:lineRule="exact"/>
        <w:rPr>
          <w:sz w:val="20"/>
          <w:szCs w:val="20"/>
          <w:color w:val="auto"/>
        </w:rPr>
      </w:pPr>
    </w:p>
    <w:p>
      <w:pPr>
        <w:ind w:right="100" w:firstLine="495"/>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amended the intent requirement of certain of these criminal statutes under HIPAA so that a person or entity no longer needs to have actual knowledge of the statute, or the specific intent to violate it, to have committed a violation.</w:t>
      </w:r>
    </w:p>
    <w:p>
      <w:pPr>
        <w:spacing w:after="0" w:line="18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a person or entity that performs certain functions or activities that involve the use or disclosure of protected health information in connection with providing a service for or on behalf of, or provide services to,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w:t>
      </w:r>
    </w:p>
    <w:p>
      <w:pPr>
        <w:spacing w:after="0" w:line="186"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88" w:lineRule="exact"/>
        <w:rPr>
          <w:sz w:val="20"/>
          <w:szCs w:val="20"/>
          <w:color w:val="auto"/>
        </w:rPr>
      </w:pPr>
    </w:p>
    <w:p>
      <w:pPr>
        <w:ind w:right="40" w:firstLine="495"/>
        <w:spacing w:after="0" w:line="270" w:lineRule="auto"/>
        <w:rPr>
          <w:sz w:val="20"/>
          <w:szCs w:val="20"/>
          <w:color w:val="auto"/>
        </w:rPr>
      </w:pPr>
      <w:r>
        <w:rPr>
          <w:rFonts w:ascii="Times New Roman" w:cs="Times New Roman" w:eastAsia="Times New Roman" w:hAnsi="Times New Roman"/>
          <w:sz w:val="17"/>
          <w:szCs w:val="17"/>
          <w:color w:val="auto"/>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ACA.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Beginning in 2021, the reporting and transparency requirements for physicians will extend to physician assistants, nurse practitioners, and other mid-level healthcare professionals, requiring the reporting of payments and transfers made in that same calendar year. Additionally, certain states also mandate implementation of commercial compliance programs, impose restrictions on drug manufacturer marketing practices and/or require the tracking and reporting of gifts, compensation and other remuneration to physicians and other healthcare professionals.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84" w:gutter="0" w:footer="0" w:header="0"/>
        </w:sectPr>
      </w:pPr>
    </w:p>
    <w:bookmarkStart w:id="26" w:name="page27"/>
    <w:bookmarkEnd w:id="26"/>
    <w:p>
      <w:pPr>
        <w:ind w:right="140" w:firstLine="495"/>
        <w:spacing w:after="0" w:line="255" w:lineRule="auto"/>
        <w:rPr>
          <w:sz w:val="20"/>
          <w:szCs w:val="20"/>
          <w:color w:val="auto"/>
        </w:rPr>
      </w:pPr>
      <w:r>
        <w:rPr>
          <w:rFonts w:ascii="Times New Roman" w:cs="Times New Roman" w:eastAsia="Times New Roman" w:hAnsi="Times New Roman"/>
          <w:sz w:val="18"/>
          <w:szCs w:val="18"/>
          <w:color w:val="auto"/>
        </w:rPr>
        <w:t>Analogous state laws and regulations, such as state anti-kickback and false claims laws, may apply to items or services reimbursed by any third-party payor, including commercial insurers, and in some cases may apply regardless of payor. Some state laws require pharmaceutical companies to comply with the pharmaceutical industry's voluntary compliance guidelines and the relevant compliance guidance promulgated by the federal government in addition to requiring drug manufacturers to report pricing and marketing information, including, among other things, information related to payments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w:t>
      </w:r>
    </w:p>
    <w:p>
      <w:pPr>
        <w:spacing w:after="0" w:line="189" w:lineRule="exact"/>
        <w:rPr>
          <w:sz w:val="20"/>
          <w:szCs w:val="20"/>
          <w:color w:val="auto"/>
        </w:rPr>
      </w:pPr>
    </w:p>
    <w:p>
      <w:pPr>
        <w:ind w:right="140" w:firstLine="495"/>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6"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and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of third-party coverage and reimbursement. Third-party payors include Medicare, Medicaid, and other government programs at the federal and state level, managed care providers, private health insurers and other organizations. Third party payors decide which drugs they will pay for on behalf of their beneficiaries and establish reimbursement levels for health care. Although we currently believe that third-party payors will provide coverage and reimbursement for our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especially for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89" w:lineRule="exact"/>
        <w:rPr>
          <w:sz w:val="20"/>
          <w:szCs w:val="20"/>
          <w:color w:val="auto"/>
        </w:rPr>
      </w:pPr>
    </w:p>
    <w:p>
      <w:pPr>
        <w:ind w:right="20" w:firstLine="492"/>
        <w:spacing w:after="0" w:line="252" w:lineRule="auto"/>
        <w:rPr>
          <w:sz w:val="20"/>
          <w:szCs w:val="20"/>
          <w:color w:val="auto"/>
        </w:rPr>
      </w:pPr>
      <w:r>
        <w:rPr>
          <w:rFonts w:ascii="Times New Roman" w:cs="Times New Roman" w:eastAsia="Times New Roman" w:hAnsi="Times New Roman"/>
          <w:sz w:val="18"/>
          <w:szCs w:val="18"/>
          <w:color w:val="auto"/>
        </w:rPr>
        <w:t>Medicare is a federally-funded program managed by CMS through local contractors that administer coverage and reimbursement for certain healthcare items and services furnished to the elderly and disabled. Medicare Part A covers inpatient hospitalization and Medicare Part B covers outpatient medical services. Medicare coverage of drugs and biological products and payment rates to providers are established by federal law and regulations. Medicaid is an insurance program for certain categories of low income patients who are otherwise uninsured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United States,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healthcare services and products. In addition, government programs like Medicaid include substantial penalties for increasing commercial prices over the rate of inflation which can affect realization and return on investment. Further, some stakeholders have recently questioned whether the market price of prescription drugs may be inflated by virtue of the built-in cost imparted by the government rebate model, often negotiated indirectly in exchange for a coverage determination or formulary placement where relevant.</w:t>
      </w:r>
    </w:p>
    <w:p>
      <w:pPr>
        <w:spacing w:after="0" w:line="19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 Manufacturers frequently must rebate a portion of the prescription price to the third-party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 candidates or exclusion of our product candidates from coverage.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United States and on country and regional pricing and reimbursement controls in the European Union will likely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93"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240" w:firstLine="492"/>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federal and state legislative initiatives.</w:t>
      </w:r>
    </w:p>
    <w:p>
      <w:pPr>
        <w:spacing w:after="0" w:line="184"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2025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Although hospital trade associations filed a lawsuit challenging the regulation, the final rule is now in effect. These new laws may result in additional reductions in Medicare and other healthcare funding, which could have a material adverse effect on customers for our product candidates, if approved, and, accordingly, our financial operations.</w:t>
      </w:r>
    </w:p>
    <w:p>
      <w:pPr>
        <w:spacing w:after="0" w:line="185" w:lineRule="exact"/>
        <w:rPr>
          <w:sz w:val="20"/>
          <w:szCs w:val="20"/>
          <w:color w:val="auto"/>
        </w:rPr>
      </w:pPr>
    </w:p>
    <w:p>
      <w:pPr>
        <w:ind w:right="40" w:firstLine="495"/>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6"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jc w:val="both"/>
        <w:ind w:right="120" w:firstLine="492"/>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0"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18"/>
          <w:szCs w:val="18"/>
          <w:color w:val="auto"/>
        </w:rPr>
        <w:t>In the EU,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European Medicines Agency. Once granted by the European Commission, a centralized marketing authorization is valid in all EU member states, as well as the European Economic Area countries. By law, a company can only start to market a medicine once it has received a marketing authorization.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160" w:firstLine="495"/>
        <w:spacing w:after="0" w:line="261" w:lineRule="auto"/>
        <w:rPr>
          <w:sz w:val="20"/>
          <w:szCs w:val="20"/>
          <w:color w:val="auto"/>
        </w:rPr>
      </w:pPr>
      <w:r>
        <w:rPr>
          <w:rFonts w:ascii="Times New Roman" w:cs="Times New Roman" w:eastAsia="Times New Roman" w:hAnsi="Times New Roman"/>
          <w:sz w:val="18"/>
          <w:szCs w:val="18"/>
          <w:color w:val="auto"/>
        </w:rPr>
        <w:t>As of December 31, 2018, we had 88 employees, 67 of whom were engaged in research and development activities and 21 of whom were engaged in general and administrative support activities. None of our employees are subject to a collective bargaining agreement. We consider our relationship with our employees to be good. Our future performance depends significantly upon the continued service of our key scientific, technical and senior management personnel.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right="460" w:firstLine="495"/>
        <w:spacing w:after="0" w:line="266" w:lineRule="auto"/>
        <w:rPr>
          <w:sz w:val="20"/>
          <w:szCs w:val="20"/>
          <w:color w:val="auto"/>
        </w:rPr>
      </w:pPr>
      <w:r>
        <w:rPr>
          <w:rFonts w:ascii="Times New Roman" w:cs="Times New Roman" w:eastAsia="Times New Roman" w:hAnsi="Times New Roman"/>
          <w:sz w:val="18"/>
          <w:szCs w:val="18"/>
          <w:color w:val="auto"/>
        </w:rPr>
        <w:t>We maintain a website at www.iovance.com and make available there, free of charge, our periodic reports filed with the Securities and Exchange Commission (SEC), as soon as is reasonably practicable after filing. The SEC maintains a website at http:/www.sec.gov that contains reports, proxy and information statements, and other information regarding issuers such as us that file electronically with the SEC.</w:t>
      </w:r>
    </w:p>
    <w:p>
      <w:pPr>
        <w:spacing w:after="0" w:line="172"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 profitable.</w:t>
      </w:r>
    </w:p>
    <w:p>
      <w:pPr>
        <w:spacing w:after="0" w:line="229"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December 31, 2018, we had an accumulated deficit of $372.8 million. In addition, during the fiscal year ended December 31, 2018, we incurred a net loss of $123.6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88" w:lineRule="exact"/>
        <w:rPr>
          <w:sz w:val="20"/>
          <w:szCs w:val="20"/>
          <w:color w:val="auto"/>
        </w:rPr>
      </w:pPr>
    </w:p>
    <w:p>
      <w:pPr>
        <w:jc w:val="both"/>
        <w:ind w:right="40" w:firstLine="495"/>
        <w:spacing w:after="0" w:line="266" w:lineRule="auto"/>
        <w:rPr>
          <w:sz w:val="20"/>
          <w:szCs w:val="20"/>
          <w:color w:val="auto"/>
        </w:rPr>
      </w:pPr>
      <w:r>
        <w:rPr>
          <w:rFonts w:ascii="Times New Roman" w:cs="Times New Roman" w:eastAsia="Times New Roman" w:hAnsi="Times New Roman"/>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operating our current business, which makes it difficult to evaluate our business plan and our prospects.</w:t>
      </w:r>
    </w:p>
    <w:p>
      <w:pPr>
        <w:spacing w:after="0" w:line="229" w:lineRule="exact"/>
        <w:rPr>
          <w:sz w:val="20"/>
          <w:szCs w:val="20"/>
          <w:color w:val="auto"/>
        </w:rPr>
      </w:pPr>
    </w:p>
    <w:p>
      <w:pPr>
        <w:ind w:firstLine="495"/>
        <w:spacing w:after="0" w:line="261" w:lineRule="auto"/>
        <w:rPr>
          <w:sz w:val="20"/>
          <w:szCs w:val="20"/>
          <w:color w:val="auto"/>
        </w:rPr>
      </w:pPr>
      <w:r>
        <w:rPr>
          <w:rFonts w:ascii="Times New Roman" w:cs="Times New Roman" w:eastAsia="Times New Roman" w:hAnsi="Times New Roman"/>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sound business plan and research and development strategy, we have only a limited operating history against which we can test our plans and assumptions, and investors therefore cannot evaluate the likelihood of our success.</w:t>
      </w:r>
    </w:p>
    <w:p>
      <w:pPr>
        <w:spacing w:after="0" w:line="180"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We face the problems, expenses, difficulties, complications and delays normally associated with a small,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900" w:gutter="0" w:footer="0" w:header="0"/>
        </w:sectPr>
      </w:pPr>
    </w:p>
    <w:bookmarkStart w:id="29" w:name="page30"/>
    <w:bookmarkEnd w:id="29"/>
    <w:p>
      <w:pPr>
        <w:ind w:right="3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pacing w:after="0" w:line="18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w:t>
      </w:r>
    </w:p>
    <w:p>
      <w:pPr>
        <w:spacing w:after="0" w:line="17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have not previously submitted a BLA to the FDA, or similar marketing application to comparable foreign authorities, for any product candidate, and we cannot be certain that our current or any future product candidates will be successful in clinical trials or receive regulatory approval.</w:t>
      </w:r>
    </w:p>
    <w:p>
      <w:pPr>
        <w:spacing w:after="0" w:line="16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820" w:right="300" w:hanging="326"/>
        <w:spacing w:after="0" w:line="261"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or contract with a third party for a sales force to commercialize product candidates in the United States;</w:t>
      </w:r>
    </w:p>
    <w:p>
      <w:pPr>
        <w:spacing w:after="0" w:line="9" w:lineRule="exact"/>
        <w:rPr>
          <w:rFonts w:ascii="Times New Roman" w:cs="Times New Roman" w:eastAsia="Times New Roman" w:hAnsi="Times New Roman"/>
          <w:sz w:val="18"/>
          <w:szCs w:val="18"/>
          <w:color w:val="auto"/>
        </w:rPr>
      </w:pPr>
    </w:p>
    <w:p>
      <w:pPr>
        <w:ind w:left="820" w:right="260" w:hanging="326"/>
        <w:spacing w:after="0" w:line="250"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in sufficient quantities and at acceptable quality and manufacturing cost to meet commercial demand at launch and thereafter;</w:t>
      </w: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9" w:lineRule="exact"/>
        <w:rPr>
          <w:rFonts w:ascii="Times New Roman" w:cs="Times New Roman" w:eastAsia="Times New Roman" w:hAnsi="Times New Roman"/>
          <w:sz w:val="18"/>
          <w:szCs w:val="18"/>
          <w:color w:val="auto"/>
        </w:rPr>
      </w:pPr>
    </w:p>
    <w:p>
      <w:pPr>
        <w:ind w:left="820" w:right="180" w:hanging="326"/>
        <w:spacing w:after="0" w:line="250"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product candidates in foreign markets where we receive marketing approval;</w:t>
      </w: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conducting clinical trials and face risks due to the need to rely on third parties.</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have limited experience conducting pre-clinical and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We have limited experience in designing clinical trials and may be unable to design and execute a clinical trial to support marketing approval.</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30" w:name="page31"/>
    <w:bookmarkEnd w:id="30"/>
    <w:p>
      <w:pPr>
        <w:ind w:right="40" w:firstLine="495"/>
        <w:spacing w:after="0" w:line="258" w:lineRule="auto"/>
        <w:rPr>
          <w:sz w:val="20"/>
          <w:szCs w:val="20"/>
          <w:color w:val="auto"/>
        </w:rPr>
      </w:pPr>
      <w:r>
        <w:rPr>
          <w:rFonts w:ascii="Times New Roman" w:cs="Times New Roman" w:eastAsia="Times New Roman" w:hAnsi="Times New Roman"/>
          <w:sz w:val="18"/>
          <w:szCs w:val="18"/>
          <w:color w:val="auto"/>
        </w:rPr>
        <w:t>Prior to 2015, all the preclinical and clinical trials relating to our product candidates manufactured using the Gen 1 process had been conducted by the NCI. We have recruited a team that has experience with clinical trials; however, we as a company have limited experience in conducting clinical trials. In part because of this lack of experience, we cannot be certain that our ongoing clinical trials will be completed on time, if at all, will progress according to our plans or expectations, or that our planned clinical trials will be initiated, progress according to our plans or expectations, or be completed on time, if they are completed at all.</w:t>
      </w:r>
    </w:p>
    <w:p>
      <w:pPr>
        <w:spacing w:after="0" w:line="184"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Large-scale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8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For example, as of April 9, 2018, we terminated our clinical trials agreement with the Karolinska University Hospital. If we need to enter into alternative arrangements, that could delay our product development activities and adversely affect our business.</w:t>
      </w:r>
    </w:p>
    <w:p>
      <w:pPr>
        <w:spacing w:after="0" w:line="189"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 regulations.</w:t>
      </w:r>
    </w:p>
    <w:p>
      <w:pPr>
        <w:spacing w:after="0" w:line="193" w:lineRule="exact"/>
        <w:rPr>
          <w:sz w:val="20"/>
          <w:szCs w:val="20"/>
          <w:color w:val="auto"/>
        </w:rPr>
      </w:pPr>
    </w:p>
    <w:p>
      <w:pPr>
        <w:jc w:val="both"/>
        <w:ind w:right="580" w:firstLine="495"/>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76" w:lineRule="exact"/>
        <w:rPr>
          <w:sz w:val="20"/>
          <w:szCs w:val="20"/>
          <w:color w:val="auto"/>
        </w:rPr>
      </w:pPr>
    </w:p>
    <w:p>
      <w:pPr>
        <w:ind w:right="280" w:firstLine="495"/>
        <w:spacing w:after="0" w:line="261"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can result in enforcement actions and adverse publicity.</w:t>
      </w:r>
    </w:p>
    <w:p>
      <w:pPr>
        <w:spacing w:after="0" w:line="180"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firstLine="495"/>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88" w:lineRule="exact"/>
        <w:rPr>
          <w:sz w:val="20"/>
          <w:szCs w:val="20"/>
          <w:color w:val="auto"/>
        </w:rPr>
      </w:pPr>
    </w:p>
    <w:p>
      <w:pPr>
        <w:ind w:right="180" w:firstLine="495"/>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distribute our products for the clinical trials that we conduct. Any performance failure on the part of our distributors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72" w:lineRule="exact"/>
        <w:rPr>
          <w:sz w:val="20"/>
          <w:szCs w:val="20"/>
          <w:color w:val="auto"/>
        </w:rPr>
      </w:pPr>
    </w:p>
    <w:p>
      <w:pPr>
        <w:ind w:right="5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59" w:lineRule="exact"/>
        <w:rPr>
          <w:sz w:val="20"/>
          <w:szCs w:val="20"/>
          <w:color w:val="auto"/>
        </w:rPr>
      </w:pPr>
    </w:p>
    <w:p>
      <w:pPr>
        <w:ind w:right="140" w:firstLine="495"/>
        <w:spacing w:after="0" w:line="255"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plan to initiate trials in new indications, and new cohorts in existing trials. Even as these trials progress, issues may arise that could require us to suspend or terminate such clinical trials or could cause the results of one cohort to differ from a prior cohort.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89"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data to support the initiation of clinical studies;</w:t>
      </w:r>
    </w:p>
    <w:p>
      <w:pPr>
        <w:spacing w:after="0" w:line="27" w:lineRule="exact"/>
        <w:rPr>
          <w:rFonts w:ascii="Times New Roman" w:cs="Times New Roman" w:eastAsia="Times New Roman" w:hAnsi="Times New Roman"/>
          <w:sz w:val="18"/>
          <w:szCs w:val="18"/>
          <w:color w:val="auto"/>
        </w:rPr>
      </w:pPr>
    </w:p>
    <w:p>
      <w:pPr>
        <w:ind w:left="820" w:right="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regulatory agencies on study design;</w:t>
      </w:r>
    </w:p>
    <w:p>
      <w:pPr>
        <w:spacing w:after="0" w:line="9" w:lineRule="exact"/>
        <w:rPr>
          <w:rFonts w:ascii="Times New Roman" w:cs="Times New Roman" w:eastAsia="Times New Roman" w:hAnsi="Times New Roman"/>
          <w:sz w:val="18"/>
          <w:szCs w:val="18"/>
          <w:color w:val="auto"/>
        </w:rPr>
      </w:pPr>
    </w:p>
    <w:p>
      <w:pPr>
        <w:ind w:left="820" w:right="1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9" w:lineRule="exact"/>
        <w:rPr>
          <w:rFonts w:ascii="Times New Roman" w:cs="Times New Roman" w:eastAsia="Times New Roman" w:hAnsi="Times New Roman"/>
          <w:sz w:val="18"/>
          <w:szCs w:val="18"/>
          <w:color w:val="auto"/>
        </w:rPr>
      </w:pPr>
    </w:p>
    <w:p>
      <w:pPr>
        <w:ind w:left="820" w:right="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ind w:left="820" w:right="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study site;</w:t>
      </w:r>
    </w:p>
    <w:p>
      <w:pPr>
        <w:spacing w:after="0" w:line="9" w:lineRule="exact"/>
        <w:rPr>
          <w:rFonts w:ascii="Times New Roman" w:cs="Times New Roman" w:eastAsia="Times New Roman" w:hAnsi="Times New Roman"/>
          <w:sz w:val="18"/>
          <w:szCs w:val="18"/>
          <w:color w:val="auto"/>
        </w:rPr>
      </w:pPr>
    </w:p>
    <w:p>
      <w:pPr>
        <w:ind w:left="820" w:right="6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studies;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adding new investigators or clinical trial sites, or withdrawal of clinical trial sites from a study;</w:t>
      </w:r>
    </w:p>
    <w:p>
      <w:pPr>
        <w:spacing w:after="0" w:line="9" w:lineRule="exact"/>
        <w:rPr>
          <w:rFonts w:ascii="Times New Roman" w:cs="Times New Roman" w:eastAsia="Times New Roman" w:hAnsi="Times New Roman"/>
          <w:sz w:val="18"/>
          <w:szCs w:val="18"/>
          <w:color w:val="auto"/>
        </w:rPr>
      </w:pPr>
    </w:p>
    <w:p>
      <w:pPr>
        <w:ind w:left="820" w:right="40" w:hanging="326"/>
        <w:spacing w:after="0" w:line="265" w:lineRule="auto"/>
        <w:tabs>
          <w:tab w:leader="none" w:pos="8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change in strategic direction for an indication resulting from differences in results between cohorts in a clinical trial, such as Cohort 2 and Cohort 4 of the C-144-01 clinical trial, including differences in patient population, or from different interpretations of the results using a BIRC;</w:t>
      </w:r>
    </w:p>
    <w:p>
      <w:pPr>
        <w:ind w:left="820" w:right="66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patients, or other third parties, or us to adhere to clinical study requirements, including regulatory, contractual or protocol requirements;</w:t>
      </w: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cGCP requirements, or applicable regulatory guidelines in other countries;</w:t>
      </w:r>
    </w:p>
    <w:p>
      <w:pPr>
        <w:spacing w:after="0" w:line="9" w:lineRule="exact"/>
        <w:rPr>
          <w:rFonts w:ascii="Times New Roman" w:cs="Times New Roman" w:eastAsia="Times New Roman" w:hAnsi="Times New Roman"/>
          <w:sz w:val="18"/>
          <w:szCs w:val="18"/>
          <w:color w:val="auto"/>
        </w:rPr>
      </w:pPr>
    </w:p>
    <w:p>
      <w:pPr>
        <w:ind w:left="820" w:right="22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w:t>
      </w:r>
    </w:p>
    <w:p>
      <w:pPr>
        <w:ind w:left="820" w:right="6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study;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9" w:lineRule="exact"/>
        <w:rPr>
          <w:rFonts w:ascii="Times New Roman" w:cs="Times New Roman" w:eastAsia="Times New Roman" w:hAnsi="Times New Roman"/>
          <w:sz w:val="18"/>
          <w:szCs w:val="18"/>
          <w:color w:val="auto"/>
        </w:rPr>
      </w:pPr>
    </w:p>
    <w:p>
      <w:pPr>
        <w:ind w:left="820" w:right="24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820" w:right="26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9" w:lineRule="exact"/>
        <w:rPr>
          <w:rFonts w:ascii="Times New Roman" w:cs="Times New Roman" w:eastAsia="Times New Roman" w:hAnsi="Times New Roman"/>
          <w:sz w:val="18"/>
          <w:szCs w:val="18"/>
          <w:color w:val="auto"/>
        </w:rPr>
      </w:pPr>
    </w:p>
    <w:p>
      <w:pPr>
        <w:ind w:left="820" w:right="280" w:hanging="326"/>
        <w:spacing w:after="0" w:line="250"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6"/>
        <w:spacing w:after="0" w:line="255"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2" w:name="page33"/>
    <w:bookmarkEnd w:id="32"/>
    <w:p>
      <w:pPr>
        <w:ind w:left="820" w:right="60" w:hanging="326"/>
        <w:spacing w:after="0" w:line="255"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Times New Roman" w:cs="Times New Roman" w:eastAsia="Times New Roman" w:hAnsi="Times New Roman"/>
          <w:sz w:val="18"/>
          <w:szCs w:val="18"/>
          <w:color w:val="auto"/>
        </w:rPr>
      </w:pPr>
    </w:p>
    <w:p>
      <w:pPr>
        <w:ind w:left="820" w:right="180" w:hanging="326"/>
        <w:spacing w:after="0" w:line="250"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spacing w:after="0" w:line="9" w:lineRule="exact"/>
        <w:rPr>
          <w:rFonts w:ascii="Times New Roman" w:cs="Times New Roman" w:eastAsia="Times New Roman" w:hAnsi="Times New Roman"/>
          <w:sz w:val="18"/>
          <w:szCs w:val="18"/>
          <w:color w:val="auto"/>
        </w:rPr>
      </w:pPr>
    </w:p>
    <w:p>
      <w:pPr>
        <w:ind w:left="820" w:right="460" w:hanging="326"/>
        <w:spacing w:after="0" w:line="250"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making a decision on our product candidates;</w:t>
      </w:r>
    </w:p>
    <w:p>
      <w:pPr>
        <w:spacing w:after="0" w:line="9"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contract manufacturers or other larger-scale facilities operated by a CMO and delays or failure by our CMOs or us to make any necessary changes to such manufacturing process;</w:t>
      </w:r>
    </w:p>
    <w:p>
      <w:pPr>
        <w:ind w:left="820" w:right="300" w:hanging="326"/>
        <w:spacing w:after="0" w:line="250"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ind w:left="820" w:right="360" w:hanging="326"/>
        <w:spacing w:after="0" w:line="290" w:lineRule="auto"/>
        <w:tabs>
          <w:tab w:leader="none" w:pos="8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58"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84"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By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non-approval of a BLA.</w:t>
      </w:r>
    </w:p>
    <w:p>
      <w:pPr>
        <w:spacing w:after="0" w:line="185" w:lineRule="exact"/>
        <w:rPr>
          <w:sz w:val="20"/>
          <w:szCs w:val="20"/>
          <w:color w:val="auto"/>
        </w:rPr>
      </w:pPr>
    </w:p>
    <w:p>
      <w:pPr>
        <w:ind w:right="160" w:firstLine="495"/>
        <w:spacing w:after="0" w:line="266" w:lineRule="auto"/>
        <w:rPr>
          <w:sz w:val="20"/>
          <w:szCs w:val="20"/>
          <w:color w:val="auto"/>
        </w:rPr>
      </w:pPr>
      <w:r>
        <w:rPr>
          <w:rFonts w:ascii="Times New Roman" w:cs="Times New Roman" w:eastAsia="Times New Roman" w:hAnsi="Times New Roman"/>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6"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neither of our product candidates nor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229" w:lineRule="exact"/>
        <w:rPr>
          <w:sz w:val="20"/>
          <w:szCs w:val="20"/>
          <w:color w:val="auto"/>
        </w:rPr>
      </w:pPr>
    </w:p>
    <w:p>
      <w:pPr>
        <w:ind w:right="80" w:firstLine="540"/>
        <w:spacing w:after="0" w:line="261"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firstLine="495"/>
        <w:spacing w:after="0" w:line="252" w:lineRule="auto"/>
        <w:rPr>
          <w:sz w:val="20"/>
          <w:szCs w:val="20"/>
          <w:color w:val="auto"/>
        </w:rPr>
      </w:pPr>
      <w:r>
        <w:rPr>
          <w:rFonts w:ascii="Times New Roman" w:cs="Times New Roman" w:eastAsia="Times New Roman" w:hAnsi="Times New Roman"/>
          <w:sz w:val="18"/>
          <w:szCs w:val="18"/>
          <w:color w:val="auto"/>
        </w:rPr>
        <w:t>We have opened enrollment of our company-sponsored, Phase 2 clinical trials to establish the feasibility of our product, and to assess its overall safety in patients with metastatic melanoma, cervical, head and neck and lung cancers. However, we may experience difficulties in patient enrollment in our clinical trials for a variety of reasons. For example, we have nine active clinical sites for the company-sponsored NSCLC study, yet we have not yet been able to infuse any patients. As a further example, KEYTRUDA has recently been approved in cervical cancer patients that expressed PD-L1≥ 1. We have recently amended the protocol for our cervical cancer study to exclude patients with prior immunotherapy treatment and to limit the number of prior treatments to no more than three. It is difficult to assess the impact, if any, on the recent approval of KEYTRUDA and the amendment of the protocol on the potential enrollment in the cervical cancer study. Our ability to enroll or treat patients in our other studies, or the duration or costs of those studies, could be affected by similar factors. Furthermore,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99" w:lineRule="exact"/>
        <w:rPr>
          <w:sz w:val="20"/>
          <w:szCs w:val="20"/>
          <w:color w:val="auto"/>
        </w:rPr>
      </w:pPr>
    </w:p>
    <w:p>
      <w:pPr>
        <w:ind w:right="220" w:firstLine="495"/>
        <w:spacing w:after="0" w:line="261"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0"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have to rely on our CMOs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72" w:lineRule="exact"/>
        <w:rPr>
          <w:sz w:val="20"/>
          <w:szCs w:val="20"/>
          <w:color w:val="auto"/>
        </w:rPr>
      </w:pPr>
    </w:p>
    <w:p>
      <w:pPr>
        <w:ind w:right="5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5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are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82" w:lineRule="exact"/>
        <w:rPr>
          <w:sz w:val="20"/>
          <w:szCs w:val="20"/>
          <w:color w:val="auto"/>
        </w:rPr>
      </w:pPr>
    </w:p>
    <w:p>
      <w:pPr>
        <w:ind w:right="24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59"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95" w:lineRule="exact"/>
        <w:rPr>
          <w:sz w:val="20"/>
          <w:szCs w:val="20"/>
          <w:color w:val="auto"/>
        </w:rPr>
      </w:pPr>
    </w:p>
    <w:p>
      <w:pPr>
        <w:ind w:right="180" w:firstLine="492"/>
        <w:spacing w:after="0" w:line="256" w:lineRule="auto"/>
        <w:rPr>
          <w:sz w:val="20"/>
          <w:szCs w:val="20"/>
          <w:color w:val="auto"/>
        </w:rPr>
      </w:pPr>
      <w:r>
        <w:rPr>
          <w:rFonts w:ascii="Times New Roman" w:cs="Times New Roman" w:eastAsia="Times New Roman" w:hAnsi="Times New Roman"/>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84" w:gutter="0" w:footer="0" w:header="0"/>
        </w:sectPr>
      </w:pPr>
    </w:p>
    <w:bookmarkStart w:id="34" w:name="page35"/>
    <w:bookmarkEnd w:id="34"/>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develop our product candidates for use with other oncology products, the design, implementation, and interpretation of the clinical trials necessary for marketing approval may be more complex than if we were developing our product candidates alone.</w:t>
      </w:r>
    </w:p>
    <w:p>
      <w:pPr>
        <w:spacing w:after="0" w:line="188"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0" w:lineRule="exact"/>
        <w:rPr>
          <w:sz w:val="20"/>
          <w:szCs w:val="20"/>
          <w:color w:val="auto"/>
        </w:rPr>
      </w:pPr>
    </w:p>
    <w:p>
      <w:pPr>
        <w:ind w:right="140" w:firstLine="495"/>
        <w:spacing w:after="0" w:line="255" w:lineRule="auto"/>
        <w:rPr>
          <w:sz w:val="20"/>
          <w:szCs w:val="20"/>
          <w:color w:val="auto"/>
        </w:rPr>
      </w:pPr>
      <w:r>
        <w:rPr>
          <w:rFonts w:ascii="Times New Roman" w:cs="Times New Roman" w:eastAsia="Times New Roman" w:hAnsi="Times New Roman"/>
          <w:sz w:val="18"/>
          <w:szCs w:val="18"/>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85" w:lineRule="exact"/>
        <w:rPr>
          <w:sz w:val="20"/>
          <w:szCs w:val="20"/>
          <w:color w:val="auto"/>
        </w:rPr>
      </w:pPr>
    </w:p>
    <w:p>
      <w:pPr>
        <w:ind w:right="4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59" w:lineRule="exact"/>
        <w:rPr>
          <w:sz w:val="20"/>
          <w:szCs w:val="20"/>
          <w:color w:val="auto"/>
        </w:rPr>
      </w:pPr>
    </w:p>
    <w:p>
      <w:pPr>
        <w:ind w:right="120" w:firstLine="495"/>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in our clinical trials for a variety of reasons, including:</w:t>
      </w:r>
    </w:p>
    <w:p>
      <w:pPr>
        <w:spacing w:after="0" w:line="176"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study population required for analysis of the trial’s primary endpoints;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9" w:lineRule="exact"/>
        <w:rPr>
          <w:rFonts w:ascii="Times New Roman" w:cs="Times New Roman" w:eastAsia="Times New Roman" w:hAnsi="Times New Roman"/>
          <w:sz w:val="18"/>
          <w:szCs w:val="18"/>
          <w:color w:val="auto"/>
        </w:rPr>
      </w:pPr>
    </w:p>
    <w:p>
      <w:pPr>
        <w:ind w:left="820" w:right="480" w:hanging="326"/>
        <w:spacing w:after="0" w:line="250" w:lineRule="auto"/>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 w:lineRule="exact"/>
        <w:rPr>
          <w:rFonts w:ascii="Times New Roman" w:cs="Times New Roman" w:eastAsia="Times New Roman" w:hAnsi="Times New Roman"/>
          <w:sz w:val="18"/>
          <w:szCs w:val="18"/>
          <w:color w:val="auto"/>
        </w:rPr>
      </w:pPr>
    </w:p>
    <w:p>
      <w:pPr>
        <w:ind w:left="820" w:right="280" w:hanging="326"/>
        <w:spacing w:after="0" w:line="277" w:lineRule="auto"/>
        <w:tabs>
          <w:tab w:leader="none" w:pos="8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6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recent amendments we have made to limit the number and type of prior therapies.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5" w:name="page36"/>
    <w:bookmarkEnd w:id="35"/>
    <w:p>
      <w:pPr>
        <w:jc w:val="both"/>
        <w:ind w:right="340" w:firstLine="495"/>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72" w:lineRule="exact"/>
        <w:rPr>
          <w:sz w:val="20"/>
          <w:szCs w:val="20"/>
          <w:color w:val="auto"/>
        </w:rPr>
      </w:pPr>
    </w:p>
    <w:p>
      <w:pPr>
        <w:ind w:right="6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59" w:lineRule="exact"/>
        <w:rPr>
          <w:sz w:val="20"/>
          <w:szCs w:val="20"/>
          <w:color w:val="auto"/>
        </w:rPr>
      </w:pPr>
    </w:p>
    <w:p>
      <w:pPr>
        <w:jc w:val="both"/>
        <w:ind w:firstLine="495"/>
        <w:spacing w:after="0" w:line="257"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w:t>
      </w:r>
    </w:p>
    <w:p>
      <w:pPr>
        <w:spacing w:after="0" w:line="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87"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89"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pyrexia, anemia, neutrophil and platelet count decrease, febrile neutropenia, fatigue, chills, hyponatremia, and hypotension. For example, the recent update from the C-144-01 trials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84" w:lineRule="exact"/>
        <w:rPr>
          <w:sz w:val="20"/>
          <w:szCs w:val="20"/>
          <w:color w:val="auto"/>
        </w:rPr>
      </w:pPr>
    </w:p>
    <w:p>
      <w:pPr>
        <w:ind w:right="160" w:firstLine="49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81"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8"/>
          <w:szCs w:val="18"/>
          <w:color w:val="auto"/>
        </w:rPr>
        <w:t>Our product candidates are biologics and the process of manufacturing our products is complex, highly-regulated and subject to multiple risks. The manufacture of our product candidates involves complex processes, including harvesting tumor fragments from patients,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9" w:lineRule="exact"/>
        <w:rPr>
          <w:sz w:val="20"/>
          <w:szCs w:val="20"/>
          <w:color w:val="auto"/>
        </w:rPr>
      </w:pPr>
    </w:p>
    <w:p>
      <w:pPr>
        <w:ind w:right="260" w:firstLine="495"/>
        <w:spacing w:after="0" w:line="255" w:lineRule="auto"/>
        <w:rPr>
          <w:sz w:val="20"/>
          <w:szCs w:val="20"/>
          <w:color w:val="auto"/>
        </w:rPr>
      </w:pPr>
      <w:r>
        <w:rPr>
          <w:rFonts w:ascii="Times New Roman" w:cs="Times New Roman" w:eastAsia="Times New Roman" w:hAnsi="Times New Roman"/>
          <w:sz w:val="18"/>
          <w:szCs w:val="18"/>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This includes potential risks associated with FDA not agreeing with all of the details of our validation data or our potency assay prior to starting Cohort 4 of our C-144-01 clinical trial. Furthermore, some of our CMOs may not be able to establish comparability of their products with TIL product used in Cohort 2 or may not be fully validated prior to starting Cohort 4.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6"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8"/>
          <w:szCs w:val="18"/>
          <w:color w:val="auto"/>
        </w:rPr>
        <w:t>Our current manufacturing strategy involves the use of CMOs. Currently our product candidates are manufactured by WuXi, Lonza Netherlands (formerly PharmaCell), and Moffitt. In 2019 we anticipate that MasTHerCell will manufacture product candidates for use in our European clinical sites.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6" w:lineRule="exact"/>
        <w:rPr>
          <w:sz w:val="20"/>
          <w:szCs w:val="20"/>
          <w:color w:val="auto"/>
        </w:rPr>
      </w:pPr>
    </w:p>
    <w:p>
      <w:pPr>
        <w:ind w:right="120" w:firstLine="495"/>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27" w:lineRule="exact"/>
        <w:rPr>
          <w:rFonts w:ascii="Times New Roman" w:cs="Times New Roman" w:eastAsia="Times New Roman" w:hAnsi="Times New Roman"/>
          <w:sz w:val="18"/>
          <w:szCs w:val="18"/>
          <w:color w:val="auto"/>
        </w:rPr>
      </w:pPr>
    </w:p>
    <w:p>
      <w:pPr>
        <w:ind w:left="980" w:right="4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ind w:left="980" w:right="70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0" w:lineRule="exact"/>
        <w:rPr>
          <w:sz w:val="20"/>
          <w:szCs w:val="20"/>
          <w:color w:val="auto"/>
        </w:rPr>
      </w:pPr>
    </w:p>
    <w:p>
      <w:pPr>
        <w:ind w:right="20" w:firstLine="495"/>
        <w:spacing w:after="0" w:line="255" w:lineRule="auto"/>
        <w:rPr>
          <w:sz w:val="20"/>
          <w:szCs w:val="20"/>
          <w:color w:val="auto"/>
        </w:rPr>
      </w:pPr>
      <w:r>
        <w:rPr>
          <w:rFonts w:ascii="Times New Roman" w:cs="Times New Roman" w:eastAsia="Times New Roman" w:hAnsi="Times New Roman"/>
          <w:sz w:val="18"/>
          <w:szCs w:val="18"/>
          <w:color w:val="auto"/>
        </w:rPr>
        <w:t>In the future, we plan to establish our own manufacturing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85" w:lineRule="exact"/>
        <w:rPr>
          <w:sz w:val="20"/>
          <w:szCs w:val="20"/>
          <w:color w:val="auto"/>
        </w:rPr>
      </w:pPr>
    </w:p>
    <w:p>
      <w:pPr>
        <w:ind w:right="440" w:firstLine="495"/>
        <w:spacing w:after="0" w:line="261" w:lineRule="auto"/>
        <w:rPr>
          <w:sz w:val="20"/>
          <w:szCs w:val="20"/>
          <w:color w:val="auto"/>
        </w:rPr>
      </w:pPr>
      <w:r>
        <w:rPr>
          <w:rFonts w:ascii="Times New Roman" w:cs="Times New Roman" w:eastAsia="Times New Roman" w:hAnsi="Times New Roman"/>
          <w:sz w:val="18"/>
          <w:szCs w:val="18"/>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80"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8"/>
          <w:szCs w:val="18"/>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84"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we submit our marketing applications to the agency. Manufacturers are also subject to continuing FDA and other regulatory authority inspections following marketing approval. Further, we, in cooperation with our CMOs, must supply all necessary chemistry, manufacturing, and control documentation in support of a BLA on a timely basis.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ind w:firstLine="495"/>
        <w:spacing w:after="0" w:line="254" w:lineRule="auto"/>
        <w:rPr>
          <w:sz w:val="20"/>
          <w:szCs w:val="20"/>
          <w:color w:val="auto"/>
        </w:rPr>
      </w:pPr>
      <w:r>
        <w:rPr>
          <w:rFonts w:ascii="Times New Roman" w:cs="Times New Roman" w:eastAsia="Times New Roman" w:hAnsi="Times New Roman"/>
          <w:sz w:val="18"/>
          <w:szCs w:val="18"/>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86"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suspension,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88" w:lineRule="exact"/>
        <w:rPr>
          <w:sz w:val="20"/>
          <w:szCs w:val="20"/>
          <w:color w:val="auto"/>
        </w:rPr>
      </w:pPr>
    </w:p>
    <w:p>
      <w:pPr>
        <w:ind w:right="60" w:firstLine="495"/>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2" w:lineRule="exact"/>
        <w:rPr>
          <w:sz w:val="20"/>
          <w:szCs w:val="20"/>
          <w:color w:val="auto"/>
        </w:rPr>
      </w:pPr>
    </w:p>
    <w:p>
      <w:pPr>
        <w:ind w:right="140" w:firstLine="49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75"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89" w:lineRule="exact"/>
        <w:rPr>
          <w:sz w:val="20"/>
          <w:szCs w:val="20"/>
          <w:color w:val="auto"/>
        </w:rPr>
      </w:pPr>
    </w:p>
    <w:p>
      <w:pPr>
        <w:ind w:right="180" w:firstLine="495"/>
        <w:spacing w:after="0" w:line="258" w:lineRule="auto"/>
        <w:rPr>
          <w:sz w:val="20"/>
          <w:szCs w:val="20"/>
          <w:color w:val="auto"/>
        </w:rPr>
      </w:pPr>
      <w:r>
        <w:rPr>
          <w:rFonts w:ascii="Times New Roman" w:cs="Times New Roman" w:eastAsia="Times New Roman" w:hAnsi="Times New Roman"/>
          <w:sz w:val="18"/>
          <w:szCs w:val="18"/>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84" w:lineRule="exact"/>
        <w:rPr>
          <w:sz w:val="20"/>
          <w:szCs w:val="20"/>
          <w:color w:val="auto"/>
        </w:rPr>
      </w:pPr>
    </w:p>
    <w:p>
      <w:pPr>
        <w:ind w:right="140" w:firstLine="495"/>
        <w:spacing w:after="0" w:line="256"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8" w:name="page39"/>
    <w:bookmarkEnd w:id="38"/>
    <w:p>
      <w:pPr>
        <w:ind w:right="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59"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Our TIL based therapy is based on the adoptive cell therapy technology that we licensed from the NIH and that is presently in use as a physician-sponsored investigational therapy for the treatment of Stage IV metastatic melanoma in the United States at the NCI, MDACC Cancer Center, and Moffit. These current methods of treatment are very labor intensive and expensive, which has limited its widespread application. We have developed new processes that we anticipate will enable more efficient manufacturing of TIL. We may have difficulty demonstrating that the products produced from our new processes are comparable to the existing products. The FDA may require additional clinical testing before permitting a larger clinical trial with the new processes, and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have made to the historical manufacturing process may require additional testing, which may increase costs and timelines associated with these developments.</w:t>
      </w:r>
    </w:p>
    <w:p>
      <w:pPr>
        <w:spacing w:after="0" w:line="186" w:lineRule="exact"/>
        <w:rPr>
          <w:sz w:val="20"/>
          <w:szCs w:val="20"/>
          <w:color w:val="auto"/>
        </w:rPr>
      </w:pPr>
    </w:p>
    <w:p>
      <w:pPr>
        <w:jc w:val="both"/>
        <w:ind w:right="180" w:firstLine="495"/>
        <w:spacing w:after="0" w:line="266" w:lineRule="auto"/>
        <w:rPr>
          <w:sz w:val="20"/>
          <w:szCs w:val="20"/>
          <w:color w:val="auto"/>
        </w:rPr>
      </w:pPr>
      <w:r>
        <w:rPr>
          <w:rFonts w:ascii="Times New Roman" w:cs="Times New Roman" w:eastAsia="Times New Roman" w:hAnsi="Times New Roman"/>
          <w:sz w:val="18"/>
          <w:szCs w:val="18"/>
          <w:color w:val="auto"/>
        </w:rPr>
        <w:t>In addition to developing a TIL based therapy on existing ACT technology, we are currently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products if our trials are not successful.</w:t>
      </w:r>
    </w:p>
    <w:p>
      <w:pPr>
        <w:spacing w:after="0" w:line="229" w:lineRule="exact"/>
        <w:rPr>
          <w:sz w:val="20"/>
          <w:szCs w:val="20"/>
          <w:color w:val="auto"/>
        </w:rPr>
      </w:pPr>
    </w:p>
    <w:p>
      <w:pPr>
        <w:ind w:right="80" w:firstLine="495"/>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76" w:lineRule="exact"/>
        <w:rPr>
          <w:sz w:val="20"/>
          <w:szCs w:val="20"/>
          <w:color w:val="auto"/>
        </w:rPr>
      </w:pPr>
    </w:p>
    <w:p>
      <w:pPr>
        <w:ind w:left="820" w:right="60" w:hanging="353"/>
        <w:spacing w:after="0" w:line="261"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ind w:left="820" w:hanging="35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spacing w:after="0" w:line="9" w:lineRule="exact"/>
        <w:rPr>
          <w:rFonts w:ascii="Times New Roman" w:cs="Times New Roman" w:eastAsia="Times New Roman" w:hAnsi="Times New Roman"/>
          <w:sz w:val="18"/>
          <w:szCs w:val="18"/>
          <w:color w:val="auto"/>
        </w:rPr>
      </w:pPr>
    </w:p>
    <w:p>
      <w:pPr>
        <w:ind w:left="820" w:right="860" w:hanging="353"/>
        <w:spacing w:after="0" w:line="250"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ind w:left="820" w:right="140" w:hanging="353"/>
        <w:spacing w:after="0" w:line="250"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660" w:hanging="353"/>
        <w:spacing w:after="0" w:line="250"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 and</w:t>
      </w:r>
    </w:p>
    <w:p>
      <w:pPr>
        <w:ind w:left="820" w:hanging="353"/>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w:t>
      </w:r>
    </w:p>
    <w:p>
      <w:pPr>
        <w:spacing w:after="0" w:line="207" w:lineRule="exact"/>
        <w:rPr>
          <w:sz w:val="20"/>
          <w:szCs w:val="20"/>
          <w:color w:val="auto"/>
        </w:rPr>
      </w:pPr>
    </w:p>
    <w:p>
      <w:pPr>
        <w:ind w:right="60" w:firstLine="495"/>
        <w:spacing w:after="0" w:line="256"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Even if our lead product, lifileucel, is approved and commercialized, we may not become profitable.</w:t>
      </w:r>
    </w:p>
    <w:p>
      <w:pPr>
        <w:spacing w:after="0" w:line="229" w:lineRule="exact"/>
        <w:rPr>
          <w:sz w:val="20"/>
          <w:szCs w:val="20"/>
          <w:color w:val="auto"/>
        </w:rPr>
      </w:pPr>
    </w:p>
    <w:p>
      <w:pPr>
        <w:ind w:right="220" w:firstLine="495"/>
        <w:spacing w:after="0" w:line="258" w:lineRule="auto"/>
        <w:rPr>
          <w:sz w:val="20"/>
          <w:szCs w:val="20"/>
          <w:color w:val="auto"/>
        </w:rPr>
      </w:pPr>
      <w:r>
        <w:rPr>
          <w:rFonts w:ascii="Times New Roman" w:cs="Times New Roman" w:eastAsia="Times New Roman" w:hAnsi="Times New Roman"/>
          <w:sz w:val="18"/>
          <w:szCs w:val="18"/>
          <w:color w:val="auto"/>
        </w:rPr>
        <w:t>Our lead product, lifileucel, is initially targeting a small population of refractory patients that suffer from metastatic melanoma. Even if the FDA approves this new therapy, and even if we obtain significant market share for this initial product candidate, because the potential target population for lifileucel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80" w:lineRule="exact"/>
        <w:rPr>
          <w:sz w:val="20"/>
          <w:szCs w:val="20"/>
          <w:color w:val="auto"/>
        </w:rPr>
      </w:pPr>
    </w:p>
    <w:p>
      <w:pPr>
        <w:ind w:right="30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our own research and process development efforts, we seek to collaborate with government, academic research institutions and corporate partners to improve TIL manufacturing and to develop TIL therapies for new indications. In 2017, we announced collaborations with Moffitt, MDACC and Ohio State University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and MDACC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468" w:gutter="0" w:footer="0" w:header="0"/>
        </w:sectPr>
      </w:pPr>
    </w:p>
    <w:bookmarkStart w:id="39" w:name="page40"/>
    <w:bookmarkEnd w:id="39"/>
    <w:p>
      <w:pPr>
        <w:jc w:val="both"/>
        <w:ind w:right="60" w:firstLine="49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81"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From our inception to December 31, 2018, we have an accumulated deficit of $372.8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the Company, were of $236.7 million. We expect to continue to spend substantial amounts to continue the clinical development of our product candidates. As of December 31, 2018, we had $468.5 million in cash, cash equivalents and short-term investments.</w:t>
      </w:r>
    </w:p>
    <w:p>
      <w:pPr>
        <w:spacing w:after="0" w:line="18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Accordingly, we believe that our existing cash, cash equivalents and short-term investments will be sufficient to fund our operations for at least the next twelve months from the date this Annual Report on Form 10-K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85" w:lineRule="exact"/>
        <w:rPr>
          <w:sz w:val="20"/>
          <w:szCs w:val="20"/>
          <w:color w:val="auto"/>
        </w:rPr>
      </w:pPr>
    </w:p>
    <w:p>
      <w:pPr>
        <w:ind w:right="40" w:firstLine="495"/>
        <w:spacing w:after="0" w:line="282"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62" w:lineRule="exact"/>
        <w:rPr>
          <w:sz w:val="20"/>
          <w:szCs w:val="20"/>
          <w:color w:val="auto"/>
        </w:rPr>
      </w:pPr>
    </w:p>
    <w:p>
      <w:pPr>
        <w:ind w:left="820" w:right="6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820" w:right="220" w:hanging="326"/>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 or commercialize our product;</w:t>
      </w: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9"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FDA and European Medicines Agency, or EMA, regulations;</w:t>
      </w:r>
    </w:p>
    <w:p>
      <w:pPr>
        <w:ind w:left="820" w:right="340" w:hanging="326"/>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820" w:right="60" w:hanging="326"/>
        <w:spacing w:after="0" w:line="250"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our products, if approved, including the cost and timing of building our marketing and sales capabilities;</w:t>
      </w: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building, staffing and validating our own manufacturing facility in the United States;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licensing or other arrangements that we have established or may establish;</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a public company;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other intellectual property rights; and</w:t>
      </w:r>
    </w:p>
    <w:p>
      <w:pPr>
        <w:spacing w:after="0" w:line="9" w:lineRule="exact"/>
        <w:rPr>
          <w:rFonts w:ascii="Times New Roman" w:cs="Times New Roman" w:eastAsia="Times New Roman" w:hAnsi="Times New Roman"/>
          <w:sz w:val="18"/>
          <w:szCs w:val="18"/>
          <w:color w:val="auto"/>
        </w:rPr>
      </w:pPr>
    </w:p>
    <w:p>
      <w:pPr>
        <w:ind w:left="820" w:right="14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strategic collaborations, licensing agreements or other arrangements that we may establish.</w:t>
      </w:r>
    </w:p>
    <w:p>
      <w:pPr>
        <w:spacing w:after="0" w:line="18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8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40" w:name="page41"/>
    <w:bookmarkEnd w:id="40"/>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Subject to various spending levels approved by the Board of Directors, our management will have broad discretion in the use of the net proceeds from our capital raises, including our October 2018 January 2018, and September 2017 public offerings, and may not use them effectively.</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will have discretion in the application of the net proceeds from our capital raises, including our October 2018, January 2018 and September 2017 public offerings, and our stockholders will not have the opportunity as part of their investment decision to assess whether the net proceeds from those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including our October 2018, January 2018 and September 2017 public offerings, their ultimate use may vary substantially from their currently intended use. Our failure to apply the net proceeds of our capital raises, including our October 2018, January 2018 and September 2017 public offerings,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capital raises, including our October 2018, January 2018 and September 2017 public offerings. Pending their use, we may invest the net proceeds from our capital raises, including our October 2018, January 2018 and September 2017 public offerings, in interest and non-interest bearing cash accounts, short-term, investment-grade, interest-bearing instruments and U.S. government securities. These temporary investments are not likely to yield a significant return.</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2018, we had U.S. federal net operating loss carryforwards of approximately $251.5 million. Our net operating loss carryforwards arising in taxable years ending on or prior to December 31, 2018 will begin expiring in 2027 if we have not used them prior to that time. Net operating loss carryforwards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88"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We have performed an IRC Section 382 analysis as of December 31, 2017. Per the analysis, the May 2013 recapitalization,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in the U.S. could adversely affect our business and financial condition.</w:t>
      </w:r>
    </w:p>
    <w:p>
      <w:pPr>
        <w:spacing w:after="0" w:line="229" w:lineRule="exact"/>
        <w:rPr>
          <w:sz w:val="20"/>
          <w:szCs w:val="20"/>
          <w:color w:val="auto"/>
        </w:rPr>
      </w:pPr>
    </w:p>
    <w:p>
      <w:pPr>
        <w:ind w:firstLine="495"/>
        <w:spacing w:after="0" w:line="252" w:lineRule="auto"/>
        <w:rPr>
          <w:sz w:val="20"/>
          <w:szCs w:val="20"/>
          <w:color w:val="auto"/>
        </w:rPr>
      </w:pPr>
      <w:r>
        <w:rPr>
          <w:rFonts w:ascii="Times New Roman" w:cs="Times New Roman" w:eastAsia="Times New Roman" w:hAnsi="Times New Roman"/>
          <w:sz w:val="18"/>
          <w:szCs w:val="18"/>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95" w:lineRule="exact"/>
        <w:rPr>
          <w:sz w:val="20"/>
          <w:szCs w:val="20"/>
          <w:color w:val="auto"/>
        </w:rPr>
      </w:pPr>
    </w:p>
    <w:p>
      <w:pPr>
        <w:ind w:right="7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59"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18"/>
          <w:szCs w:val="18"/>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41" w:name="page42"/>
    <w:bookmarkEnd w:id="41"/>
    <w:p>
      <w:pPr>
        <w:ind w:firstLine="495"/>
        <w:spacing w:after="0" w:line="258" w:lineRule="auto"/>
        <w:rPr>
          <w:sz w:val="20"/>
          <w:szCs w:val="20"/>
          <w:color w:val="auto"/>
        </w:rPr>
      </w:pPr>
      <w:r>
        <w:rPr>
          <w:rFonts w:ascii="Times New Roman" w:cs="Times New Roman" w:eastAsia="Times New Roman" w:hAnsi="Times New Roman"/>
          <w:sz w:val="18"/>
          <w:szCs w:val="18"/>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4" w:lineRule="exact"/>
        <w:rPr>
          <w:sz w:val="20"/>
          <w:szCs w:val="20"/>
          <w:color w:val="auto"/>
        </w:rPr>
      </w:pPr>
    </w:p>
    <w:p>
      <w:pPr>
        <w:ind w:right="40" w:firstLine="495"/>
        <w:spacing w:after="0" w:line="253" w:lineRule="auto"/>
        <w:rPr>
          <w:sz w:val="20"/>
          <w:szCs w:val="20"/>
          <w:color w:val="auto"/>
        </w:rPr>
      </w:pPr>
      <w:r>
        <w:rPr>
          <w:rFonts w:ascii="Times New Roman" w:cs="Times New Roman" w:eastAsia="Times New Roman" w:hAnsi="Times New Roman"/>
          <w:sz w:val="18"/>
          <w:szCs w:val="18"/>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new TIL technology from the NIH and others.</w:t>
      </w:r>
    </w:p>
    <w:p>
      <w:pPr>
        <w:spacing w:after="0" w:line="229" w:lineRule="exact"/>
        <w:rPr>
          <w:sz w:val="20"/>
          <w:szCs w:val="20"/>
          <w:color w:val="auto"/>
        </w:rPr>
      </w:pPr>
    </w:p>
    <w:p>
      <w:pPr>
        <w:ind w:right="20" w:firstLine="495"/>
        <w:spacing w:after="0" w:line="258" w:lineRule="auto"/>
        <w:rPr>
          <w:sz w:val="20"/>
          <w:szCs w:val="20"/>
          <w:color w:val="auto"/>
        </w:rPr>
      </w:pPr>
      <w:r>
        <w:rPr>
          <w:rFonts w:ascii="Times New Roman" w:cs="Times New Roman" w:eastAsia="Times New Roman" w:hAnsi="Times New Roman"/>
          <w:sz w:val="18"/>
          <w:szCs w:val="18"/>
          <w:color w:val="auto"/>
        </w:rPr>
        <w:t>An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80" w:lineRule="exact"/>
        <w:rPr>
          <w:sz w:val="20"/>
          <w:szCs w:val="20"/>
          <w:color w:val="auto"/>
        </w:rPr>
      </w:pPr>
    </w:p>
    <w:p>
      <w:pPr>
        <w:ind w:right="2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59" w:lineRule="exact"/>
        <w:rPr>
          <w:sz w:val="20"/>
          <w:szCs w:val="20"/>
          <w:color w:val="auto"/>
        </w:rPr>
      </w:pPr>
    </w:p>
    <w:p>
      <w:pPr>
        <w:ind w:right="40" w:firstLine="495"/>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85" w:lineRule="exact"/>
        <w:rPr>
          <w:sz w:val="20"/>
          <w:szCs w:val="20"/>
          <w:color w:val="auto"/>
        </w:rPr>
      </w:pPr>
    </w:p>
    <w:p>
      <w:pPr>
        <w:ind w:right="7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substantial royalties and lump sum benchmark payments under our license agreements with the NIH, Moffitt, and PolyBioCept, and we must meet certain milestones to maintain our license rights.</w:t>
      </w:r>
    </w:p>
    <w:p>
      <w:pPr>
        <w:spacing w:after="0" w:line="159" w:lineRule="exact"/>
        <w:rPr>
          <w:sz w:val="20"/>
          <w:szCs w:val="20"/>
          <w:color w:val="auto"/>
        </w:rPr>
      </w:pPr>
    </w:p>
    <w:p>
      <w:pPr>
        <w:ind w:right="80" w:firstLine="495"/>
        <w:spacing w:after="0" w:line="255" w:lineRule="auto"/>
        <w:rPr>
          <w:sz w:val="20"/>
          <w:szCs w:val="20"/>
          <w:color w:val="auto"/>
        </w:rPr>
      </w:pPr>
      <w:r>
        <w:rPr>
          <w:rFonts w:ascii="Times New Roman" w:cs="Times New Roman" w:eastAsia="Times New Roman" w:hAnsi="Times New Roman"/>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licenses. In order to maintain our license rights under the NIH, Moffitt, and PolyBioCept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85" w:lineRule="exact"/>
        <w:rPr>
          <w:sz w:val="20"/>
          <w:szCs w:val="20"/>
          <w:color w:val="auto"/>
        </w:rPr>
      </w:pPr>
    </w:p>
    <w:p>
      <w:pPr>
        <w:ind w:right="40" w:firstLine="49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7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6" w:gutter="0" w:footer="0" w:header="0"/>
        </w:sectPr>
      </w:pPr>
    </w:p>
    <w:bookmarkStart w:id="42" w:name="page43"/>
    <w:bookmarkEnd w:id="42"/>
    <w:p>
      <w:pPr>
        <w:ind w:right="80" w:firstLine="495"/>
        <w:spacing w:after="0" w:line="258"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84"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91" w:lineRule="exact"/>
        <w:rPr>
          <w:sz w:val="20"/>
          <w:szCs w:val="20"/>
          <w:color w:val="auto"/>
        </w:rPr>
      </w:pPr>
    </w:p>
    <w:p>
      <w:pPr>
        <w:ind w:right="200" w:firstLine="495"/>
        <w:spacing w:after="0" w:line="266" w:lineRule="auto"/>
        <w:rPr>
          <w:sz w:val="20"/>
          <w:szCs w:val="20"/>
          <w:color w:val="auto"/>
        </w:rPr>
      </w:pPr>
      <w:r>
        <w:rPr>
          <w:rFonts w:ascii="Times New Roman" w:cs="Times New Roman" w:eastAsia="Times New Roman" w:hAnsi="Times New Roman"/>
          <w:sz w:val="18"/>
          <w:szCs w:val="18"/>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72" w:lineRule="exact"/>
        <w:rPr>
          <w:sz w:val="20"/>
          <w:szCs w:val="20"/>
          <w:color w:val="auto"/>
        </w:rPr>
      </w:pPr>
    </w:p>
    <w:p>
      <w:pPr>
        <w:ind w:right="3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5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85" w:lineRule="exact"/>
        <w:rPr>
          <w:sz w:val="20"/>
          <w:szCs w:val="20"/>
          <w:color w:val="auto"/>
        </w:rPr>
      </w:pPr>
    </w:p>
    <w:p>
      <w:pPr>
        <w:ind w:right="4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5"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left="820" w:right="560" w:hanging="326"/>
        <w:spacing w:after="0" w:line="261"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refusal to approve marketing applications or supplements, and withdrawal or limitation of product approvals;</w:t>
      </w: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or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from non-profit institutions.</w:t>
      </w:r>
    </w:p>
    <w:p>
      <w:pPr>
        <w:spacing w:after="0" w:line="229" w:lineRule="exact"/>
        <w:rPr>
          <w:sz w:val="20"/>
          <w:szCs w:val="20"/>
          <w:color w:val="auto"/>
        </w:rPr>
      </w:pPr>
    </w:p>
    <w:p>
      <w:pPr>
        <w:ind w:right="120" w:firstLine="495"/>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84"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products; or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207" w:lineRule="exact"/>
        <w:rPr>
          <w:sz w:val="20"/>
          <w:szCs w:val="20"/>
          <w:color w:val="auto"/>
        </w:rPr>
      </w:pPr>
    </w:p>
    <w:p>
      <w:pPr>
        <w:ind w:right="100" w:firstLine="495"/>
        <w:spacing w:after="0" w:line="253"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exploratory trials, we anticipate substantial direct competition from other organizations developing advanced T-cell therapies targeting patients who have received prior anti-PD-1/PD-L1 therapies. In particular, we expect to compete with other new therapies for our lead indications developed by companies such as Bristol-Myers Squibb, Merck, Nektar Therapeutics, Idera Pharmaceuticals, Dynavax Technologies, Oncosec Medical, Immetacyte, WindMIL Therapeutics, and others. We also may compete with therapies based on genetically engineered T cells rendered reactive against tumor-associated antigens prior to their administration to patients. Genetically engineered T cells are being pursued by several companies, including Adaptimmune, Celgene (in collaboration with bluebird bio as well as through Celgene’s subsidiary Juno Therapeutics),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8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4"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18"/>
          <w:szCs w:val="18"/>
          <w:color w:val="auto"/>
        </w:rPr>
        <w:t>Our lead product candidate, lifileucel, is a therapy for the treatment of metastatic melanoma. Currently, there are numerous companies that are developing various alternate treatments for melanoma, including patients that have progressed after prior treatment with checkpoint inhibitors. Accordingly, lifileucel faces significant competition in the melanoma treatment space from multiple companies. Even if we obtain regulatory approval for lifileucel,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jc w:val="both"/>
        <w:ind w:right="240" w:firstLine="495"/>
        <w:spacing w:after="0" w:line="261"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ind w:right="2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59" w:lineRule="exact"/>
        <w:rPr>
          <w:sz w:val="20"/>
          <w:szCs w:val="20"/>
          <w:color w:val="auto"/>
        </w:rPr>
      </w:pPr>
    </w:p>
    <w:p>
      <w:pPr>
        <w:ind w:right="40" w:firstLine="495"/>
        <w:spacing w:after="0" w:line="256" w:lineRule="auto"/>
        <w:rPr>
          <w:sz w:val="20"/>
          <w:szCs w:val="20"/>
          <w:color w:val="auto"/>
        </w:rPr>
      </w:pPr>
      <w:r>
        <w:rPr>
          <w:rFonts w:ascii="Times New Roman" w:cs="Times New Roman" w:eastAsia="Times New Roman" w:hAnsi="Times New Roman"/>
          <w:sz w:val="18"/>
          <w:szCs w:val="18"/>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88" w:lineRule="exact"/>
        <w:rPr>
          <w:sz w:val="20"/>
          <w:szCs w:val="20"/>
          <w:color w:val="auto"/>
        </w:rPr>
      </w:pPr>
    </w:p>
    <w:p>
      <w:pPr>
        <w:ind w:right="80" w:firstLine="495"/>
        <w:spacing w:after="0" w:line="254" w:lineRule="auto"/>
        <w:rPr>
          <w:sz w:val="20"/>
          <w:szCs w:val="20"/>
          <w:color w:val="auto"/>
        </w:rPr>
      </w:pPr>
      <w:r>
        <w:rPr>
          <w:rFonts w:ascii="Times New Roman" w:cs="Times New Roman" w:eastAsia="Times New Roman" w:hAnsi="Times New Roman"/>
          <w:sz w:val="18"/>
          <w:szCs w:val="18"/>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MedImmune, Roswell Park Cancer Institute, Phio Pharmaceuticals, and Cellectis.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86" w:lineRule="exact"/>
        <w:rPr>
          <w:sz w:val="20"/>
          <w:szCs w:val="20"/>
          <w:color w:val="auto"/>
        </w:rPr>
      </w:pPr>
    </w:p>
    <w:p>
      <w:pPr>
        <w:ind w:right="180" w:firstLine="495"/>
        <w:spacing w:after="0" w:line="266" w:lineRule="auto"/>
        <w:rPr>
          <w:sz w:val="20"/>
          <w:szCs w:val="20"/>
          <w:color w:val="auto"/>
        </w:rPr>
      </w:pPr>
      <w:r>
        <w:rPr>
          <w:rFonts w:ascii="Times New Roman" w:cs="Times New Roman" w:eastAsia="Times New Roman" w:hAnsi="Times New Roman"/>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76" w:lineRule="exact"/>
        <w:rPr>
          <w:sz w:val="20"/>
          <w:szCs w:val="20"/>
          <w:color w:val="auto"/>
        </w:rPr>
      </w:pPr>
    </w:p>
    <w:p>
      <w:pPr>
        <w:jc w:val="both"/>
        <w:ind w:right="560" w:firstLine="495"/>
        <w:spacing w:after="0" w:line="266"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76"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7" w:lineRule="exact"/>
        <w:rPr>
          <w:rFonts w:ascii="Times New Roman" w:cs="Times New Roman" w:eastAsia="Times New Roman" w:hAnsi="Times New Roman"/>
          <w:sz w:val="18"/>
          <w:szCs w:val="18"/>
          <w:color w:val="auto"/>
        </w:rPr>
      </w:pPr>
    </w:p>
    <w:p>
      <w:pPr>
        <w:ind w:left="820" w:right="18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18"/>
          <w:szCs w:val="18"/>
          <w:color w:val="auto"/>
        </w:rPr>
      </w:pPr>
    </w:p>
    <w:p>
      <w:pPr>
        <w:ind w:left="820" w:right="6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9" w:lineRule="exact"/>
        <w:rPr>
          <w:rFonts w:ascii="Times New Roman" w:cs="Times New Roman" w:eastAsia="Times New Roman" w:hAnsi="Times New Roman"/>
          <w:sz w:val="18"/>
          <w:szCs w:val="18"/>
          <w:color w:val="auto"/>
        </w:rPr>
      </w:pPr>
    </w:p>
    <w:p>
      <w:pPr>
        <w:ind w:left="820" w:right="58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ind w:left="820" w:right="10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ind w:left="820" w:right="26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820" w:right="26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820" w:right="14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ind w:left="820" w:right="20" w:hanging="326"/>
        <w:spacing w:after="0" w:line="261"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100" w:hanging="326"/>
        <w:spacing w:after="0" w:line="261"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80" w:lineRule="exact"/>
        <w:rPr>
          <w:sz w:val="20"/>
          <w:szCs w:val="20"/>
          <w:color w:val="auto"/>
        </w:rPr>
      </w:pPr>
    </w:p>
    <w:p>
      <w:pPr>
        <w:ind w:right="60" w:firstLine="495"/>
        <w:spacing w:after="0" w:line="281" w:lineRule="auto"/>
        <w:rPr>
          <w:sz w:val="20"/>
          <w:szCs w:val="20"/>
          <w:color w:val="auto"/>
        </w:rPr>
      </w:pPr>
      <w:r>
        <w:rPr>
          <w:rFonts w:ascii="Times New Roman" w:cs="Times New Roman" w:eastAsia="Times New Roman" w:hAnsi="Times New Roman"/>
          <w:sz w:val="17"/>
          <w:szCs w:val="17"/>
          <w:color w:val="auto"/>
        </w:rPr>
        <w:t>If any third-party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65" w:lineRule="exact"/>
        <w:rPr>
          <w:sz w:val="20"/>
          <w:szCs w:val="20"/>
          <w:color w:val="auto"/>
        </w:rPr>
      </w:pPr>
    </w:p>
    <w:p>
      <w:pPr>
        <w:ind w:right="160" w:firstLine="495"/>
        <w:spacing w:after="0" w:line="266" w:lineRule="auto"/>
        <w:rPr>
          <w:sz w:val="20"/>
          <w:szCs w:val="20"/>
          <w:color w:val="auto"/>
        </w:rPr>
      </w:pPr>
      <w:r>
        <w:rPr>
          <w:rFonts w:ascii="Times New Roman" w:cs="Times New Roman" w:eastAsia="Times New Roman" w:hAnsi="Times New Roman"/>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76" w:lineRule="exact"/>
        <w:rPr>
          <w:sz w:val="20"/>
          <w:szCs w:val="20"/>
          <w:color w:val="auto"/>
        </w:rPr>
      </w:pPr>
    </w:p>
    <w:p>
      <w:pPr>
        <w:ind w:right="80" w:firstLine="495"/>
        <w:spacing w:after="0" w:line="258" w:lineRule="auto"/>
        <w:rPr>
          <w:sz w:val="20"/>
          <w:szCs w:val="20"/>
          <w:color w:val="auto"/>
        </w:rPr>
      </w:pPr>
      <w:r>
        <w:rPr>
          <w:rFonts w:ascii="Times New Roman" w:cs="Times New Roman" w:eastAsia="Times New Roman" w:hAnsi="Times New Roman"/>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84" w:lineRule="exact"/>
        <w:rPr>
          <w:sz w:val="20"/>
          <w:szCs w:val="20"/>
          <w:color w:val="auto"/>
        </w:rPr>
      </w:pPr>
    </w:p>
    <w:p>
      <w:pPr>
        <w:ind w:right="20" w:firstLine="495"/>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76" w:lineRule="exact"/>
        <w:rPr>
          <w:sz w:val="20"/>
          <w:szCs w:val="20"/>
          <w:color w:val="auto"/>
        </w:rPr>
      </w:pPr>
    </w:p>
    <w:p>
      <w:pPr>
        <w:ind w:right="18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5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We are currently developing lifileucel and LN-145 for use along with IL-2. We and our collaborators are also studying TIL therapy along with other products, such as durvalumab,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85" w:lineRule="exact"/>
        <w:rPr>
          <w:sz w:val="20"/>
          <w:szCs w:val="20"/>
          <w:color w:val="auto"/>
        </w:rPr>
      </w:pPr>
    </w:p>
    <w:p>
      <w:pPr>
        <w:ind w:right="20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59" w:lineRule="exact"/>
        <w:rPr>
          <w:sz w:val="20"/>
          <w:szCs w:val="20"/>
          <w:color w:val="auto"/>
        </w:rPr>
      </w:pPr>
    </w:p>
    <w:p>
      <w:pPr>
        <w:ind w:firstLine="495"/>
        <w:spacing w:after="0" w:line="256" w:lineRule="auto"/>
        <w:rPr>
          <w:sz w:val="20"/>
          <w:szCs w:val="20"/>
          <w:color w:val="auto"/>
        </w:rPr>
      </w:pPr>
      <w:r>
        <w:rPr>
          <w:rFonts w:ascii="Times New Roman" w:cs="Times New Roman" w:eastAsia="Times New Roman" w:hAnsi="Times New Roman"/>
          <w:sz w:val="18"/>
          <w:szCs w:val="18"/>
          <w:color w:val="auto"/>
        </w:rPr>
        <w:t>We were granted Fast Track designation by the FDA for lifileucel in advanced melanoma.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84" w:lineRule="exact"/>
        <w:rPr>
          <w:sz w:val="20"/>
          <w:szCs w:val="20"/>
          <w:color w:val="auto"/>
        </w:rPr>
      </w:pPr>
    </w:p>
    <w:p>
      <w:pPr>
        <w:jc w:val="both"/>
        <w:ind w:right="100" w:firstLine="49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7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6" w:name="page47"/>
    <w:bookmarkEnd w:id="46"/>
    <w:p>
      <w:pPr>
        <w:jc w:val="both"/>
        <w:ind w:right="280" w:firstLine="495"/>
        <w:spacing w:after="0" w:line="266" w:lineRule="auto"/>
        <w:rPr>
          <w:sz w:val="20"/>
          <w:szCs w:val="20"/>
          <w:color w:val="auto"/>
        </w:rPr>
      </w:pPr>
      <w:r>
        <w:rPr>
          <w:rFonts w:ascii="Times New Roman" w:cs="Times New Roman" w:eastAsia="Times New Roman" w:hAnsi="Times New Roman"/>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76" w:lineRule="exact"/>
        <w:rPr>
          <w:sz w:val="20"/>
          <w:szCs w:val="20"/>
          <w:color w:val="auto"/>
        </w:rPr>
      </w:pPr>
    </w:p>
    <w:p>
      <w:pPr>
        <w:ind w:right="260" w:firstLine="495"/>
        <w:spacing w:after="0" w:line="261" w:lineRule="auto"/>
        <w:rPr>
          <w:sz w:val="20"/>
          <w:szCs w:val="20"/>
          <w:color w:val="auto"/>
        </w:rPr>
      </w:pPr>
      <w:r>
        <w:rPr>
          <w:rFonts w:ascii="Times New Roman" w:cs="Times New Roman" w:eastAsia="Times New Roman" w:hAnsi="Times New Roman"/>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9"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studies. By example, when the FDA approved Novartis’ Kymriah in August 2017, a CAR-T cell therapy for the treatment of patients up to 25 years of age with B-cell precursor acute lymphoblastic leukemia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85"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5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8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and sales personnel. In the event we are unable to develop a marketing and sales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89" w:lineRule="exact"/>
        <w:rPr>
          <w:sz w:val="20"/>
          <w:szCs w:val="20"/>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our current or future product candidates;</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9" w:lineRule="exact"/>
        <w:rPr>
          <w:rFonts w:ascii="Times New Roman" w:cs="Times New Roman" w:eastAsia="Times New Roman" w:hAnsi="Times New Roman"/>
          <w:sz w:val="18"/>
          <w:szCs w:val="18"/>
          <w:color w:val="auto"/>
        </w:rPr>
      </w:pPr>
    </w:p>
    <w:p>
      <w:pPr>
        <w:ind w:left="820" w:right="200" w:hanging="326"/>
        <w:spacing w:after="0" w:line="250"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broad market acceptance, the revenues that we generate from their sales will be limited.</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76"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9" w:lineRule="exact"/>
        <w:rPr>
          <w:rFonts w:ascii="Times New Roman" w:cs="Times New Roman" w:eastAsia="Times New Roman" w:hAnsi="Times New Roman"/>
          <w:sz w:val="18"/>
          <w:szCs w:val="18"/>
          <w:color w:val="auto"/>
        </w:rPr>
      </w:pPr>
    </w:p>
    <w:p>
      <w:pPr>
        <w:ind w:left="820" w:right="120" w:hanging="326"/>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9" w:lineRule="exact"/>
        <w:rPr>
          <w:rFonts w:ascii="Times New Roman" w:cs="Times New Roman" w:eastAsia="Times New Roman" w:hAnsi="Times New Roman"/>
          <w:sz w:val="18"/>
          <w:szCs w:val="18"/>
          <w:color w:val="auto"/>
        </w:rPr>
      </w:pPr>
    </w:p>
    <w:p>
      <w:pPr>
        <w:ind w:left="820" w:right="740" w:hanging="326"/>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9" w:lineRule="exact"/>
        <w:rPr>
          <w:rFonts w:ascii="Times New Roman" w:cs="Times New Roman" w:eastAsia="Times New Roman" w:hAnsi="Times New Roman"/>
          <w:sz w:val="18"/>
          <w:szCs w:val="18"/>
          <w:color w:val="auto"/>
        </w:rPr>
      </w:pPr>
    </w:p>
    <w:p>
      <w:pPr>
        <w:ind w:left="820" w:right="220" w:hanging="326"/>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ind w:left="820" w:right="380" w:hanging="326"/>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07"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w:t>
      </w:r>
    </w:p>
    <w:p>
      <w:pPr>
        <w:spacing w:after="0" w:line="229" w:lineRule="exact"/>
        <w:rPr>
          <w:sz w:val="20"/>
          <w:szCs w:val="20"/>
          <w:color w:val="auto"/>
        </w:rPr>
      </w:pPr>
    </w:p>
    <w:p>
      <w:pPr>
        <w:ind w:right="120" w:firstLine="492"/>
        <w:spacing w:after="0" w:line="256" w:lineRule="auto"/>
        <w:rPr>
          <w:sz w:val="20"/>
          <w:szCs w:val="20"/>
          <w:color w:val="auto"/>
        </w:rPr>
      </w:pPr>
      <w:r>
        <w:rPr>
          <w:rFonts w:ascii="Times New Roman" w:cs="Times New Roman" w:eastAsia="Times New Roman" w:hAnsi="Times New Roman"/>
          <w:sz w:val="18"/>
          <w:szCs w:val="18"/>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8"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ind w:right="6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5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1" w:lineRule="exact"/>
        <w:rPr>
          <w:sz w:val="20"/>
          <w:szCs w:val="20"/>
          <w:color w:val="auto"/>
        </w:rPr>
      </w:pPr>
    </w:p>
    <w:p>
      <w:pPr>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59"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systems, infrastructure and data.</w:t>
      </w:r>
    </w:p>
    <w:p>
      <w:pPr>
        <w:spacing w:after="0" w:line="229" w:lineRule="exact"/>
        <w:rPr>
          <w:sz w:val="20"/>
          <w:szCs w:val="20"/>
          <w:color w:val="auto"/>
        </w:rPr>
      </w:pPr>
    </w:p>
    <w:p>
      <w:pPr>
        <w:ind w:right="20" w:firstLine="492"/>
        <w:spacing w:after="0" w:line="253"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9" w:lineRule="exact"/>
        <w:rPr>
          <w:sz w:val="20"/>
          <w:szCs w:val="20"/>
          <w:color w:val="auto"/>
        </w:rPr>
      </w:pPr>
    </w:p>
    <w:p>
      <w:pPr>
        <w:ind w:right="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159"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229" w:lineRule="exact"/>
        <w:rPr>
          <w:sz w:val="20"/>
          <w:szCs w:val="20"/>
          <w:color w:val="auto"/>
        </w:rPr>
      </w:pPr>
    </w:p>
    <w:p>
      <w:pPr>
        <w:ind w:right="200" w:firstLine="492"/>
        <w:spacing w:after="0" w:line="255" w:lineRule="auto"/>
        <w:rPr>
          <w:sz w:val="20"/>
          <w:szCs w:val="20"/>
          <w:color w:val="auto"/>
        </w:rPr>
      </w:pPr>
      <w:r>
        <w:rPr>
          <w:rFonts w:ascii="Times New Roman" w:cs="Times New Roman" w:eastAsia="Times New Roman" w:hAnsi="Times New Roman"/>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89"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7"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07"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June 2016. This lack of long-term experience working together may adversely impact our senior management team’s ability to effectively manage our business and growth.</w:t>
      </w:r>
    </w:p>
    <w:p>
      <w:pPr>
        <w:spacing w:after="0" w:line="184"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89"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72" w:lineRule="exact"/>
        <w:rPr>
          <w:sz w:val="20"/>
          <w:szCs w:val="20"/>
          <w:color w:val="auto"/>
        </w:rPr>
      </w:pPr>
    </w:p>
    <w:p>
      <w:pPr>
        <w:ind w:right="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59" w:lineRule="exact"/>
        <w:rPr>
          <w:sz w:val="20"/>
          <w:szCs w:val="20"/>
          <w:color w:val="auto"/>
        </w:rPr>
      </w:pPr>
    </w:p>
    <w:p>
      <w:pPr>
        <w:ind w:right="20" w:firstLine="495"/>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62" w:lineRule="exact"/>
        <w:rPr>
          <w:sz w:val="20"/>
          <w:szCs w:val="20"/>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9" w:lineRule="exact"/>
        <w:rPr>
          <w:rFonts w:ascii="Times New Roman" w:cs="Times New Roman" w:eastAsia="Times New Roman" w:hAnsi="Times New Roman"/>
          <w:sz w:val="18"/>
          <w:szCs w:val="18"/>
          <w:color w:val="auto"/>
        </w:rPr>
      </w:pPr>
    </w:p>
    <w:p>
      <w:pPr>
        <w:ind w:left="820" w:right="60" w:hanging="326"/>
        <w:spacing w:after="0" w:line="250"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auto"/>
        </w:rPr>
      </w:pPr>
    </w:p>
    <w:p>
      <w:pPr>
        <w:ind w:left="820" w:right="340" w:hanging="326"/>
        <w:spacing w:after="0" w:line="250"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0" w:hanging="326"/>
        <w:spacing w:after="0" w:line="261"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0" w:lineRule="exact"/>
        <w:rPr>
          <w:sz w:val="20"/>
          <w:szCs w:val="20"/>
          <w:color w:val="auto"/>
        </w:rPr>
      </w:pPr>
    </w:p>
    <w:p>
      <w:pPr>
        <w:ind w:firstLine="537"/>
        <w:spacing w:after="0" w:line="255"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50" w:name="page51"/>
    <w:bookmarkEnd w:id="50"/>
    <w:p>
      <w:pPr>
        <w:ind w:right="100"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81" w:lineRule="exact"/>
        <w:rPr>
          <w:sz w:val="20"/>
          <w:szCs w:val="20"/>
          <w:color w:val="auto"/>
        </w:rPr>
      </w:pPr>
    </w:p>
    <w:p>
      <w:pPr>
        <w:ind w:right="140" w:firstLine="492"/>
        <w:spacing w:after="0" w:line="255" w:lineRule="auto"/>
        <w:rPr>
          <w:sz w:val="20"/>
          <w:szCs w:val="20"/>
          <w:color w:val="auto"/>
        </w:rPr>
      </w:pPr>
      <w:r>
        <w:rPr>
          <w:rFonts w:ascii="Times New Roman" w:cs="Times New Roman" w:eastAsia="Times New Roman" w:hAnsi="Times New Roman"/>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9"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SEC has issued an administrative order against us that may make it more difficult for us to raise capital in the future.</w:t>
      </w:r>
    </w:p>
    <w:p>
      <w:pPr>
        <w:spacing w:after="0" w:line="22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Times New Roman" w:cs="Times New Roman" w:eastAsia="Times New Roman" w:hAnsi="Times New Roman"/>
          <w:sz w:val="18"/>
          <w:szCs w:val="18"/>
          <w:i w:val="1"/>
          <w:iCs w:val="1"/>
          <w:color w:val="auto"/>
        </w:rPr>
        <w:t>In the Matter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Stock Promotions</w:t>
      </w:r>
      <w:r>
        <w:rPr>
          <w:rFonts w:ascii="Times New Roman" w:cs="Times New Roman" w:eastAsia="Times New Roman" w:hAnsi="Times New Roman"/>
          <w:sz w:val="18"/>
          <w:szCs w:val="18"/>
          <w:color w:val="auto"/>
        </w:rPr>
        <w:t>. The SEC’s investigation, in part, involved the conduct of our former Chief Executive Officer and director, Manish Singh,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182" w:lineRule="exact"/>
        <w:rPr>
          <w:sz w:val="20"/>
          <w:szCs w:val="20"/>
          <w:color w:val="auto"/>
        </w:rPr>
      </w:pPr>
    </w:p>
    <w:p>
      <w:pPr>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57" w:lineRule="exact"/>
        <w:rPr>
          <w:sz w:val="20"/>
          <w:szCs w:val="20"/>
          <w:color w:val="auto"/>
        </w:rPr>
      </w:pPr>
    </w:p>
    <w:p>
      <w:pPr>
        <w:ind w:right="40" w:firstLine="492"/>
        <w:spacing w:after="0" w:line="253" w:lineRule="auto"/>
        <w:rPr>
          <w:sz w:val="20"/>
          <w:szCs w:val="20"/>
          <w:color w:val="auto"/>
        </w:rPr>
      </w:pPr>
      <w:r>
        <w:rPr>
          <w:rFonts w:ascii="Times New Roman" w:cs="Times New Roman" w:eastAsia="Times New Roman" w:hAnsi="Times New Roman"/>
          <w:sz w:val="18"/>
          <w:szCs w:val="18"/>
          <w:color w:val="auto"/>
        </w:rPr>
        <w:t xml:space="preserve">Shortly after the SEC announced settlements with us, with other public companies, and with unrelated parties in the </w:t>
      </w:r>
      <w:r>
        <w:rPr>
          <w:rFonts w:ascii="Times New Roman" w:cs="Times New Roman" w:eastAsia="Times New Roman" w:hAnsi="Times New Roman"/>
          <w:sz w:val="18"/>
          <w:szCs w:val="18"/>
          <w:i w:val="1"/>
          <w:iCs w:val="1"/>
          <w:color w:val="auto"/>
        </w:rPr>
        <w:t>In the Matter of Certain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Promotions </w:t>
      </w:r>
      <w:r>
        <w:rPr>
          <w:rFonts w:ascii="Times New Roman" w:cs="Times New Roman" w:eastAsia="Times New Roman" w:hAnsi="Times New Roman"/>
          <w:sz w:val="18"/>
          <w:szCs w:val="18"/>
          <w:color w:val="auto"/>
        </w:rPr>
        <w:t>investigation, two securities class action complaints were filed in the U.S. District Court for the Northern District of California against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Times New Roman" w:cs="Times New Roman" w:eastAsia="Times New Roman" w:hAnsi="Times New Roman"/>
          <w:sz w:val="18"/>
          <w:szCs w:val="18"/>
          <w:i w:val="1"/>
          <w:iCs w:val="1"/>
          <w:color w:val="auto"/>
        </w:rPr>
        <w:t>Jay Rabkin v. Lion Biotechnologies, Inc., et al.,</w:t>
      </w:r>
      <w:r>
        <w:rPr>
          <w:rFonts w:ascii="Times New Roman" w:cs="Times New Roman" w:eastAsia="Times New Roman" w:hAnsi="Times New Roman"/>
          <w:sz w:val="18"/>
          <w:szCs w:val="18"/>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our insurance carrier and would result in no loss to us. The court gave preliminary approval to the proposed settlement on November 30, 2018, and the final hearing is currently scheduled for April 12, 2019.</w:t>
      </w:r>
    </w:p>
    <w:p>
      <w:pPr>
        <w:spacing w:after="0" w:line="191"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 xml:space="preserve">On December 15, 2017, a purported stockholder derivative complaint was filed by plaintiff Kevin Fong was filed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matter and our April 10, 2017 settlement thereof, and seeks unspecified damages on behalf of our company and injunctive relief. On March 28, 2018, a purported stockholder derivative complaint was filed by plaintiff Nazeer Khaleeluddin on behalf of the Company, against the Company,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investigation and our April 10, 2017 settlement thereof, and seeks unspecified damages on behalf of our company and injunctive relief.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1" w:name="page52"/>
    <w:bookmarkEnd w:id="51"/>
    <w:p>
      <w:pPr>
        <w:ind w:firstLine="492"/>
        <w:spacing w:after="0" w:line="255" w:lineRule="auto"/>
        <w:rPr>
          <w:sz w:val="20"/>
          <w:szCs w:val="20"/>
          <w:color w:val="auto"/>
        </w:rPr>
      </w:pPr>
      <w:r>
        <w:rPr>
          <w:rFonts w:ascii="Times New Roman" w:cs="Times New Roman" w:eastAsia="Times New Roman" w:hAnsi="Times New Roman"/>
          <w:sz w:val="18"/>
          <w:szCs w:val="18"/>
          <w:color w:val="auto"/>
        </w:rPr>
        <w:t>We intend to vigorously defend against these complaints. However, based on the very early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26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59" w:lineRule="exact"/>
        <w:rPr>
          <w:sz w:val="20"/>
          <w:szCs w:val="20"/>
          <w:color w:val="auto"/>
        </w:rPr>
      </w:pPr>
    </w:p>
    <w:p>
      <w:pPr>
        <w:ind w:right="180" w:firstLine="492"/>
        <w:spacing w:after="0" w:line="255" w:lineRule="auto"/>
        <w:rPr>
          <w:sz w:val="20"/>
          <w:szCs w:val="20"/>
          <w:color w:val="auto"/>
        </w:rPr>
      </w:pPr>
      <w:r>
        <w:rPr>
          <w:rFonts w:ascii="Times New Roman" w:cs="Times New Roman" w:eastAsia="Times New Roman" w:hAnsi="Times New Roman"/>
          <w:sz w:val="18"/>
          <w:szCs w:val="18"/>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RMAT designation we have received for advanced melanoma to successfully complete the development and commercialization of lifileucel. We may not be able to reach agreement with FDA on an interpretation of outcomes from our meetings, including meetings we have held with FDA in relation to our C-144-01 clinical trial and future meetings. Accordingly, the regulatory approval pathway for our product candidates may be uncertain, complex, expensive and lengthy, and approval may not be obtained.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trials;</w:t>
      </w:r>
    </w:p>
    <w:p>
      <w:pPr>
        <w:spacing w:after="0" w:line="27" w:lineRule="exact"/>
        <w:rPr>
          <w:rFonts w:ascii="Times New Roman" w:cs="Times New Roman" w:eastAsia="Times New Roman" w:hAnsi="Times New Roman"/>
          <w:sz w:val="18"/>
          <w:szCs w:val="18"/>
          <w:color w:val="auto"/>
        </w:rPr>
      </w:pPr>
    </w:p>
    <w:p>
      <w:pPr>
        <w:ind w:left="820" w:right="140" w:hanging="326"/>
        <w:spacing w:after="0" w:line="250"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institutional review board, or IRB, or central IRB;</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cGMPs and applying them on a subject by subject basis for use in clinical trials.</w:t>
      </w:r>
    </w:p>
    <w:p>
      <w:pPr>
        <w:spacing w:after="0" w:line="20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82"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80" w:lineRule="exact"/>
        <w:rPr>
          <w:sz w:val="20"/>
          <w:szCs w:val="20"/>
          <w:color w:val="auto"/>
        </w:rPr>
      </w:pPr>
    </w:p>
    <w:p>
      <w:pPr>
        <w:ind w:right="2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8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76" w:lineRule="exact"/>
        <w:rPr>
          <w:sz w:val="20"/>
          <w:szCs w:val="20"/>
          <w:color w:val="auto"/>
        </w:rPr>
      </w:pPr>
    </w:p>
    <w:p>
      <w:pPr>
        <w:ind w:left="820" w:right="20" w:hanging="326"/>
        <w:spacing w:after="0" w:line="261"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ind w:left="820" w:right="420" w:hanging="326"/>
        <w:spacing w:after="0" w:line="250"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cyber letters, or holds on or termination of clinical trials;</w:t>
      </w:r>
    </w:p>
    <w:p>
      <w:pPr>
        <w:spacing w:after="0" w:line="9" w:lineRule="exact"/>
        <w:rPr>
          <w:rFonts w:ascii="Times New Roman" w:cs="Times New Roman" w:eastAsia="Times New Roman" w:hAnsi="Times New Roman"/>
          <w:sz w:val="18"/>
          <w:szCs w:val="18"/>
          <w:color w:val="auto"/>
        </w:rPr>
      </w:pPr>
    </w:p>
    <w:p>
      <w:pPr>
        <w:ind w:left="820" w:right="280" w:hanging="326"/>
        <w:spacing w:after="0" w:line="250"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9" w:lineRule="exact"/>
        <w:rPr>
          <w:rFonts w:ascii="Times New Roman" w:cs="Times New Roman" w:eastAsia="Times New Roman" w:hAnsi="Times New Roman"/>
          <w:sz w:val="18"/>
          <w:szCs w:val="18"/>
          <w:color w:val="auto"/>
        </w:rPr>
      </w:pPr>
    </w:p>
    <w:p>
      <w:pPr>
        <w:ind w:left="820" w:right="220" w:hanging="326"/>
        <w:spacing w:after="0" w:line="250"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260" w:hanging="326"/>
        <w:spacing w:after="0" w:line="250"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207"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53" w:name="page54"/>
    <w:bookmarkEnd w:id="53"/>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80" w:lineRule="exact"/>
        <w:rPr>
          <w:sz w:val="20"/>
          <w:szCs w:val="20"/>
          <w:color w:val="auto"/>
        </w:rPr>
      </w:pPr>
    </w:p>
    <w:p>
      <w:pPr>
        <w:ind w:right="8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59" w:lineRule="exact"/>
        <w:rPr>
          <w:sz w:val="20"/>
          <w:szCs w:val="20"/>
          <w:color w:val="auto"/>
        </w:rPr>
      </w:pPr>
    </w:p>
    <w:p>
      <w:pPr>
        <w:ind w:right="40" w:firstLine="492"/>
        <w:spacing w:after="0" w:line="273" w:lineRule="auto"/>
        <w:rPr>
          <w:sz w:val="20"/>
          <w:szCs w:val="20"/>
          <w:color w:val="auto"/>
        </w:rPr>
      </w:pPr>
      <w:r>
        <w:rPr>
          <w:rFonts w:ascii="Times New Roman" w:cs="Times New Roman" w:eastAsia="Times New Roman" w:hAnsi="Times New Roman"/>
          <w:sz w:val="17"/>
          <w:szCs w:val="17"/>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72"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80"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86" w:lineRule="exact"/>
        <w:rPr>
          <w:sz w:val="20"/>
          <w:szCs w:val="20"/>
          <w:color w:val="auto"/>
        </w:rPr>
      </w:pPr>
    </w:p>
    <w:p>
      <w:pPr>
        <w:jc w:val="both"/>
        <w:ind w:right="40" w:firstLine="492"/>
        <w:spacing w:after="0" w:line="258"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84"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ind w:firstLine="492"/>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96"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5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80"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7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85" w:lineRule="exact"/>
        <w:rPr>
          <w:sz w:val="20"/>
          <w:szCs w:val="20"/>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07"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89"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0" w:lineRule="exact"/>
        <w:rPr>
          <w:sz w:val="20"/>
          <w:szCs w:val="20"/>
          <w:color w:val="auto"/>
        </w:rPr>
      </w:pPr>
    </w:p>
    <w:p>
      <w:pPr>
        <w:ind w:right="80" w:firstLine="492"/>
        <w:spacing w:after="0" w:line="256"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 On January 31, 2019, the U.S. Department of Health and Human Services issued a proposed rule aimed at eliminating certain AKS safe harbor protections for drug rebates.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36" w:gutter="0" w:footer="0" w:header="0"/>
        </w:sectPr>
      </w:pPr>
    </w:p>
    <w:bookmarkStart w:id="55" w:name="page56"/>
    <w:bookmarkEnd w:id="55"/>
    <w:p>
      <w:pPr>
        <w:ind w:firstLine="492"/>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93"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8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0" w:lineRule="exact"/>
        <w:rPr>
          <w:sz w:val="20"/>
          <w:szCs w:val="20"/>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0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85" w:lineRule="exact"/>
        <w:rPr>
          <w:sz w:val="20"/>
          <w:szCs w:val="20"/>
          <w:color w:val="auto"/>
        </w:rPr>
      </w:pPr>
    </w:p>
    <w:p>
      <w:pPr>
        <w:ind w:right="1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6" w:name="page57"/>
    <w:bookmarkEnd w:id="56"/>
    <w:p>
      <w:pPr>
        <w:ind w:right="40" w:firstLine="492"/>
        <w:spacing w:after="0" w:line="252" w:lineRule="auto"/>
        <w:rPr>
          <w:sz w:val="20"/>
          <w:szCs w:val="20"/>
          <w:color w:val="auto"/>
        </w:rPr>
      </w:pPr>
      <w:r>
        <w:rPr>
          <w:rFonts w:ascii="Times New Roman" w:cs="Times New Roman" w:eastAsia="Times New Roman" w:hAnsi="Times New Roman"/>
          <w:sz w:val="18"/>
          <w:szCs w:val="18"/>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More recently, the United States District Court for the Northern District of Texas struck down the ACA, deeming it unconstitutional given that Congress repealed the individual mandate in 2017. Although there is no immediate impact on the ACA, we will continue to evaluate the effect that the ACA and its possible repeal and replacement, or potential total revocation by the Supreme Court of the United States, has on our business.</w:t>
      </w:r>
    </w:p>
    <w:p>
      <w:pPr>
        <w:spacing w:after="0" w:line="194"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4" w:lineRule="exact"/>
        <w:rPr>
          <w:sz w:val="20"/>
          <w:szCs w:val="20"/>
          <w:color w:val="auto"/>
        </w:rPr>
      </w:pPr>
    </w:p>
    <w:p>
      <w:pPr>
        <w:ind w:right="240" w:firstLine="492"/>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4"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Congress recently introduced a number of bipartisan bills, including the CREATES Act that is intended to reduce price and increase competitiveness in the pharmaceutical industry, and the FLAT Prices Act that would introduce a prohibition on “large scale drug price increases.”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1" w:lineRule="exact"/>
        <w:rPr>
          <w:sz w:val="20"/>
          <w:szCs w:val="20"/>
          <w:color w:val="auto"/>
        </w:rPr>
      </w:pPr>
    </w:p>
    <w:p>
      <w:pPr>
        <w:ind w:right="28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117" w:gutter="0" w:footer="0" w:header="0"/>
        </w:sectPr>
      </w:pPr>
    </w:p>
    <w:bookmarkStart w:id="57" w:name="page58"/>
    <w:bookmarkEnd w:id="57"/>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6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w:t>
      </w:r>
    </w:p>
    <w:p>
      <w:pPr>
        <w:spacing w:after="0" w:line="229" w:lineRule="exact"/>
        <w:rPr>
          <w:sz w:val="20"/>
          <w:szCs w:val="20"/>
          <w:color w:val="auto"/>
        </w:rPr>
      </w:pPr>
    </w:p>
    <w:p>
      <w:pPr>
        <w:ind w:right="180" w:firstLine="495"/>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76" w:lineRule="exact"/>
        <w:rPr>
          <w:sz w:val="20"/>
          <w:szCs w:val="20"/>
          <w:color w:val="auto"/>
        </w:rPr>
      </w:pPr>
    </w:p>
    <w:p>
      <w:pPr>
        <w:ind w:right="80" w:firstLine="495"/>
        <w:spacing w:after="0" w:line="261"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29"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89" w:lineRule="exact"/>
        <w:rPr>
          <w:sz w:val="20"/>
          <w:szCs w:val="20"/>
          <w:color w:val="auto"/>
        </w:rPr>
      </w:pPr>
    </w:p>
    <w:p>
      <w:pPr>
        <w:ind w:firstLine="495"/>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given to the patents we have licensed from the NIH, Moffitt, PolyBioCept,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93"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85" w:lineRule="exact"/>
        <w:rPr>
          <w:sz w:val="20"/>
          <w:szCs w:val="20"/>
          <w:color w:val="auto"/>
        </w:rPr>
      </w:pPr>
    </w:p>
    <w:p>
      <w:pPr>
        <w:ind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59" w:lineRule="exact"/>
        <w:rPr>
          <w:sz w:val="20"/>
          <w:szCs w:val="20"/>
          <w:color w:val="auto"/>
        </w:rPr>
      </w:pPr>
    </w:p>
    <w:p>
      <w:pPr>
        <w:ind w:right="80" w:firstLine="495"/>
        <w:spacing w:after="0" w:line="255" w:lineRule="auto"/>
        <w:rPr>
          <w:sz w:val="20"/>
          <w:szCs w:val="20"/>
          <w:color w:val="auto"/>
        </w:rPr>
      </w:pPr>
      <w:r>
        <w:rPr>
          <w:rFonts w:ascii="Times New Roman" w:cs="Times New Roman" w:eastAsia="Times New Roman" w:hAnsi="Times New Roman"/>
          <w:sz w:val="18"/>
          <w:szCs w:val="18"/>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85" w:lineRule="exact"/>
        <w:rPr>
          <w:sz w:val="20"/>
          <w:szCs w:val="20"/>
          <w:color w:val="auto"/>
        </w:rPr>
      </w:pPr>
    </w:p>
    <w:p>
      <w:pPr>
        <w:ind w:right="60" w:firstLine="495"/>
        <w:spacing w:after="0" w:line="256" w:lineRule="auto"/>
        <w:rPr>
          <w:sz w:val="20"/>
          <w:szCs w:val="20"/>
          <w:color w:val="auto"/>
        </w:rPr>
      </w:pPr>
      <w:r>
        <w:rPr>
          <w:rFonts w:ascii="Times New Roman" w:cs="Times New Roman" w:eastAsia="Times New Roman" w:hAnsi="Times New Roman"/>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59" w:name="page60"/>
    <w:bookmarkEnd w:id="59"/>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29" w:lineRule="exact"/>
        <w:rPr>
          <w:sz w:val="20"/>
          <w:szCs w:val="20"/>
          <w:color w:val="auto"/>
        </w:rPr>
      </w:pPr>
    </w:p>
    <w:p>
      <w:pPr>
        <w:ind w:right="20" w:firstLine="495"/>
        <w:spacing w:after="0" w:line="256" w:lineRule="auto"/>
        <w:rPr>
          <w:sz w:val="20"/>
          <w:szCs w:val="20"/>
          <w:color w:val="auto"/>
        </w:rPr>
      </w:pPr>
      <w:r>
        <w:rPr>
          <w:rFonts w:ascii="Times New Roman" w:cs="Times New Roman" w:eastAsia="Times New Roman" w:hAnsi="Times New Roman"/>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88" w:lineRule="exact"/>
        <w:rPr>
          <w:sz w:val="20"/>
          <w:szCs w:val="20"/>
          <w:color w:val="auto"/>
        </w:rPr>
      </w:pPr>
    </w:p>
    <w:p>
      <w:pPr>
        <w:ind w:right="160" w:firstLine="492"/>
        <w:spacing w:after="0" w:line="258" w:lineRule="auto"/>
        <w:rPr>
          <w:sz w:val="20"/>
          <w:szCs w:val="20"/>
          <w:color w:val="auto"/>
        </w:rPr>
      </w:pPr>
      <w:r>
        <w:rPr>
          <w:rFonts w:ascii="Times New Roman" w:cs="Times New Roman" w:eastAsia="Times New Roman" w:hAnsi="Times New Roman"/>
          <w:sz w:val="18"/>
          <w:szCs w:val="18"/>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29"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22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ind w:right="920"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ind w:right="24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59" w:lineRule="exact"/>
        <w:rPr>
          <w:sz w:val="20"/>
          <w:szCs w:val="20"/>
          <w:color w:val="auto"/>
        </w:rPr>
      </w:pPr>
    </w:p>
    <w:p>
      <w:pPr>
        <w:ind w:right="20" w:firstLine="495"/>
        <w:spacing w:after="0" w:line="266" w:lineRule="auto"/>
        <w:rPr>
          <w:sz w:val="20"/>
          <w:szCs w:val="20"/>
          <w:color w:val="auto"/>
        </w:rPr>
      </w:pPr>
      <w:r>
        <w:rPr>
          <w:rFonts w:ascii="Times New Roman" w:cs="Times New Roman" w:eastAsia="Times New Roman" w:hAnsi="Times New Roman"/>
          <w:sz w:val="18"/>
          <w:szCs w:val="18"/>
          <w:color w:val="auto"/>
        </w:rPr>
        <w:t>As of December 31, 2018, our officers and directors beneficially owned approximately 7.4 % of our outstanding common stock. These stockholders, if they act together, may be able to materially affect the outcome of matters presented to our stockholders, including the election of our directors and other corporate actions such as:</w:t>
      </w:r>
    </w:p>
    <w:p>
      <w:pPr>
        <w:spacing w:after="0" w:line="176" w:lineRule="exact"/>
        <w:rPr>
          <w:sz w:val="20"/>
          <w:szCs w:val="20"/>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or into another company;</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of substantially all of our assets;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certificate of incorporation.</w:t>
      </w:r>
    </w:p>
    <w:p>
      <w:pPr>
        <w:spacing w:after="0" w:line="20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investment in our stock could decline in value.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225" w:lineRule="exact"/>
        <w:rPr>
          <w:sz w:val="20"/>
          <w:szCs w:val="20"/>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clinical trials by us, our collaborators or our competitors;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new contracts by us or our competitors;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and whether our earnings meet or exceed such estimates;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lack of receipt, of funding in support of conducing our business;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financial markets;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Annual Report on Form 10-K.</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229" w:lineRule="exact"/>
        <w:rPr>
          <w:sz w:val="20"/>
          <w:szCs w:val="20"/>
          <w:color w:val="auto"/>
        </w:rPr>
      </w:pPr>
    </w:p>
    <w:p>
      <w:pPr>
        <w:jc w:val="both"/>
        <w:ind w:right="100" w:firstLine="495"/>
        <w:spacing w:after="0" w:line="258" w:lineRule="auto"/>
        <w:rPr>
          <w:sz w:val="20"/>
          <w:szCs w:val="20"/>
          <w:color w:val="auto"/>
        </w:rPr>
      </w:pPr>
      <w:r>
        <w:rPr>
          <w:rFonts w:ascii="Times New Roman" w:cs="Times New Roman" w:eastAsia="Times New Roman" w:hAnsi="Times New Roman"/>
          <w:sz w:val="18"/>
          <w:szCs w:val="18"/>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229" w:lineRule="exact"/>
        <w:rPr>
          <w:sz w:val="20"/>
          <w:szCs w:val="20"/>
          <w:color w:val="auto"/>
        </w:rPr>
      </w:pPr>
    </w:p>
    <w:p>
      <w:pPr>
        <w:jc w:val="both"/>
        <w:ind w:right="20" w:firstLine="495"/>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400" w:firstLine="495"/>
        <w:spacing w:after="0" w:line="261" w:lineRule="auto"/>
        <w:rPr>
          <w:sz w:val="20"/>
          <w:szCs w:val="20"/>
          <w:color w:val="auto"/>
        </w:rPr>
      </w:pPr>
      <w:r>
        <w:rPr>
          <w:rFonts w:ascii="Times New Roman" w:cs="Times New Roman" w:eastAsia="Times New Roman" w:hAnsi="Times New Roman"/>
          <w:sz w:val="18"/>
          <w:szCs w:val="18"/>
          <w:color w:val="auto"/>
        </w:rPr>
        <w:t>As of February 13, 2019, we had 123,420,091 shares of common stock outstanding. In addition, we had 13,123,236 shares of common stock equivalents that would increase the number of common stock outstanding if these instruments were exercised or 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w:t>
      </w:r>
    </w:p>
    <w:p>
      <w:pPr>
        <w:spacing w:after="0" w:line="180" w:lineRule="exact"/>
        <w:rPr>
          <w:sz w:val="20"/>
          <w:szCs w:val="20"/>
          <w:color w:val="auto"/>
        </w:rPr>
      </w:pPr>
    </w:p>
    <w:p>
      <w:pPr>
        <w:ind w:right="340" w:firstLine="495"/>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and 25,300,000 shares of common stock, respectively, in connection with underwritten public offerings. Such issuances could result in substantial dilution to our existing stockholders and could cause our stock price to decline.</w:t>
      </w:r>
    </w:p>
    <w:p>
      <w:pPr>
        <w:spacing w:after="0" w:line="176" w:lineRule="exact"/>
        <w:rPr>
          <w:sz w:val="20"/>
          <w:szCs w:val="20"/>
          <w:color w:val="auto"/>
        </w:rPr>
      </w:pPr>
    </w:p>
    <w:p>
      <w:pPr>
        <w:ind w:right="1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5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468" w:gutter="0" w:footer="0" w:header="0"/>
        </w:sectPr>
      </w:pPr>
    </w:p>
    <w:bookmarkStart w:id="61" w:name="page62"/>
    <w:bookmarkEnd w:id="61"/>
    <w:p>
      <w:pPr>
        <w:jc w:val="both"/>
        <w:ind w:right="60" w:firstLine="49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75" w:lineRule="exact"/>
        <w:rPr>
          <w:sz w:val="20"/>
          <w:szCs w:val="20"/>
          <w:color w:val="auto"/>
        </w:rPr>
      </w:pPr>
    </w:p>
    <w:p>
      <w:pPr>
        <w:ind w:right="120" w:firstLine="495"/>
        <w:spacing w:after="0" w:line="255" w:lineRule="auto"/>
        <w:rPr>
          <w:sz w:val="20"/>
          <w:szCs w:val="20"/>
          <w:color w:val="auto"/>
        </w:rPr>
      </w:pPr>
      <w:r>
        <w:rPr>
          <w:rFonts w:ascii="Times New Roman" w:cs="Times New Roman" w:eastAsia="Times New Roman" w:hAnsi="Times New Roman"/>
          <w:sz w:val="18"/>
          <w:szCs w:val="18"/>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85" w:lineRule="exact"/>
        <w:rPr>
          <w:sz w:val="20"/>
          <w:szCs w:val="20"/>
          <w:color w:val="auto"/>
        </w:rPr>
      </w:pPr>
    </w:p>
    <w:p>
      <w:pPr>
        <w:ind w:right="96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could issue one or more additional series of preferred stock without stockholder approval with the effect of diluting existing stockholders and impairing their voting and other rights.</w:t>
      </w:r>
    </w:p>
    <w:p>
      <w:pPr>
        <w:spacing w:after="0" w:line="159" w:lineRule="exact"/>
        <w:rPr>
          <w:sz w:val="20"/>
          <w:szCs w:val="20"/>
          <w:color w:val="auto"/>
        </w:rPr>
      </w:pPr>
    </w:p>
    <w:p>
      <w:pPr>
        <w:ind w:right="80" w:firstLine="495"/>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85" w:lineRule="exact"/>
        <w:rPr>
          <w:sz w:val="20"/>
          <w:szCs w:val="20"/>
          <w:color w:val="auto"/>
        </w:rPr>
      </w:pPr>
    </w:p>
    <w:p>
      <w:pPr>
        <w:ind w:right="100"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59" w:lineRule="exact"/>
        <w:rPr>
          <w:sz w:val="20"/>
          <w:szCs w:val="20"/>
          <w:color w:val="auto"/>
        </w:rPr>
      </w:pPr>
    </w:p>
    <w:p>
      <w:pPr>
        <w:ind w:right="140" w:firstLine="495"/>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8" w:lineRule="exact"/>
        <w:rPr>
          <w:sz w:val="20"/>
          <w:szCs w:val="20"/>
          <w:color w:val="auto"/>
        </w:rPr>
      </w:pPr>
    </w:p>
    <w:p>
      <w:pPr>
        <w:ind w:firstLine="49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160" w:firstLine="495"/>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8" w:lineRule="exact"/>
        <w:rPr>
          <w:sz w:val="20"/>
          <w:szCs w:val="20"/>
          <w:color w:val="auto"/>
        </w:rPr>
      </w:pPr>
    </w:p>
    <w:p>
      <w:pPr>
        <w:ind w:right="140" w:firstLine="495"/>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0" w:lineRule="exact"/>
        <w:rPr>
          <w:sz w:val="20"/>
          <w:szCs w:val="20"/>
          <w:color w:val="auto"/>
        </w:rPr>
      </w:pPr>
    </w:p>
    <w:p>
      <w:pPr>
        <w:jc w:val="both"/>
        <w:ind w:firstLine="49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right="20" w:firstLine="495"/>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2" w:name="page63"/>
    <w:bookmarkEnd w:id="62"/>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for rescission or damages in connection with certain sales of shares of our common stock in the open market.</w:t>
      </w:r>
    </w:p>
    <w:p>
      <w:pPr>
        <w:spacing w:after="0" w:line="22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89"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84"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 Carlos Lease</w:t>
      </w:r>
    </w:p>
    <w:p>
      <w:pPr>
        <w:spacing w:after="0" w:line="227" w:lineRule="exact"/>
        <w:rPr>
          <w:sz w:val="20"/>
          <w:szCs w:val="20"/>
          <w:color w:val="auto"/>
        </w:rPr>
      </w:pPr>
    </w:p>
    <w:p>
      <w:pPr>
        <w:ind w:right="800" w:firstLine="495"/>
        <w:spacing w:after="0" w:line="282" w:lineRule="auto"/>
        <w:rPr>
          <w:sz w:val="20"/>
          <w:szCs w:val="20"/>
          <w:color w:val="auto"/>
        </w:rPr>
      </w:pPr>
      <w:r>
        <w:rPr>
          <w:rFonts w:ascii="Times New Roman" w:cs="Times New Roman" w:eastAsia="Times New Roman" w:hAnsi="Times New Roman"/>
          <w:sz w:val="18"/>
          <w:szCs w:val="18"/>
          <w:color w:val="auto"/>
        </w:rPr>
        <w:t>Since August 2016, our corporate headquarters consisted of 8,733 square feet of space that we lease in San Carlos, California. The corporate headquarters lease is for a term of 54 months and will expire in April 2021. Monthly lease payments are approximately $38,000.</w:t>
      </w:r>
    </w:p>
    <w:p>
      <w:pPr>
        <w:spacing w:after="0" w:line="162"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In April 2017, we entered into a sublease agreement with Teradata US, Inc., pursuant to which we agreed to sublease office space located adjacent to our corporate headquarters in San Carlos, California for approximately $26,000 per month. The space consists of approximately 11,449 rentable square feet. On October 19, 2018, we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Lease</w:t>
      </w:r>
    </w:p>
    <w:p>
      <w:pPr>
        <w:spacing w:after="0" w:line="227" w:lineRule="exact"/>
        <w:rPr>
          <w:sz w:val="20"/>
          <w:szCs w:val="20"/>
          <w:color w:val="auto"/>
        </w:rPr>
      </w:pPr>
    </w:p>
    <w:p>
      <w:pPr>
        <w:ind w:right="160" w:firstLine="492"/>
        <w:spacing w:after="0" w:line="261" w:lineRule="auto"/>
        <w:rPr>
          <w:sz w:val="20"/>
          <w:szCs w:val="20"/>
          <w:color w:val="auto"/>
        </w:rPr>
      </w:pPr>
      <w:r>
        <w:rPr>
          <w:rFonts w:ascii="Times New Roman" w:cs="Times New Roman" w:eastAsia="Times New Roman" w:hAnsi="Times New Roman"/>
          <w:sz w:val="18"/>
          <w:szCs w:val="18"/>
          <w:color w:val="auto"/>
        </w:rPr>
        <w:t>We leased office space in New York for a monthly rental of approximately $18,000 a month from January 2017 through July 2017. In June 2017, we entered into an agreement to lease office space in New York, New York from August 1, 2017 to July 31, 2018 for approximately $9,000 a month. On April 20, 2018, we entered into an agreement to extend the lease term to January 31, 2019 for approximately $7,000 a month. On November 2, 2018, we extended the lease term to July 31, 2019 for approximately $4,000 a month.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Tampa Lease</w:t>
      </w:r>
    </w:p>
    <w:p>
      <w:pPr>
        <w:spacing w:after="0" w:line="227"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Our research and development facilities consist of 8,673 square feet in a facility located at the University of South Florida Research Park in Tampa, Florida. The lease expires in December 2019 and rent payments are approximately $20,000 per month.</w:t>
      </w:r>
    </w:p>
    <w:p>
      <w:pPr>
        <w:spacing w:after="0" w:line="162" w:lineRule="exact"/>
        <w:rPr>
          <w:sz w:val="20"/>
          <w:szCs w:val="20"/>
          <w:color w:val="auto"/>
        </w:rPr>
      </w:pPr>
    </w:p>
    <w:p>
      <w:pPr>
        <w:ind w:right="380" w:firstLine="495"/>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suitable additional alternative spaces will be available in the future on commercially reasonable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3" w:name="page64"/>
    <w:bookmarkEnd w:id="63"/>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7"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u w:val="single" w:color="auto"/>
          <w:color w:val="auto"/>
        </w:rPr>
        <w:t>Class Action Lawsuit</w:t>
      </w:r>
      <w:r>
        <w:rPr>
          <w:rFonts w:ascii="Times New Roman" w:cs="Times New Roman" w:eastAsia="Times New Roman" w:hAnsi="Times New Roman"/>
          <w:sz w:val="18"/>
          <w:szCs w:val="18"/>
          <w:color w:val="auto"/>
        </w:rPr>
        <w:t xml:space="preserve">. On April 10, 2017, the SEC announced settlements with us and with other public companies and unrelated parties in the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 of Certain Stock Promotion </w:t>
      </w:r>
      <w:r>
        <w:rPr>
          <w:rFonts w:ascii="Times New Roman" w:cs="Times New Roman" w:eastAsia="Times New Roman" w:hAnsi="Times New Roman"/>
          <w:sz w:val="18"/>
          <w:szCs w:val="18"/>
          <w:color w:val="auto"/>
        </w:rPr>
        <w:t>investigation. Our settlement with the SEC is consistent with our previous disclosures (including in our Annual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Times New Roman" w:cs="Times New Roman" w:eastAsia="Times New Roman" w:hAnsi="Times New Roman"/>
          <w:sz w:val="18"/>
          <w:szCs w:val="18"/>
          <w:i w:val="1"/>
          <w:iCs w:val="1"/>
          <w:color w:val="auto"/>
        </w:rPr>
        <w:t>Leonard DeSilvio v. Lion Biotechnologies, Inc., et al.,</w:t>
      </w:r>
      <w:r>
        <w:rPr>
          <w:rFonts w:ascii="Times New Roman" w:cs="Times New Roman" w:eastAsia="Times New Roman" w:hAnsi="Times New Roman"/>
          <w:sz w:val="18"/>
          <w:szCs w:val="18"/>
          <w:color w:val="auto"/>
        </w:rPr>
        <w:t xml:space="preserve"> case no. 3:17cv2086) against our company and three of our former officers and directors. On April 19, 2017, a second class action complaint </w:t>
      </w:r>
      <w:r>
        <w:rPr>
          <w:rFonts w:ascii="Times New Roman" w:cs="Times New Roman" w:eastAsia="Times New Roman" w:hAnsi="Times New Roman"/>
          <w:sz w:val="18"/>
          <w:szCs w:val="18"/>
          <w:i w:val="1"/>
          <w:iCs w:val="1"/>
          <w:color w:val="auto"/>
        </w:rPr>
        <w:t>(Amra Kuc vs.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et al., </w:t>
      </w:r>
      <w:r>
        <w:rPr>
          <w:rFonts w:ascii="Times New Roman" w:cs="Times New Roman" w:eastAsia="Times New Roman" w:hAnsi="Times New Roman"/>
          <w:sz w:val="18"/>
          <w:szCs w:val="18"/>
          <w:color w:val="auto"/>
        </w:rPr>
        <w:t>case no. 3:17-cv-2188) was filed in the same court. Both complaints allege, among other things, that the defendants violated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federal securities laws by making materially false and misleading statements, or by failing to make certain disclosures, regarding the actions taken by Manish Singh, our former CEO, and our former investor relations firm that were the subject of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investigation. On July 20, 2017, the plaintiff in the </w:t>
      </w:r>
      <w:r>
        <w:rPr>
          <w:rFonts w:ascii="Times New Roman" w:cs="Times New Roman" w:eastAsia="Times New Roman" w:hAnsi="Times New Roman"/>
          <w:sz w:val="18"/>
          <w:szCs w:val="18"/>
          <w:i w:val="1"/>
          <w:iCs w:val="1"/>
          <w:color w:val="auto"/>
        </w:rPr>
        <w:t>Kuc</w:t>
      </w:r>
      <w:r>
        <w:rPr>
          <w:rFonts w:ascii="Times New Roman" w:cs="Times New Roman" w:eastAsia="Times New Roman" w:hAnsi="Times New Roman"/>
          <w:sz w:val="18"/>
          <w:szCs w:val="18"/>
          <w:color w:val="auto"/>
        </w:rPr>
        <w:t xml:space="preserve"> case filed a notice to voluntarily dismiss that case. The court entered an order dismissing the </w:t>
      </w:r>
      <w:r>
        <w:rPr>
          <w:rFonts w:ascii="Times New Roman" w:cs="Times New Roman" w:eastAsia="Times New Roman" w:hAnsi="Times New Roman"/>
          <w:sz w:val="18"/>
          <w:szCs w:val="18"/>
          <w:i w:val="1"/>
          <w:iCs w:val="1"/>
          <w:color w:val="auto"/>
        </w:rPr>
        <w:t>Kuc</w:t>
      </w:r>
      <w:r>
        <w:rPr>
          <w:rFonts w:ascii="Times New Roman" w:cs="Times New Roman" w:eastAsia="Times New Roman" w:hAnsi="Times New Roman"/>
          <w:sz w:val="18"/>
          <w:szCs w:val="18"/>
          <w:color w:val="auto"/>
        </w:rPr>
        <w:t xml:space="preserve"> complaint on July 21, 2017. On July 26, 2017, the court appointed a movant as lead plaintiff. On September 8, 2017, the lead plaintiff filed an amended complaint (</w:t>
      </w:r>
      <w:r>
        <w:rPr>
          <w:rFonts w:ascii="Times New Roman" w:cs="Times New Roman" w:eastAsia="Times New Roman" w:hAnsi="Times New Roman"/>
          <w:sz w:val="18"/>
          <w:szCs w:val="18"/>
          <w:i w:val="1"/>
          <w:iCs w:val="1"/>
          <w:color w:val="auto"/>
        </w:rPr>
        <w:t>Jay Rabkin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et al., </w:t>
      </w:r>
      <w:r>
        <w:rPr>
          <w:rFonts w:ascii="Times New Roman" w:cs="Times New Roman" w:eastAsia="Times New Roman" w:hAnsi="Times New Roman"/>
          <w:sz w:val="18"/>
          <w:szCs w:val="18"/>
          <w:color w:val="auto"/>
        </w:rPr>
        <w:t>case no. 3:17-cv-2086) seeking class action status that alleges, among other things, that the defendants violated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securities laws by making materially false and misleading statements, or by failing to make certain disclosures, regarding the actions taken by Manish Singh and our former investor relations firm that were the subject of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our insurance carrier and would result in no loss to us. The court gave preliminary approval to the proposed settlement on November 30, 2018, and the final hearing is currently scheduled for April 12, 2019.</w:t>
      </w:r>
    </w:p>
    <w:p>
      <w:pPr>
        <w:spacing w:after="0" w:line="198"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u w:val="single" w:color="auto"/>
          <w:color w:val="auto"/>
        </w:rPr>
        <w:t>Derivative Lawsuits.</w:t>
      </w:r>
      <w:r>
        <w:rPr>
          <w:rFonts w:ascii="Times New Roman" w:cs="Times New Roman" w:eastAsia="Times New Roman" w:hAnsi="Times New Roman"/>
          <w:sz w:val="18"/>
          <w:szCs w:val="18"/>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investigation and our April 10, 2017 settlement thereof, and seeks unspecified damages on behalf of our company and injunctive relief.</w:t>
      </w:r>
    </w:p>
    <w:p>
      <w:pPr>
        <w:spacing w:after="0" w:line="184" w:lineRule="exact"/>
        <w:rPr>
          <w:sz w:val="20"/>
          <w:szCs w:val="20"/>
          <w:color w:val="auto"/>
        </w:rPr>
      </w:pPr>
    </w:p>
    <w:p>
      <w:pPr>
        <w:ind w:right="40" w:firstLine="492"/>
        <w:spacing w:after="0" w:line="274" w:lineRule="auto"/>
        <w:rPr>
          <w:sz w:val="20"/>
          <w:szCs w:val="20"/>
          <w:color w:val="auto"/>
        </w:rPr>
      </w:pPr>
      <w:r>
        <w:rPr>
          <w:rFonts w:ascii="Times New Roman" w:cs="Times New Roman" w:eastAsia="Times New Roman" w:hAnsi="Times New Roman"/>
          <w:sz w:val="17"/>
          <w:szCs w:val="17"/>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7"/>
          <w:szCs w:val="17"/>
          <w:i w:val="1"/>
          <w:iCs w:val="1"/>
          <w:color w:val="auto"/>
        </w:rPr>
        <w:t>In the Matter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Certain Stock Promotions </w:t>
      </w:r>
      <w:r>
        <w:rPr>
          <w:rFonts w:ascii="Times New Roman" w:cs="Times New Roman" w:eastAsia="Times New Roman" w:hAnsi="Times New Roman"/>
          <w:sz w:val="17"/>
          <w:szCs w:val="17"/>
          <w:color w:val="auto"/>
        </w:rPr>
        <w:t>investigation and our April 10, 2017 settlement thereof and seeks unspecified damages on behalf of our company and injunctive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relief. On May 1, 2018, the court consolidated this case with the aforementioned purported stockholder derivative case filed by plaintiff Kevin Fong.</w:t>
      </w:r>
    </w:p>
    <w:p>
      <w:pPr>
        <w:spacing w:after="0" w:line="174" w:lineRule="exact"/>
        <w:rPr>
          <w:sz w:val="20"/>
          <w:szCs w:val="20"/>
          <w:color w:val="auto"/>
        </w:rPr>
      </w:pPr>
    </w:p>
    <w:p>
      <w:pPr>
        <w:ind w:right="120" w:firstLine="492"/>
        <w:spacing w:after="0" w:line="282" w:lineRule="auto"/>
        <w:rPr>
          <w:sz w:val="20"/>
          <w:szCs w:val="20"/>
          <w:color w:val="auto"/>
        </w:rPr>
      </w:pPr>
      <w:r>
        <w:rPr>
          <w:rFonts w:ascii="Times New Roman" w:cs="Times New Roman" w:eastAsia="Times New Roman" w:hAnsi="Times New Roman"/>
          <w:sz w:val="18"/>
          <w:szCs w:val="18"/>
          <w:color w:val="auto"/>
        </w:rPr>
        <w:t>We intend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60"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titled </w:t>
      </w:r>
      <w:r>
        <w:rPr>
          <w:rFonts w:ascii="Times New Roman" w:cs="Times New Roman" w:eastAsia="Times New Roman" w:hAnsi="Times New Roman"/>
          <w:sz w:val="18"/>
          <w:szCs w:val="18"/>
          <w:i w:val="1"/>
          <w:iCs w:val="1"/>
          <w:color w:val="auto"/>
        </w:rPr>
        <w:t>Solomon Capital, LLC, Solomon Capital 401(K) Trust, Solomon Sharbat and Shelhav Raff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w:t>
      </w:r>
      <w:r>
        <w:rPr>
          <w:rFonts w:ascii="Times New Roman" w:cs="Times New Roman" w:eastAsia="Times New Roman" w:hAnsi="Times New Roman"/>
          <w:sz w:val="18"/>
          <w:szCs w:val="18"/>
          <w:color w:val="auto"/>
        </w:rPr>
        <w:t>was filed by Solomon Capital, LLC, Solomon Capital 401(k) Trust, Solomon Sharbat and Shelhav Raff against us in the Supreme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the State of New York, County of New York (index no. 651881/2016). The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111,425 shares to the plaintiffs (before the 1-for-100 reverse split of our common stock effected in March 2013), and (iii) allow the plaintiffs to convert the foregoing funds into our securities in the next transaction. The plaintiffs allege that they should have been able to convert their advances and payments into shares of our common stock in the restructuring that was affected in May 2013. Based on the foregoing, the plaintiffs allege causes for breach of contract and unjust enrichment and demand judgment against us in an unspecified amount exceeding $1.5 million, plus interest and attorneys’ fees.</w:t>
      </w:r>
    </w:p>
    <w:p>
      <w:pPr>
        <w:spacing w:after="0" w:line="191" w:lineRule="exact"/>
        <w:rPr>
          <w:sz w:val="20"/>
          <w:szCs w:val="20"/>
          <w:color w:val="auto"/>
        </w:rPr>
      </w:pPr>
    </w:p>
    <w:p>
      <w:pPr>
        <w:ind w:right="200" w:firstLine="492"/>
        <w:spacing w:after="0" w:line="261" w:lineRule="auto"/>
        <w:rPr>
          <w:sz w:val="20"/>
          <w:szCs w:val="20"/>
          <w:color w:val="auto"/>
        </w:rPr>
      </w:pPr>
      <w:r>
        <w:rPr>
          <w:rFonts w:ascii="Times New Roman" w:cs="Times New Roman" w:eastAsia="Times New Roman" w:hAnsi="Times New Roman"/>
          <w:sz w:val="18"/>
          <w:szCs w:val="18"/>
          <w:color w:val="auto"/>
        </w:rPr>
        <w:t>On June 3, 2016, we filed an answer and counterclaims in the lawsuit. In its counterclaims, we allege that the plaintiffs misrepresented their qualifications to assist us in fundraising and that they failed to disclose that they were under investigation for securities laws violations. We are seeking damages in an amount exceeding $0.5 million and an order rescinding any and all agreements that the plaintiffs contend entitled them to obtain stock in our company.</w:t>
      </w:r>
    </w:p>
    <w:p>
      <w:pPr>
        <w:spacing w:after="0" w:line="180"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our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we filed a notice of appeal related to this order, and on November 5, 2018, we filed our memorandum of law in support of our appeal of the order dismissing our amended counterclaims and affirmative defense for fraudulent inducement. On January 2, 2019, plaintiffs filed their memorandum of law in opposition to the appeal. On January 18, 2019, we filed our reply brief in support of our appeal of the order dismissing our amended counterclaims and affirmative defense for fraudulent inducement.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intend to vigorously defend the complaint and pursue our counterclaims.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ind w:firstLine="492"/>
        <w:spacing w:after="0" w:line="252" w:lineRule="auto"/>
        <w:rPr>
          <w:sz w:val="20"/>
          <w:szCs w:val="20"/>
          <w:color w:val="auto"/>
        </w:rPr>
      </w:pPr>
      <w:r>
        <w:rPr>
          <w:rFonts w:ascii="Times New Roman" w:cs="Times New Roman" w:eastAsia="Times New Roman" w:hAnsi="Times New Roman"/>
          <w:sz w:val="18"/>
          <w:szCs w:val="18"/>
          <w:u w:val="single" w:color="auto"/>
          <w:color w:val="auto"/>
        </w:rPr>
        <w:t>Litigation Involving Dr. Steven Fischkoff</w:t>
      </w:r>
      <w:r>
        <w:rPr>
          <w:rFonts w:ascii="Times New Roman" w:cs="Times New Roman" w:eastAsia="Times New Roman" w:hAnsi="Times New Roman"/>
          <w:sz w:val="18"/>
          <w:szCs w:val="18"/>
          <w:color w:val="auto"/>
        </w:rPr>
        <w:t xml:space="preserve">. On June 13, 2017, in an action titled </w:t>
      </w:r>
      <w:r>
        <w:rPr>
          <w:rFonts w:ascii="Times New Roman" w:cs="Times New Roman" w:eastAsia="Times New Roman" w:hAnsi="Times New Roman"/>
          <w:sz w:val="18"/>
          <w:szCs w:val="18"/>
          <w:i w:val="1"/>
          <w:iCs w:val="1"/>
          <w:color w:val="auto"/>
        </w:rPr>
        <w:t>Steven Fischkoff v. Lion Biotechnologies, Inc. and Maria Fardis</w:t>
      </w:r>
      <w:r>
        <w:rPr>
          <w:rFonts w:ascii="Times New Roman" w:cs="Times New Roman" w:eastAsia="Times New Roman" w:hAnsi="Times New Roman"/>
          <w:sz w:val="18"/>
          <w:szCs w:val="18"/>
          <w:color w:val="auto"/>
        </w:rPr>
        <w:t>, Dr. Steven Fischkoff, our former Vice President and Chief Medical Officer, filed a lawsuit against us in the Supreme Court 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w:t>
      </w:r>
    </w:p>
    <w:p>
      <w:pPr>
        <w:spacing w:after="0" w:line="199" w:lineRule="exact"/>
        <w:rPr>
          <w:sz w:val="20"/>
          <w:szCs w:val="20"/>
          <w:color w:val="auto"/>
        </w:rPr>
      </w:pPr>
    </w:p>
    <w:p>
      <w:pPr>
        <w:ind w:right="440" w:firstLine="492"/>
        <w:spacing w:after="0" w:line="266" w:lineRule="auto"/>
        <w:rPr>
          <w:sz w:val="20"/>
          <w:szCs w:val="20"/>
          <w:color w:val="auto"/>
        </w:rPr>
      </w:pPr>
      <w:r>
        <w:rPr>
          <w:rFonts w:ascii="Times New Roman" w:cs="Times New Roman" w:eastAsia="Times New Roman" w:hAnsi="Times New Roman"/>
          <w:sz w:val="18"/>
          <w:szCs w:val="18"/>
          <w:color w:val="auto"/>
        </w:rPr>
        <w:t>We intend to vigorously defend against Dr. Fischkoff’s lawsuit and pursue our counterclaims. Based on the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76"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We believe that any claims brought against it would not result in a material impact to our financial position or results of operations. We have not accrued a loss for a potential claim associated with this matter as we are unable to estimate any at this time.</w:t>
      </w:r>
    </w:p>
    <w:p>
      <w:pPr>
        <w:spacing w:after="0" w:line="189" w:lineRule="exact"/>
        <w:rPr>
          <w:sz w:val="20"/>
          <w:szCs w:val="20"/>
          <w:color w:val="auto"/>
        </w:rPr>
      </w:pPr>
    </w:p>
    <w:p>
      <w:pPr>
        <w:ind w:right="20" w:firstLine="492"/>
        <w:spacing w:after="0" w:line="256" w:lineRule="auto"/>
        <w:rPr>
          <w:sz w:val="20"/>
          <w:szCs w:val="20"/>
          <w:color w:val="auto"/>
        </w:rPr>
      </w:pPr>
      <w:r>
        <w:rPr>
          <w:rFonts w:ascii="Times New Roman" w:cs="Times New Roman" w:eastAsia="Times New Roman" w:hAnsi="Times New Roman"/>
          <w:sz w:val="18"/>
          <w:szCs w:val="18"/>
          <w:color w:val="auto"/>
        </w:rPr>
        <w:t>In connection with our reincorporation from Nevada to Delaware in 2017, we (as a Delaware corporation) untimely filed a post-effective amendment to adopt a Form S-8 registration statement that the Company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consolidated financial statements.</w:t>
      </w:r>
    </w:p>
    <w:p>
      <w:pPr>
        <w:spacing w:after="0" w:line="188" w:lineRule="exact"/>
        <w:rPr>
          <w:sz w:val="20"/>
          <w:szCs w:val="20"/>
          <w:color w:val="auto"/>
        </w:rPr>
      </w:pPr>
    </w:p>
    <w:p>
      <w:pPr>
        <w:ind w:right="180" w:firstLine="495"/>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42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Common Equity, Related Stockholder Matters and Issuer Purchases of Equity Securities Market Information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common stock is traded on the Nasdaq Global Market under the symbol “IOVA”.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right="180" w:firstLine="495"/>
        <w:spacing w:after="0" w:line="282" w:lineRule="auto"/>
        <w:rPr>
          <w:sz w:val="20"/>
          <w:szCs w:val="20"/>
          <w:color w:val="auto"/>
        </w:rPr>
      </w:pPr>
      <w:r>
        <w:rPr>
          <w:rFonts w:ascii="Times New Roman" w:cs="Times New Roman" w:eastAsia="Times New Roman" w:hAnsi="Times New Roman"/>
          <w:sz w:val="18"/>
          <w:szCs w:val="18"/>
          <w:color w:val="auto"/>
        </w:rPr>
        <w:t>As of December 31, 2018, there were approximately 30 holders of record of our common stock. In addition, we had one holder of record who owned shares of our Series A Convertible Preferred Stock and 6 holders of record who owned shares of our Series B Convertible Preferred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80" w:firstLine="495"/>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spacing w:after="0" w:line="180" w:lineRule="exact"/>
        <w:rPr>
          <w:sz w:val="20"/>
          <w:szCs w:val="20"/>
          <w:color w:val="auto"/>
        </w:rPr>
      </w:pPr>
    </w:p>
    <w:p>
      <w:pPr>
        <w:ind w:right="180" w:firstLine="495"/>
        <w:spacing w:after="0" w:line="266" w:lineRule="auto"/>
        <w:rPr>
          <w:sz w:val="20"/>
          <w:szCs w:val="20"/>
          <w:color w:val="auto"/>
        </w:rPr>
      </w:pPr>
      <w:r>
        <w:rPr>
          <w:rFonts w:ascii="Times New Roman" w:cs="Times New Roman" w:eastAsia="Times New Roman" w:hAnsi="Times New Roman"/>
          <w:sz w:val="18"/>
          <w:szCs w:val="18"/>
          <w:color w:val="auto"/>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spacing w:after="0" w:line="176" w:lineRule="exact"/>
        <w:rPr>
          <w:sz w:val="20"/>
          <w:szCs w:val="20"/>
          <w:color w:val="auto"/>
        </w:rPr>
      </w:pPr>
    </w:p>
    <w:p>
      <w:pPr>
        <w:ind w:right="120" w:firstLine="495"/>
        <w:spacing w:after="0" w:line="256" w:lineRule="auto"/>
        <w:rPr>
          <w:sz w:val="20"/>
          <w:szCs w:val="20"/>
          <w:color w:val="auto"/>
        </w:rPr>
      </w:pPr>
      <w:r>
        <w:rPr>
          <w:rFonts w:ascii="Times New Roman" w:cs="Times New Roman" w:eastAsia="Times New Roman" w:hAnsi="Times New Roman"/>
          <w:sz w:val="18"/>
          <w:szCs w:val="18"/>
          <w:color w:val="auto"/>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share repurchases during the three months ended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495"/>
        <w:spacing w:after="0" w:line="266" w:lineRule="auto"/>
        <w:rPr>
          <w:sz w:val="20"/>
          <w:szCs w:val="20"/>
          <w:color w:val="auto"/>
        </w:rPr>
      </w:pPr>
      <w:r>
        <w:rPr>
          <w:rFonts w:ascii="Times New Roman" w:cs="Times New Roman" w:eastAsia="Times New Roman" w:hAnsi="Times New Roman"/>
          <w:sz w:val="18"/>
          <w:szCs w:val="18"/>
          <w:color w:val="auto"/>
        </w:rPr>
        <w:t>The following graph illustrates a comparison of the total cumulative stockholder return on our common stock since December 31, 2013, to two indices: the Russell 3000 and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123190</wp:posOffset>
            </wp:positionV>
            <wp:extent cx="5917565" cy="3129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756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100" w:firstLine="495"/>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from the information in our Proxy Statement for our 2019 Annual Meeting of Stockholders, which we will file with the SEC within 120 days after the end of the fiscal year to which this Annual Report on Form 10-K relates.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66" w:name="page67"/>
    <w:bookmarkEnd w:id="66"/>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 (in thousands, except per share information)</w:t>
      </w:r>
    </w:p>
    <w:p>
      <w:pPr>
        <w:spacing w:after="0" w:line="227" w:lineRule="exact"/>
        <w:rPr>
          <w:sz w:val="20"/>
          <w:szCs w:val="20"/>
          <w:color w:val="auto"/>
        </w:rPr>
      </w:pPr>
    </w:p>
    <w:p>
      <w:pPr>
        <w:ind w:right="80" w:firstLine="493"/>
        <w:spacing w:after="0" w:line="257" w:lineRule="auto"/>
        <w:rPr>
          <w:sz w:val="20"/>
          <w:szCs w:val="20"/>
          <w:color w:val="auto"/>
        </w:rPr>
      </w:pPr>
      <w:r>
        <w:rPr>
          <w:rFonts w:ascii="Times New Roman" w:cs="Times New Roman" w:eastAsia="Times New Roman" w:hAnsi="Times New Roman"/>
          <w:sz w:val="18"/>
          <w:szCs w:val="18"/>
          <w:i w:val="1"/>
          <w:iCs w:val="1"/>
          <w:color w:val="auto"/>
        </w:rPr>
        <w:t>The statements of operations data for the years ended December 31, 2018, 2017 and 2016 and the balance sheet data as of December 31, 2018 and 2017 have been derived from our audited financial statements included elsewhere in this Annual Report on Form 10-K. The statements of operations data for the years ended December 31, 2015 and 2014 and the balance sheet data as of December 31, 2016, 2015 and 2014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99,828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r>
      <w:tr>
        <w:trPr>
          <w:trHeight w:val="216"/>
        </w:trPr>
        <w:tc>
          <w:tcPr>
            <w:tcW w:w="4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28,430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21,262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(123,580)</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(92,064)</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(52,894)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(27,660)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r>
      <w:tr>
        <w:trPr>
          <w:trHeight w:val="446"/>
        </w:trPr>
        <w:tc>
          <w:tcPr>
            <w:tcW w:w="4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171,886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105,653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46,507</w:t>
            </w: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14,628</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80" w:type="dxa"/>
            <w:vAlign w:val="bottom"/>
          </w:tcPr>
          <w:p>
            <w:pPr>
              <w:spacing w:after="0"/>
              <w:rPr>
                <w:sz w:val="18"/>
                <w:szCs w:val="18"/>
                <w:color w:val="auto"/>
              </w:rPr>
            </w:pP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466,193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166,918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104,023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44,845</w:t>
            </w:r>
          </w:p>
        </w:tc>
      </w:tr>
    </w:tbl>
    <w:p>
      <w:pPr>
        <w:spacing w:after="0" w:line="198"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below, and the financial statements and accompanying notes and previously filed Annual Reports on Form 10-K for further information regarding our results and financial position for periods reported herein and for known factors that will impact comparability of future results.</w:t>
      </w:r>
    </w:p>
    <w:p>
      <w:pPr>
        <w:spacing w:after="0" w:line="172"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60" w:firstLine="4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495"/>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cancer immunotherapy products designed to harness the power of a patient’s own immune system to eradicate cancer cells. Tumor infiltrating lymphocyte, or TIL, therapy is a platform technology that has already been studied for the treatment of metastatic melanoma and metastatic cervical cancer and other solid tumors by the National Cancer Institute, or NCI. Our lead product candidate, lifileucel for metastatic melanoma, previously known as LN-144, is an autologous adoptive cell therapy utilizing TIL, which are T cells derived from patients’ tumors. We are also developing a second product candidate, an autologous adoptive cell therapy utilizing TIL for the treatment of cancers other than metastatic melanoma, which is known as LN-145. We are investigating the effectiveness and safety of TIL therapy for the treatment of metastatic melanoma, squamous cell carcinoma of the head and neck, cervical cancer and metastatic non-small cell lung cancer through company sponsored trials, as well as for other oncology indications in investigator-sponsored trials. Our sponsored clinical trials and our investigator-sponsor clinical trials are described in more detail below.</w:t>
      </w:r>
    </w:p>
    <w:p>
      <w:pPr>
        <w:spacing w:after="0" w:line="189" w:lineRule="exact"/>
        <w:rPr>
          <w:sz w:val="20"/>
          <w:szCs w:val="20"/>
          <w:color w:val="auto"/>
        </w:rPr>
      </w:pPr>
    </w:p>
    <w:p>
      <w:pPr>
        <w:ind w:firstLine="495"/>
        <w:spacing w:after="0" w:line="258" w:lineRule="auto"/>
        <w:rPr>
          <w:sz w:val="20"/>
          <w:szCs w:val="20"/>
          <w:color w:val="auto"/>
        </w:rPr>
      </w:pPr>
      <w:r>
        <w:rPr>
          <w:rFonts w:ascii="Times New Roman" w:cs="Times New Roman" w:eastAsia="Times New Roman" w:hAnsi="Times New Roman"/>
          <w:sz w:val="18"/>
          <w:szCs w:val="18"/>
          <w:color w:val="auto"/>
        </w:rPr>
        <w:t>We have an on-going Phase 2 clinical trial, C-144-01, of our lead product candidate, lifileucel, for the treatment of metastatic melanoma. This multicenter trial is enrolling patients with melanoma whose disease has progressed following treatment with at least one systemic therapy, including a PD-1 inhibitor and if BRAF mutated, a BRAF, or BRAF/MEK inhibitor (National Clinical Trial identification number NCT02360579). The purpose of the trial is to evaluate the efficacy and safety of lifileucel. The C-144-01 trial uses our proprietary Generation 2, or Gen 2, manufacturing process. We completed and closed Cohort 2 in this trial in 2018, and a new single-arm registrational cohort, Cohort 4, of this trial began enrollment in early 2019.</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7" w:name="page68"/>
    <w:bookmarkEnd w:id="67"/>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In addition to our ongoing trial in metastatic melanoma, we have initiated clinical trials of LN-145, TIL therapy in cervical, head and neck cancers, and other cancers. C-145-04 is an ongoing Phase 2, multicenter trial that will assess the safety and efficacy of LN-145 for the treatment of patients with recurrent, metastatic or persistent cervical cancer (NCT03108495). C-145-03 is an ongoing Phase 2, multicenter trial that will enroll up to 47 patients and will assess the safety and efficacy of LN-145 for the treatment of patients with recurrent metastatic squamous cell carcinoma of the head and neck (NCT03083873).</w:t>
      </w:r>
    </w:p>
    <w:p>
      <w:pPr>
        <w:spacing w:after="0" w:line="180" w:lineRule="exact"/>
        <w:rPr>
          <w:sz w:val="20"/>
          <w:szCs w:val="20"/>
          <w:color w:val="auto"/>
        </w:rPr>
      </w:pPr>
    </w:p>
    <w:p>
      <w:pPr>
        <w:ind w:right="100" w:firstLine="492"/>
        <w:spacing w:after="0" w:line="255" w:lineRule="auto"/>
        <w:rPr>
          <w:sz w:val="20"/>
          <w:szCs w:val="20"/>
          <w:color w:val="auto"/>
        </w:rPr>
      </w:pPr>
      <w:r>
        <w:rPr>
          <w:rFonts w:ascii="Times New Roman" w:cs="Times New Roman" w:eastAsia="Times New Roman" w:hAnsi="Times New Roman"/>
          <w:sz w:val="18"/>
          <w:szCs w:val="18"/>
          <w:color w:val="auto"/>
        </w:rPr>
        <w:t>We are investigating the potential of our TIL therapies in earlier lines of treatment. IOV-COM-202 is a Phase 2, multicenter trial that is composed of three cohorts to enroll up to a total of 36 patients. In Cohort 1, we intend to enroll advanced unresectable or metastatic melanoma patients who have not received prior immunotherapy including checkpoint inhibitors such as anti-PD-1/anti-PD-L1 therapy. The patients will receive lifileucel in combination with pembrolizumab. In Cohort 2, we intend to enroll advanced head and neck squamous cell carcinoma patients who are also naïve to prior immunotherapy including anti-PD-1/anti-PD-L1 therapy. The patients will receive LN-145 in combination with pembrolizumab. In Cohort 3, we intend to enroll non-small cell lung cancer patients who have previously received systemic therapy which could include checkpoint inhibitors. This trial is open for patient enrollment (NCT03645928).</w:t>
      </w:r>
    </w:p>
    <w:p>
      <w:pPr>
        <w:spacing w:after="0" w:line="189" w:lineRule="exact"/>
        <w:rPr>
          <w:sz w:val="20"/>
          <w:szCs w:val="20"/>
          <w:color w:val="auto"/>
        </w:rPr>
      </w:pPr>
    </w:p>
    <w:p>
      <w:pPr>
        <w:ind w:right="60" w:firstLine="495"/>
        <w:spacing w:after="0" w:line="255" w:lineRule="auto"/>
        <w:rPr>
          <w:sz w:val="20"/>
          <w:szCs w:val="20"/>
          <w:color w:val="auto"/>
        </w:rPr>
      </w:pPr>
      <w:r>
        <w:rPr>
          <w:rFonts w:ascii="Times New Roman" w:cs="Times New Roman" w:eastAsia="Times New Roman" w:hAnsi="Times New Roman"/>
          <w:sz w:val="18"/>
          <w:szCs w:val="18"/>
          <w:color w:val="auto"/>
        </w:rPr>
        <w:t>We are also investigating TIL therapy in non-small cell lung cancer, or NSCLC, in combination with anti-PD-L1 therapy. We have initiated a trial, IOV-LUN-201, in anti-PD-1/ PD-L1 naïve patients for the treatment of patients with a combination of LN-145 and durvalumab (NCT03419559). This trial was initiated in the first half of 2018 and is a collaboration with MedImmune, the global biologics research and development arm of AstraZeneca. In addition to this trial, we have financially sponsored an investigator-sponsored trial in NSCLC in collaboration with the H. Lee Moffitt Cancer Center and Research Institute, or Moffitt, Stand Up To Cancer, and others evaluating the combination of TIL therapy and nivolumab (NCT03215810). Patients who are treatment naïve to prior anti-PD-1/ PD-L1 therapy with stage IV or recurrent NSCLC are being enrolled in this trial. Patients receive the TIL product if they do not respond to treatment with nivolumab. The TIL product is manufactured by Moffitt for this trial. Patient dosing began in the fourth quarter of 2017, and preliminary results from the Moffitt trial were presented at the World Conference on Lung Cancer in September 2018.</w:t>
      </w:r>
    </w:p>
    <w:p>
      <w:pPr>
        <w:spacing w:after="0" w:line="185" w:lineRule="exact"/>
        <w:rPr>
          <w:sz w:val="20"/>
          <w:szCs w:val="20"/>
          <w:color w:val="auto"/>
        </w:rPr>
      </w:pPr>
    </w:p>
    <w:p>
      <w:pPr>
        <w:ind w:right="100" w:firstLine="495"/>
        <w:spacing w:after="0" w:line="258" w:lineRule="auto"/>
        <w:rPr>
          <w:sz w:val="20"/>
          <w:szCs w:val="20"/>
          <w:color w:val="auto"/>
        </w:rPr>
      </w:pPr>
      <w:r>
        <w:rPr>
          <w:rFonts w:ascii="Times New Roman" w:cs="Times New Roman" w:eastAsia="Times New Roman" w:hAnsi="Times New Roman"/>
          <w:sz w:val="18"/>
          <w:szCs w:val="18"/>
          <w:color w:val="auto"/>
        </w:rPr>
        <w:t>As part of our collaboration program with the MD Anderson Cancer Center, or MDACC, two new Phase 2 trials were initiated in 2018. The first trial, 2017-0672 (NCT03449108), is intended to allow for investigation of LN-145 manufactured by us using our Gen 2 manufacturing process to treat patients with soft tissue sarcoma, osteosarcoma and platinum resistant ovarian cancer. A second trial under the collaboration with MDACC is now active as well (NCT03610490). This trial will use TIL manufactured by MDACC using urelumab as part of the manufacturing process. Both trials are sponsored by MDACC.</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154940</wp:posOffset>
            </wp:positionV>
            <wp:extent cx="5917565" cy="2641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756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180" w:firstLine="492"/>
        <w:spacing w:after="0" w:line="266" w:lineRule="auto"/>
        <w:rPr>
          <w:sz w:val="20"/>
          <w:szCs w:val="20"/>
          <w:color w:val="auto"/>
        </w:rPr>
      </w:pPr>
      <w:r>
        <w:rPr>
          <w:rFonts w:ascii="Times New Roman" w:cs="Times New Roman" w:eastAsia="Times New Roman" w:hAnsi="Times New Roman"/>
          <w:sz w:val="18"/>
          <w:szCs w:val="18"/>
          <w:color w:val="auto"/>
        </w:rPr>
        <w:t>For the two investigator-sponsored trials listed in our pipeline graph above, MDACC is the sponsor. For one of the studies, NCT03610490, MDACC uses its own manufacturing process, referred to here as MDACC TIL. The data obtained using this manufacturing process may not be representative of our data.</w:t>
      </w:r>
    </w:p>
    <w:p>
      <w:pPr>
        <w:spacing w:after="0" w:line="176"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In January 2018, we closed an underwritten public offering of 15,000,000 shares of our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8" w:name="page69"/>
    <w:bookmarkEnd w:id="68"/>
    <w:p>
      <w:pPr>
        <w:ind w:right="200" w:firstLine="492"/>
        <w:spacing w:after="0" w:line="261" w:lineRule="auto"/>
        <w:rPr>
          <w:sz w:val="20"/>
          <w:szCs w:val="20"/>
          <w:color w:val="auto"/>
        </w:rPr>
      </w:pPr>
      <w:r>
        <w:rPr>
          <w:rFonts w:ascii="Times New Roman" w:cs="Times New Roman" w:eastAsia="Times New Roman" w:hAnsi="Times New Roman"/>
          <w:sz w:val="18"/>
          <w:szCs w:val="18"/>
          <w:color w:val="auto"/>
        </w:rPr>
        <w:t>In October 2018, we closed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net proceeds from the offering, after deducting the underwriting discounts and commissions and other offering expenses payable by the Company were $236.7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100" w:firstLine="492"/>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 of clinical development generally have higher development costs than those in earlier stages of clinical development, primarily due to the increased size and duration of later-stage clinical trials. As a clinical stage company that is currently engaged in the development of novel cancer immunotherapy products, we have not yet generated any revenues from our biotechnology business or otherwise since our formation. Our ability to generate revenues in the future will depend on our ability to complete the development of our product candidates and to obtain regulatory approval for them. Our major sources of funding to date have been proceeds from various public and private offerings of our equity securities (both common stock and preferred stock), option and warrant exercises, and interest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2018 and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revenues during the years ended December 31, 2018 and 2017, respectively, and we currently do not anticipate that we will generate any revenues during 2019 from the sale or licensing of our product candidates. Our ability to generate revenues in the future will depend on our ability to complete the development of our product candidates and to obtain regulatory approval for them.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28,213</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research and development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5,270</w:t>
            </w:r>
          </w:p>
        </w:tc>
        <w:tc>
          <w:tcPr>
            <w:tcW w:w="3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bl>
    <w:p>
      <w:pPr>
        <w:spacing w:after="0" w:line="198" w:lineRule="exact"/>
        <w:rPr>
          <w:sz w:val="20"/>
          <w:szCs w:val="20"/>
          <w:color w:val="auto"/>
        </w:rPr>
      </w:pPr>
    </w:p>
    <w:p>
      <w:pPr>
        <w:jc w:val="both"/>
        <w:ind w:right="100" w:firstLine="495"/>
        <w:spacing w:after="0" w:line="257"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2018 increased by $28.2 million, or 39%, compared to the year ended December 31, 2017. The increase was primarily attributable to a $14.0 million increase in payroll and related expenses, including stock-based compensation expenses, due to a higher number of full-time employees and dedicated consultants as we expanded our internal research efforts and clinical development programs.</w:t>
      </w:r>
    </w:p>
    <w:p>
      <w:pPr>
        <w:spacing w:after="0" w:line="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clinical trial costs increased by $12.9 million due to: higher patient enrollment and an increase in the number of clinical sites in the clinical trial of lifileucel for the treatment of melanoma, LN-145 for the treatment of cervical and head and neck cancers, and the initiation of clinical trials in 2018 for new indications. In addition, research and alliance costs increased by $0.8 million for clinical trials run by our alliance partners and new research initiatives. These increases were partially offset by a $0.5 million decrease in manufacturing costs due to a termination of a contract manufacturing organization early in 2018.</w:t>
      </w:r>
    </w:p>
    <w:p>
      <w:pPr>
        <w:spacing w:after="0" w:line="186" w:lineRule="exact"/>
        <w:rPr>
          <w:sz w:val="20"/>
          <w:szCs w:val="20"/>
          <w:color w:val="auto"/>
        </w:rPr>
      </w:pPr>
    </w:p>
    <w:p>
      <w:pPr>
        <w:ind w:right="100" w:firstLine="495"/>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over the next several years as we continue to conduct our clinical trials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6" w:lineRule="exact"/>
        <w:rPr>
          <w:sz w:val="20"/>
          <w:szCs w:val="20"/>
          <w:color w:val="auto"/>
        </w:rPr>
      </w:pPr>
    </w:p>
    <w:p>
      <w:pPr>
        <w:ind w:right="60" w:firstLine="495"/>
        <w:spacing w:after="0" w:line="258" w:lineRule="auto"/>
        <w:rPr>
          <w:sz w:val="20"/>
          <w:szCs w:val="20"/>
          <w:color w:val="auto"/>
        </w:rPr>
      </w:pPr>
      <w:r>
        <w:rPr>
          <w:rFonts w:ascii="Times New Roman" w:cs="Times New Roman" w:eastAsia="Times New Roman" w:hAnsi="Times New Roman"/>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 (in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general and administrative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10,722</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w:t>
            </w:r>
          </w:p>
        </w:tc>
        <w:tc>
          <w:tcPr>
            <w:tcW w:w="3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648"/>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69" w:name="page70"/>
    <w:bookmarkEnd w:id="69"/>
    <w:p>
      <w:pPr>
        <w:ind w:right="80" w:firstLine="49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for the year ended December 31, 2018 increased by $7.2 million, or 34%, compared to the year ended December 31, 2017. The change was primarily attributable to a $4.2 million increase in stock-based compensation expenses, $1.7 million increase in payroll and related expenses, driven by a higher number of full-time employees and higher stock prices during 2018, and a $0.2 million increase in professional service fees.</w:t>
      </w:r>
    </w:p>
    <w:p>
      <w:pPr>
        <w:spacing w:after="0" w:line="176" w:lineRule="exact"/>
        <w:rPr>
          <w:sz w:val="20"/>
          <w:szCs w:val="20"/>
          <w:color w:val="auto"/>
        </w:rPr>
      </w:pPr>
    </w:p>
    <w:p>
      <w:pPr>
        <w:ind w:right="40" w:firstLine="49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for our employees engaged in general and administrative activities, legal fees, audit and tax fees, consultants and professional services, and general corporate expenses. We anticipate general and administrative expenses will increase in 2019 as we continue to support our expanded research and development efforts.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 (in thousands)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bl>
    <w:p>
      <w:pPr>
        <w:spacing w:after="0" w:line="198" w:lineRule="exact"/>
        <w:rPr>
          <w:sz w:val="20"/>
          <w:szCs w:val="20"/>
          <w:color w:val="auto"/>
        </w:rPr>
      </w:pPr>
    </w:p>
    <w:p>
      <w:pPr>
        <w:ind w:right="260" w:firstLine="495"/>
        <w:spacing w:after="0" w:line="266" w:lineRule="auto"/>
        <w:rPr>
          <w:sz w:val="20"/>
          <w:szCs w:val="20"/>
          <w:color w:val="auto"/>
        </w:rPr>
      </w:pPr>
      <w:r>
        <w:rPr>
          <w:rFonts w:ascii="Times New Roman" w:cs="Times New Roman" w:eastAsia="Times New Roman" w:hAnsi="Times New Roman"/>
          <w:sz w:val="18"/>
          <w:szCs w:val="18"/>
          <w:color w:val="auto"/>
        </w:rPr>
        <w:t>Interest income results from our interest-bearing cash and investment balances. Net interest income increased by $3.7 million or 475%, due to the higher average cash balances as a result of the proceeds received from our equity financings in January 2018 and October 2018, and higher interest rates in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bl>
    <w:p>
      <w:pPr>
        <w:spacing w:after="0" w:line="198" w:lineRule="exact"/>
        <w:rPr>
          <w:sz w:val="20"/>
          <w:szCs w:val="20"/>
          <w:color w:val="auto"/>
        </w:rPr>
      </w:pPr>
    </w:p>
    <w:p>
      <w:pPr>
        <w:ind w:right="220" w:firstLine="540"/>
        <w:spacing w:after="0" w:line="261" w:lineRule="auto"/>
        <w:rPr>
          <w:sz w:val="20"/>
          <w:szCs w:val="20"/>
          <w:color w:val="auto"/>
        </w:rPr>
      </w:pPr>
      <w:r>
        <w:rPr>
          <w:rFonts w:ascii="Times New Roman" w:cs="Times New Roman" w:eastAsia="Times New Roman" w:hAnsi="Times New Roman"/>
          <w:sz w:val="18"/>
          <w:szCs w:val="18"/>
          <w:color w:val="auto"/>
        </w:rPr>
        <w:t>Net loss for the year ended December 31, 2018 increased by $31.5 million or 34%, compared to the year ended December 31, 2017.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did not generate any revenues during the years ended December 31, 2017 and 2016,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28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research and development</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bl>
    <w:p>
      <w:pPr>
        <w:spacing w:after="0" w:line="198" w:lineRule="exact"/>
        <w:rPr>
          <w:sz w:val="20"/>
          <w:szCs w:val="20"/>
          <w:color w:val="auto"/>
        </w:rPr>
      </w:pPr>
    </w:p>
    <w:p>
      <w:pPr>
        <w:ind w:right="140" w:firstLine="567"/>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for the year ended December 31, 2017 increased by $44.7 million, or 166%, compared to the year ended December 31, 2016. The increase was primarily attributable to a $22.1 million increase in drug manufacturing costs due to an increase in the number of manufacturing facilities, development and technology transfer related to the Gen 2 manufacturing process, and a $9.2 million increase in costs related to our clinical trials as a result of the initiation of two clinical trials of LN-145 for the treatment of cervical and head and neck cancers in 2017. Further, payroll and related expenses increased by $10.5 million, including stock-based compensation expenses, due to a higher number of full-time employees and dedicated consultants to support internal research efforts and clinical development programs. In addition, research and alliance costs increased by $1.7 million for clinical trials run by our alliance partners and internal research programs.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 (in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3"/>
              </w:rPr>
              <w:t>(5,436)</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general and administrative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15,637</w:t>
            </w:r>
          </w:p>
        </w:tc>
        <w:tc>
          <w:tcPr>
            <w:tcW w:w="340" w:type="dxa"/>
            <w:vAlign w:val="bottom"/>
          </w:tcPr>
          <w:p>
            <w:pPr>
              <w:spacing w:after="0"/>
              <w:rPr>
                <w:sz w:val="20"/>
                <w:szCs w:val="20"/>
                <w:color w:val="auto"/>
              </w:rPr>
            </w:pP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(8,939)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648"/>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0" w:name="page71"/>
    <w:bookmarkEnd w:id="70"/>
    <w:p>
      <w:pPr>
        <w:ind w:right="20" w:firstLine="5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for the year ended December 31, 2017 decreased by $5.4 million, or 20%, compared to the year ended December 31, 2016. The change was primarily attributable to a $8.9 million decrease in stock-based compensation expense, driven by expense incurred in connection with the separation of our former Chief Executive Officer and Chief Financial Officer from our company in June and August of 2016, respectively, which was partially offset by a $2.4 million increase in legal fees in consulting and legal-related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Income (in thousands)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jc w:val="both"/>
        <w:ind w:right="40" w:firstLine="495"/>
        <w:spacing w:after="0" w:line="266" w:lineRule="auto"/>
        <w:rPr>
          <w:sz w:val="20"/>
          <w:szCs w:val="20"/>
          <w:color w:val="auto"/>
        </w:rPr>
      </w:pPr>
      <w:r>
        <w:rPr>
          <w:rFonts w:ascii="Times New Roman" w:cs="Times New Roman" w:eastAsia="Times New Roman" w:hAnsi="Times New Roman"/>
          <w:sz w:val="18"/>
          <w:szCs w:val="18"/>
          <w:color w:val="auto"/>
        </w:rPr>
        <w:t>Interest income results from our interest-bearing cash and investment balances. Interest income for the year ended December 31, 2017 increased due to the higher average cash balances as a result of the proceeds received from our equity financings in September 2017 and June 2016, and higher interest rates in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40" w:type="dxa"/>
            <w:vAlign w:val="bottom"/>
          </w:tcPr>
          <w:p>
            <w:pPr>
              <w:spacing w:after="0"/>
              <w:rPr>
                <w:sz w:val="24"/>
                <w:szCs w:val="24"/>
                <w:color w:val="auto"/>
              </w:rPr>
            </w:pPr>
          </w:p>
        </w:tc>
        <w:tc>
          <w:tcPr>
            <w:tcW w:w="252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bl>
    <w:p>
      <w:pPr>
        <w:spacing w:after="0" w:line="198" w:lineRule="exact"/>
        <w:rPr>
          <w:sz w:val="20"/>
          <w:szCs w:val="20"/>
          <w:color w:val="auto"/>
        </w:rPr>
      </w:pPr>
    </w:p>
    <w:p>
      <w:pPr>
        <w:ind w:right="220" w:firstLine="540"/>
        <w:spacing w:after="0" w:line="261" w:lineRule="auto"/>
        <w:rPr>
          <w:sz w:val="20"/>
          <w:szCs w:val="20"/>
          <w:color w:val="auto"/>
        </w:rPr>
      </w:pPr>
      <w:r>
        <w:rPr>
          <w:rFonts w:ascii="Times New Roman" w:cs="Times New Roman" w:eastAsia="Times New Roman" w:hAnsi="Times New Roman"/>
          <w:sz w:val="18"/>
          <w:szCs w:val="18"/>
          <w:color w:val="auto"/>
        </w:rPr>
        <w:t>Net loss for the year ended December 31, 2017 increased by $39.2 million or 74%, compared to the year ended December 31, 2016.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180" w:firstLine="495"/>
        <w:spacing w:after="0" w:line="266" w:lineRule="auto"/>
        <w:rPr>
          <w:sz w:val="20"/>
          <w:szCs w:val="20"/>
          <w:color w:val="auto"/>
        </w:rPr>
      </w:pPr>
      <w:r>
        <w:rPr>
          <w:rFonts w:ascii="Times New Roman" w:cs="Times New Roman" w:eastAsia="Times New Roman" w:hAnsi="Times New Roman"/>
          <w:sz w:val="18"/>
          <w:szCs w:val="18"/>
          <w:color w:val="auto"/>
        </w:rPr>
        <w:t>We have incurred losses and generated negative cash flows from operations since inception. We expect to continue to incur significant losses in 2019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74" w:lineRule="exact"/>
        <w:rPr>
          <w:sz w:val="20"/>
          <w:szCs w:val="20"/>
          <w:color w:val="auto"/>
        </w:rPr>
      </w:pPr>
    </w:p>
    <w:p>
      <w:pPr>
        <w:ind w:right="80" w:firstLine="492"/>
        <w:spacing w:after="0" w:line="259" w:lineRule="auto"/>
        <w:rPr>
          <w:sz w:val="20"/>
          <w:szCs w:val="20"/>
          <w:color w:val="auto"/>
        </w:rPr>
      </w:pPr>
      <w:r>
        <w:rPr>
          <w:rFonts w:ascii="Times New Roman" w:cs="Times New Roman" w:eastAsia="Times New Roman" w:hAnsi="Times New Roman"/>
          <w:sz w:val="18"/>
          <w:szCs w:val="18"/>
          <w:i w:val="1"/>
          <w:iCs w:val="1"/>
          <w:color w:val="auto"/>
        </w:rPr>
        <w:t>Corporate Capitalization</w:t>
      </w:r>
      <w:r>
        <w:rPr>
          <w:rFonts w:ascii="Times New Roman" w:cs="Times New Roman" w:eastAsia="Times New Roman" w:hAnsi="Times New Roman"/>
          <w:sz w:val="18"/>
          <w:szCs w:val="18"/>
          <w:color w:val="auto"/>
        </w:rPr>
        <w:t>. As of December 31, 2018, we had outstanding 123,415,576 shares of our $0.000041666 par value common stock, 194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$0.001 par value Series A Convertible Preferred Stock, and 5,854,845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5,854,845 shares of our common stock. The shares of Series A Convertible Preferred Stock and Series B Convertible Preferred Stock do not have voting rights or accrue dividends.</w:t>
      </w:r>
    </w:p>
    <w:p>
      <w:pPr>
        <w:spacing w:after="0" w:line="182" w:lineRule="exact"/>
        <w:rPr>
          <w:sz w:val="20"/>
          <w:szCs w:val="20"/>
          <w:color w:val="auto"/>
        </w:rPr>
      </w:pPr>
    </w:p>
    <w:p>
      <w:pPr>
        <w:ind w:right="180" w:firstLine="492"/>
        <w:spacing w:after="0" w:line="256" w:lineRule="auto"/>
        <w:rPr>
          <w:sz w:val="20"/>
          <w:szCs w:val="20"/>
          <w:color w:val="auto"/>
        </w:rPr>
      </w:pPr>
      <w:r>
        <w:rPr>
          <w:rFonts w:ascii="Times New Roman" w:cs="Times New Roman" w:eastAsia="Times New Roman" w:hAnsi="Times New Roman"/>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88" w:lineRule="exact"/>
        <w:rPr>
          <w:sz w:val="20"/>
          <w:szCs w:val="20"/>
          <w:color w:val="auto"/>
        </w:rPr>
      </w:pPr>
    </w:p>
    <w:p>
      <w:pPr>
        <w:ind w:right="220" w:firstLine="492"/>
        <w:spacing w:after="0" w:line="256" w:lineRule="auto"/>
        <w:rPr>
          <w:sz w:val="20"/>
          <w:szCs w:val="20"/>
          <w:color w:val="auto"/>
        </w:rPr>
      </w:pPr>
      <w:r>
        <w:rPr>
          <w:rFonts w:ascii="Times New Roman" w:cs="Times New Roman" w:eastAsia="Times New Roman" w:hAnsi="Times New Roman"/>
          <w:sz w:val="18"/>
          <w:szCs w:val="18"/>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w:t>
      </w:r>
    </w:p>
    <w:p>
      <w:pPr>
        <w:spacing w:after="0" w:line="188"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In the future, we may periodically offer one or more of these securities in amounts, prices and terms to be announced when and if the securities are offered. If any of the securities covered by the 2018 Shelf Registration Statement are offered for sale, a prospectus supplement will be prepared and filed with the SEC containing specific information about the terms of such offering at that time.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2019 from the sale or licensing of any products. We have incurred a net loss of $123.6 million for the year ended December 31, 2018 and used $101.2 million of cash in our operating activities for the year ended December 31, 2018. As of December 31, 2018, we had $82.2 million of cash and cash equivalents, $386.4 million of short-term investments, $466.2 million of stockholders’ equity and had working capital of $461.0 million.</w:t>
      </w:r>
    </w:p>
    <w:p>
      <w:pPr>
        <w:spacing w:after="0" w:line="184" w:lineRule="exact"/>
        <w:rPr>
          <w:sz w:val="20"/>
          <w:szCs w:val="20"/>
          <w:color w:val="auto"/>
        </w:rPr>
      </w:pPr>
    </w:p>
    <w:p>
      <w:pPr>
        <w:ind w:right="60" w:firstLine="495"/>
        <w:spacing w:after="0" w:line="281" w:lineRule="auto"/>
        <w:rPr>
          <w:sz w:val="20"/>
          <w:szCs w:val="20"/>
          <w:color w:val="auto"/>
        </w:rPr>
      </w:pPr>
      <w:r>
        <w:rPr>
          <w:rFonts w:ascii="Times New Roman" w:cs="Times New Roman" w:eastAsia="Times New Roman" w:hAnsi="Times New Roman"/>
          <w:sz w:val="17"/>
          <w:szCs w:val="17"/>
          <w:color w:val="auto"/>
        </w:rPr>
        <w:t>We expect to further increase our research and development activities, which will increase the amount of cash we will use during 2019 and beyond. Specifically, we expect increased spending on clinical trials, research and development activities, higher payroll expenses as we increase our professional and scientific staff and continue our expansion of manufacturing activities. Based on the funds we have available as of the date of the filing of this Annual Report on Form 10-K, we believe that we have sufficient capital to fund our anticipated operating expenses for at least 12 months from the date of filing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(in thousands):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8"/>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(101,249)</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(78,709)</w:t>
            </w:r>
          </w:p>
        </w:tc>
        <w:tc>
          <w:tcPr>
            <w:tcW w:w="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(32,668)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(386,280)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58,677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8,894</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424,308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58,688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96,904</w:t>
            </w:r>
          </w:p>
        </w:tc>
        <w:tc>
          <w:tcPr>
            <w:tcW w:w="0" w:type="dxa"/>
            <w:vAlign w:val="bottom"/>
          </w:tcPr>
          <w:p>
            <w:pPr>
              <w:spacing w:after="0"/>
              <w:rPr>
                <w:sz w:val="1"/>
                <w:szCs w:val="1"/>
                <w:color w:val="auto"/>
              </w:rPr>
            </w:pPr>
          </w:p>
        </w:tc>
      </w:tr>
      <w:tr>
        <w:trPr>
          <w:trHeight w:val="223"/>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80" w:firstLine="531"/>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of $101.2 million for the year ended December 31, 2018, resulted primarily from our net loss of $123.6 million, adjusted by a non-cash charge of $20.0 million for stock-based compensation expense, $1.0 million in non-cash depreciation expenses, and $1.3 million in non-cash accretion of premium on short-term investments. Further, it was adjusted for a $4.7 million increase in accounts payable and accrued liabilities primarily due to increases in activities by our company and a $2.0 million increase in prepaid expenses and other assets due to timing of certain upfront payments associated with our research agreements.</w:t>
      </w:r>
    </w:p>
    <w:p>
      <w:pPr>
        <w:spacing w:after="0" w:line="18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$78.7 million for the year ended December 31, 2017, resulted primarily from our net loss of $92.1 million, adjusted by a non-cash charge of $12.0 million for stock-based compensation expense, $1.0 million in non-cash depreciation expenses, a $4.9 million increase in accounts payable and accrued liabilities primarily due to increases in activities by our company, and a $4.5 million increase in prepaid expenses and other assets due to timing of certain upfront payments associated with our research agreements.</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$32.7 million for the year ended December 31, 2016, resulted primarily from our net loss of $52.9 million, adjusted by $18.9 million for stock-based compensation expense, $1.0 million in non-cash depreciation expenses, a $3.2 million increase in accounts payable and accrued liabilities primarily due to increases in activities by our company, and a $2.8 million increase in prepaid expenses and other assets due to timing of certain upfront payments associated with our research agreements.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200" w:firstLine="493"/>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$386.3 million for the year ended December 31, 2018, consisted primarily of $426.1 million used for the purchases of short-term investments, $1.2 million used for the purchase of property and equipment, which was partially offset by $41.0 million of proceeds from the maturities of short-term investments</w:t>
      </w:r>
    </w:p>
    <w:p>
      <w:pPr>
        <w:spacing w:after="0" w:line="176" w:lineRule="exact"/>
        <w:rPr>
          <w:sz w:val="20"/>
          <w:szCs w:val="20"/>
          <w:color w:val="auto"/>
        </w:rPr>
      </w:pPr>
    </w:p>
    <w:p>
      <w:pPr>
        <w:ind w:firstLine="493"/>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$58.7 million for the year ended December 31, 2017, consisted primarily of $59.7 million of proceeds from the maturities of short-term investments, offset by $1.0 million used for the purchase of property and equipment.</w:t>
      </w:r>
    </w:p>
    <w:p>
      <w:pPr>
        <w:spacing w:after="0" w:line="162" w:lineRule="exact"/>
        <w:rPr>
          <w:sz w:val="20"/>
          <w:szCs w:val="20"/>
          <w:color w:val="auto"/>
        </w:rPr>
      </w:pPr>
    </w:p>
    <w:p>
      <w:pPr>
        <w:ind w:right="560" w:firstLine="493"/>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$8.9 million for the year ended December 31, 2016, consisted primarily of $1.5 million used for the purchase of property and equipment, and $110.2 million used for purchases of short-term investments, offset by $120.7 million of proceeds from the maturities of short-term investments.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493"/>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$424.3 million for the year ended December 31, 2018, consisted primarily of net proceeds of $162.0 million from the issuance of shares in January 2018 public offering at $11.50 per share after deducting expenses of the offering and $236.7 million from the issuance of shares in October 2018 public offering at $9.97 per share after deducting expenses of the offering, $15.8 million of proceeds from the exercise of warrants, and $10.0 million from the exercise of options.</w:t>
      </w:r>
    </w:p>
    <w:p>
      <w:pPr>
        <w:spacing w:after="0" w:line="180" w:lineRule="exact"/>
        <w:rPr>
          <w:sz w:val="20"/>
          <w:szCs w:val="20"/>
          <w:color w:val="auto"/>
        </w:rPr>
      </w:pPr>
    </w:p>
    <w:p>
      <w:pPr>
        <w:ind w:right="120" w:firstLine="493"/>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$58.7 million for the year ended December 31, 2017, consisted primarily of net proceeds of $53.7 million from the issuance of shares in a private offering at $6.50 per share after deducting expenses of the offering, $5.6 million from the exercise of options, $0.7 million of proceeds exercise of warrants, offset by $1.3 million in connection with tax payments made by our company in connection with vested restricted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765" w:gutter="0" w:footer="0" w:header="0"/>
        </w:sectPr>
      </w:pPr>
    </w:p>
    <w:bookmarkStart w:id="72" w:name="page73"/>
    <w:bookmarkEnd w:id="72"/>
    <w:p>
      <w:pPr>
        <w:ind w:right="120" w:firstLine="493"/>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$96.9 million for the year ended December 31, 2016, consisted primarily of net proceeds of $95.7 million from the issuance of shares in a private offering at $4.75 per share after deducting expenses of the offering, $1.2 million of proceeds from the exercise of warrants, $0.6 million from the exercise of options offset by $0.6 million in connection with tax payments made by our company in connection with vested restricted stock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Recent Accounting Standards</w:t>
      </w:r>
    </w:p>
    <w:p>
      <w:pPr>
        <w:spacing w:after="0" w:line="229" w:lineRule="exact"/>
        <w:rPr>
          <w:sz w:val="20"/>
          <w:szCs w:val="20"/>
          <w:color w:val="auto"/>
        </w:rPr>
      </w:pPr>
    </w:p>
    <w:p>
      <w:pPr>
        <w:ind w:right="220" w:firstLine="493"/>
        <w:spacing w:after="0" w:line="282" w:lineRule="auto"/>
        <w:rPr>
          <w:sz w:val="20"/>
          <w:szCs w:val="20"/>
          <w:color w:val="auto"/>
        </w:rPr>
      </w:pPr>
      <w:r>
        <w:rPr>
          <w:rFonts w:ascii="Times New Roman" w:cs="Times New Roman" w:eastAsia="Times New Roman" w:hAnsi="Times New Roman"/>
          <w:sz w:val="18"/>
          <w:szCs w:val="18"/>
          <w:color w:val="auto"/>
        </w:rPr>
        <w:t>See Note 2 of the financial statements for a discussion of our significant accounting policies, including the discussion of recently issued and adopted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493"/>
        <w:spacing w:after="0" w:line="256" w:lineRule="auto"/>
        <w:rPr>
          <w:sz w:val="20"/>
          <w:szCs w:val="20"/>
          <w:color w:val="auto"/>
        </w:rPr>
      </w:pPr>
      <w:r>
        <w:rPr>
          <w:rFonts w:ascii="Times New Roman" w:cs="Times New Roman" w:eastAsia="Times New Roman" w:hAnsi="Times New Roman"/>
          <w:sz w:val="18"/>
          <w:szCs w:val="18"/>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188" w:lineRule="exact"/>
        <w:rPr>
          <w:sz w:val="20"/>
          <w:szCs w:val="20"/>
          <w:color w:val="auto"/>
        </w:rPr>
      </w:pPr>
    </w:p>
    <w:p>
      <w:pPr>
        <w:ind w:right="40" w:firstLine="493"/>
        <w:spacing w:after="0" w:line="266" w:lineRule="auto"/>
        <w:rPr>
          <w:sz w:val="20"/>
          <w:szCs w:val="20"/>
          <w:color w:val="auto"/>
        </w:rPr>
      </w:pPr>
      <w:r>
        <w:rPr>
          <w:rFonts w:ascii="Times New Roman" w:cs="Times New Roman" w:eastAsia="Times New Roman" w:hAnsi="Times New Roman"/>
          <w:sz w:val="18"/>
          <w:szCs w:val="18"/>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current non-cancelable contractual obligations as of December 31, 2018 that will require future cash payments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8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gridSpan w:val="2"/>
          </w:tcPr>
          <w:p>
            <w:pPr>
              <w:spacing w:after="0"/>
              <w:rPr>
                <w:sz w:val="19"/>
                <w:szCs w:val="19"/>
                <w:color w:val="auto"/>
              </w:rPr>
            </w:pPr>
          </w:p>
        </w:tc>
      </w:tr>
      <w:tr>
        <w:trPr>
          <w:trHeight w:val="210"/>
        </w:trPr>
        <w:tc>
          <w:tcPr>
            <w:tcW w:w="3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CMO contractual obligations</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3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5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31,601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19,365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8,913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Operating lease obligations consist of obligations under non-cancelable operating leases for our facilities in San Carlos, CA, Tampa, FL, and New York, NY.</w:t>
      </w:r>
    </w:p>
    <w:p>
      <w:pPr>
        <w:spacing w:after="0" w:line="162" w:lineRule="exact"/>
        <w:rPr>
          <w:sz w:val="20"/>
          <w:szCs w:val="20"/>
          <w:color w:val="auto"/>
        </w:rPr>
      </w:pPr>
    </w:p>
    <w:p>
      <w:pPr>
        <w:ind w:right="120" w:firstLine="492"/>
        <w:spacing w:after="0" w:line="266" w:lineRule="auto"/>
        <w:rPr>
          <w:sz w:val="20"/>
          <w:szCs w:val="20"/>
          <w:color w:val="auto"/>
        </w:rPr>
      </w:pPr>
      <w:r>
        <w:rPr>
          <w:rFonts w:ascii="Times New Roman" w:cs="Times New Roman" w:eastAsia="Times New Roman" w:hAnsi="Times New Roman"/>
          <w:sz w:val="18"/>
          <w:szCs w:val="18"/>
          <w:color w:val="auto"/>
        </w:rPr>
        <w:t>Contract Manufacturing Organization (CMO) contractual obligations consist of embedded lease obligations for the manufacturing facilities and minimum fixed commitment fees included in our manufacturing contracts, such as personnel, general support fee, and minimum production or material fees. See Note 11 in the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December 31, 2018, we had no obligations that would require disclosure as off-balance sheet arrangements.</w:t>
      </w:r>
    </w:p>
    <w:p>
      <w:pPr>
        <w:spacing w:after="0" w:line="221"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60" w:firstLine="492"/>
        <w:spacing w:after="0" w:line="254"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and a mutual fund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At December 31, 2018, we had $386.4 million invested in short-term marketable securities with a maturity date of less than one year. We adhere to an investment policy that requires us to limit amounts invested in securities based on credit rating, maturity, industry group and investment type and issuer, except for securities issued by the U.S. government. As such we believe that we are not exposed to any material market risk. We do not have any derivative financial instruments or foreign currency instruments. If interest rates had varied by 10% in the year ended December 31, 2018, it would not have had a material effect on our results of operations or cash flows for that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2240" w:firstLine="493"/>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during the years ended December 31, 2018, 2017 or 2016.</w:t>
      </w:r>
    </w:p>
    <w:p>
      <w:pPr>
        <w:spacing w:after="0" w:line="158"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29" w:lineRule="exact"/>
        <w:rPr>
          <w:sz w:val="20"/>
          <w:szCs w:val="20"/>
          <w:color w:val="auto"/>
        </w:rPr>
      </w:pPr>
    </w:p>
    <w:p>
      <w:pPr>
        <w:ind w:right="500" w:firstLine="493"/>
        <w:spacing w:after="0" w:line="282" w:lineRule="auto"/>
        <w:rPr>
          <w:sz w:val="20"/>
          <w:szCs w:val="20"/>
          <w:color w:val="auto"/>
        </w:rPr>
      </w:pPr>
      <w:r>
        <w:rPr>
          <w:rFonts w:ascii="Times New Roman" w:cs="Times New Roman" w:eastAsia="Times New Roman" w:hAnsi="Times New Roman"/>
          <w:sz w:val="18"/>
          <w:szCs w:val="18"/>
          <w:color w:val="auto"/>
        </w:rPr>
        <w:t>Financial Statements are referred to in Item 15, listed in the Index to Financial Statements as a part of this Annual Report on Form 10-K, and are incorporated herein by this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ind w:right="60" w:firstLine="493"/>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89" w:lineRule="exact"/>
        <w:rPr>
          <w:sz w:val="20"/>
          <w:szCs w:val="20"/>
          <w:color w:val="auto"/>
        </w:rPr>
      </w:pPr>
    </w:p>
    <w:p>
      <w:pPr>
        <w:ind w:firstLine="493"/>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ind w:right="20" w:firstLine="493"/>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2018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evaluation, our management concluded that our internal control over financial reporting was effective as of December 31, 2018.</w:t>
      </w:r>
    </w:p>
    <w:p>
      <w:pPr>
        <w:spacing w:after="0" w:line="184" w:lineRule="exact"/>
        <w:rPr>
          <w:sz w:val="20"/>
          <w:szCs w:val="20"/>
          <w:color w:val="auto"/>
        </w:rPr>
      </w:pPr>
    </w:p>
    <w:p>
      <w:pPr>
        <w:ind w:right="120" w:firstLine="493"/>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Marcum LLP, has issued an attestation report on our internal control over financial reporting. The report on the audit of internal control over financial reporting is included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ind w:right="620" w:firstLine="492"/>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58"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80" w:firstLine="493"/>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required by this Item 10 will be presented in the Proxy Statement “Election of Directors,” “Management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16(a) Beneficial Ownership Reporting Compliance” and “Board of Directors and Corporate Governance,” and is incorporated herein by reference.</w:t>
      </w:r>
    </w:p>
    <w:p>
      <w:pPr>
        <w:spacing w:after="0" w:line="203"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1080" w:firstLine="49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“Executive Compensation,” “Executive Compensation—Compensation Discussion and Analysis” and “Directors’ Compensation” in the Proxy Statement.</w:t>
      </w:r>
    </w:p>
    <w:p>
      <w:pPr>
        <w:spacing w:after="0" w:line="158"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260" w:firstLine="49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58" w:lineRule="exact"/>
        <w:rPr>
          <w:sz w:val="20"/>
          <w:szCs w:val="20"/>
          <w:color w:val="auto"/>
        </w:rPr>
      </w:pPr>
    </w:p>
    <w:p>
      <w:pPr>
        <w:ind w:left="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40" w:firstLine="493"/>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“Certain Relationships and Related Transactions” in the Proxy Statement.</w:t>
      </w:r>
    </w:p>
    <w:p>
      <w:pPr>
        <w:spacing w:after="0" w:line="158"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Accountant’s Fees and Services</w:t>
      </w:r>
    </w:p>
    <w:p>
      <w:pPr>
        <w:spacing w:after="0" w:line="229" w:lineRule="exact"/>
        <w:rPr>
          <w:sz w:val="20"/>
          <w:szCs w:val="20"/>
          <w:color w:val="auto"/>
        </w:rPr>
      </w:pPr>
    </w:p>
    <w:p>
      <w:pPr>
        <w:ind w:right="340" w:firstLine="493"/>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is incorporated herein by reference to the section of the Proxy Statement entitled “Principal Accountant Fees and Services.”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Financial Statements Schedules</w:t>
      </w:r>
    </w:p>
    <w:p>
      <w:pPr>
        <w:spacing w:after="0" w:line="229" w:lineRule="exact"/>
        <w:rPr>
          <w:sz w:val="20"/>
          <w:szCs w:val="20"/>
          <w:color w:val="auto"/>
        </w:rPr>
      </w:pPr>
    </w:p>
    <w:p>
      <w:pPr>
        <w:ind w:right="100" w:firstLine="495"/>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and related notes thereto are listed and included in this Annual Report on Form 10-K beginning on page F-1. The following exhibits are filed with, or are incorporated by reference into,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40" w:type="dxa"/>
            <w:vAlign w:val="bottom"/>
            <w:gridSpan w:val="17"/>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60" w:type="dxa"/>
            <w:vAlign w:val="bottom"/>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Times New Roman" w:cs="Times New Roman" w:eastAsia="Times New Roman" w:hAnsi="Times New Roman"/>
                <w:sz w:val="18"/>
                <w:szCs w:val="18"/>
                <w:color w:val="0000EE"/>
                <w:w w:val="88"/>
              </w:rPr>
            </w:pPr>
            <w:hyperlink r:id="rId87">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hyperlink>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340" w:type="dxa"/>
            <w:vAlign w:val="bottom"/>
            <w:tcBorders>
              <w:top w:val="single" w:sz="8" w:color="auto"/>
              <w:bottom w:val="single" w:sz="8" w:color="0000EE"/>
            </w:tcBorders>
            <w:gridSpan w:val="10"/>
          </w:tcPr>
          <w:p>
            <w:pPr>
              <w:spacing w:after="0" w:line="170"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Plan of Conversion (incorporated herein by reference to Exhibit 2.1 to the Registrant’s Current Report on Form 8-K filed with the</w:t>
              </w:r>
            </w:hyperlink>
          </w:p>
        </w:tc>
        <w:tc>
          <w:tcPr>
            <w:tcW w:w="920" w:type="dxa"/>
            <w:vAlign w:val="bottom"/>
            <w:tcBorders>
              <w:top w:val="single" w:sz="8" w:color="auto"/>
            </w:tcBorders>
            <w:gridSpan w:val="13"/>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Commission on June 2, 2017).</w:t>
              </w:r>
            </w:hyperlink>
          </w:p>
        </w:tc>
        <w:tc>
          <w:tcPr>
            <w:tcW w:w="8060" w:type="dxa"/>
            <w:vAlign w:val="bottom"/>
            <w:gridSpan w:val="20"/>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Articles of Conversion (incorporated herein by reference to Exhibit 3.1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Commission on June 2, 2017).</w:t>
              </w:r>
            </w:hyperlink>
          </w:p>
        </w:tc>
        <w:tc>
          <w:tcPr>
            <w:tcW w:w="7380" w:type="dxa"/>
            <w:vAlign w:val="bottom"/>
            <w:tcBorders>
              <w:top w:val="single" w:sz="8" w:color="0000EE"/>
            </w:tcBorders>
            <w:gridSpan w:val="9"/>
          </w:tcPr>
          <w:p>
            <w:pPr>
              <w:spacing w:after="0"/>
              <w:rPr>
                <w:sz w:val="17"/>
                <w:szCs w:val="17"/>
                <w:color w:val="auto"/>
              </w:rPr>
            </w:pPr>
          </w:p>
        </w:tc>
        <w:tc>
          <w:tcPr>
            <w:tcW w:w="680" w:type="dxa"/>
            <w:vAlign w:val="bottom"/>
            <w:gridSpan w:val="11"/>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Conversion (incorporated herein by reference to Exhibit 3.2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Commission on June 2, 2017).</w:t>
              </w:r>
            </w:hyperlink>
          </w:p>
        </w:tc>
        <w:tc>
          <w:tcPr>
            <w:tcW w:w="7580" w:type="dxa"/>
            <w:vAlign w:val="bottom"/>
            <w:tcBorders>
              <w:top w:val="single" w:sz="8" w:color="0000EE"/>
            </w:tcBorders>
            <w:gridSpan w:val="10"/>
          </w:tcPr>
          <w:p>
            <w:pPr>
              <w:spacing w:after="0"/>
              <w:rPr>
                <w:sz w:val="17"/>
                <w:szCs w:val="17"/>
                <w:color w:val="auto"/>
              </w:rPr>
            </w:pPr>
          </w:p>
        </w:tc>
        <w:tc>
          <w:tcPr>
            <w:tcW w:w="480" w:type="dxa"/>
            <w:vAlign w:val="bottom"/>
            <w:gridSpan w:val="10"/>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Incorporation (incorporated herein by reference to Exhibit 3.3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Commission on June 2, 2017).</w:t>
              </w:r>
            </w:hyperlink>
          </w:p>
        </w:tc>
        <w:tc>
          <w:tcPr>
            <w:tcW w:w="7720" w:type="dxa"/>
            <w:vAlign w:val="bottom"/>
            <w:tcBorders>
              <w:top w:val="single" w:sz="8" w:color="0000EE"/>
            </w:tcBorders>
            <w:gridSpan w:val="12"/>
          </w:tcPr>
          <w:p>
            <w:pPr>
              <w:spacing w:after="0"/>
              <w:rPr>
                <w:sz w:val="17"/>
                <w:szCs w:val="17"/>
                <w:color w:val="auto"/>
              </w:rPr>
            </w:pPr>
          </w:p>
        </w:tc>
        <w:tc>
          <w:tcPr>
            <w:tcW w:w="340" w:type="dxa"/>
            <w:vAlign w:val="bottom"/>
            <w:gridSpan w:val="8"/>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Certificate of Designations of Rights, Preferences and Privileges of Series A Convertible Preferred Stock (incorporated herein by reference to</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Exhibit 3.4 to the Registrant’s Post-Effective Amendment No. 1 to the Registration Statement on Form S-3 (file no. 333-214073) filed with</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 Commission on July 31, 2017).</w:t>
              </w:r>
            </w:hyperlink>
          </w:p>
        </w:tc>
        <w:tc>
          <w:tcPr>
            <w:tcW w:w="240" w:type="dxa"/>
            <w:vAlign w:val="bottom"/>
            <w:gridSpan w:val="7"/>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Designations of Rights, Preferences and Privileges of Series B Preferred Stock (incorporated herein by reference to Exhibit 3.5</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to the Registrant’s Post-Effective Amendment No. 1 to the Registration Statement on Form S-3 (file no. 333-214073 incorporated by</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reference into file no. 333-212373) filed with the Commission on July 31, 2017).</w:t>
              </w:r>
            </w:hyperlink>
          </w:p>
        </w:tc>
        <w:tc>
          <w:tcPr>
            <w:tcW w:w="3720" w:type="dxa"/>
            <w:vAlign w:val="bottom"/>
            <w:tcBorders>
              <w:top w:val="single" w:sz="8" w:color="0000EE"/>
            </w:tcBorders>
            <w:gridSpan w:val="2"/>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of Certificate of Incorporation (incorporated herein by reference to Exhibit 3.1 to the Registrant’s Current Report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on Form 8-K filed with the Commission on June 27, 2017).</w:t>
              </w:r>
            </w:hyperlink>
          </w:p>
        </w:tc>
        <w:tc>
          <w:tcPr>
            <w:tcW w:w="5780" w:type="dxa"/>
            <w:vAlign w:val="bottom"/>
            <w:tcBorders>
              <w:top w:val="single" w:sz="8" w:color="0000EE"/>
            </w:tcBorders>
            <w:gridSpan w:val="10"/>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Bylaws (incorporated herein by reference to Exhibit 3.4 to the Registrant’s Current Report on Form 8-K filed with the Commission on June 2,</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94">
              <w:r>
                <w:rPr>
                  <w:rFonts w:ascii="Times New Roman" w:cs="Times New Roman" w:eastAsia="Times New Roman" w:hAnsi="Times New Roman"/>
                  <w:sz w:val="18"/>
                  <w:szCs w:val="18"/>
                  <w:color w:val="0000EE"/>
                  <w:w w:val="94"/>
                </w:rPr>
                <w:t>2017).</w:t>
              </w:r>
            </w:hyperlink>
          </w:p>
        </w:tc>
        <w:tc>
          <w:tcPr>
            <w:tcW w:w="11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Amendment to the Bylaws (incorporated herein by reference to Exhibit 3.2 to the Registrant’s Current Report on Form 8-K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Commission on June 27, 2017).</w:t>
              </w:r>
            </w:hyperlink>
          </w:p>
        </w:tc>
        <w:tc>
          <w:tcPr>
            <w:tcW w:w="380" w:type="dxa"/>
            <w:vAlign w:val="bottom"/>
            <w:gridSpan w:val="9"/>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Warrant (incorporated herein by reference to Exhibit 4.1 to the Registrant’s Current Report on Form 8-K filed with the Commission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on October 31, 2013).</w:t>
              </w:r>
            </w:hyperlink>
          </w:p>
        </w:tc>
        <w:tc>
          <w:tcPr>
            <w:tcW w:w="140" w:type="dxa"/>
            <w:vAlign w:val="bottom"/>
            <w:gridSpan w:val="4"/>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gridSpan w:val="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Specimen of Stock Certificate. (incorporated herein by reference to Exhibit 4.2 to the Registrant’s Annual Report on Form 10-K filed with the</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Commission on March 12, 2018).</w:t>
              </w:r>
            </w:hyperlink>
          </w:p>
        </w:tc>
        <w:tc>
          <w:tcPr>
            <w:tcW w:w="40" w:type="dxa"/>
            <w:vAlign w:val="bottom"/>
          </w:tcPr>
          <w:p>
            <w:pPr>
              <w:spacing w:after="0"/>
              <w:rPr>
                <w:sz w:val="17"/>
                <w:szCs w:val="17"/>
                <w:color w:val="auto"/>
              </w:rPr>
            </w:pPr>
          </w:p>
        </w:tc>
      </w:tr>
      <w:tr>
        <w:trPr>
          <w:trHeight w:val="20"/>
        </w:trPr>
        <w:tc>
          <w:tcPr>
            <w:tcW w:w="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550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40" w:type="dxa"/>
            <w:vAlign w:val="bottom"/>
          </w:tcPr>
          <w:p>
            <w:pPr>
              <w:spacing w:after="0"/>
              <w:rPr>
                <w:sz w:val="17"/>
                <w:szCs w:val="17"/>
                <w:color w:val="auto"/>
              </w:rPr>
            </w:pPr>
          </w:p>
        </w:tc>
        <w:tc>
          <w:tcPr>
            <w:tcW w:w="10260" w:type="dxa"/>
            <w:vAlign w:val="bottom"/>
            <w:gridSpan w:val="2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Genesis Biopharma, Inc. 2010 Equity Compensation Plan (incorporated herein by reference to Exhibit 4.1 to the Registrant’s Annual Report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on Form 10-K filed with the Commission on March 31, 2010).#</w:t>
              </w:r>
            </w:hyperlink>
          </w:p>
        </w:tc>
        <w:tc>
          <w:tcPr>
            <w:tcW w:w="5500" w:type="dxa"/>
            <w:vAlign w:val="bottom"/>
            <w:tcBorders>
              <w:top w:val="single" w:sz="8" w:color="0000EE"/>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69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gridSpan w:val="9"/>
          </w:tcPr>
          <w:p>
            <w:pPr>
              <w:ind w:left="4480"/>
              <w:spacing w:after="0"/>
              <w:rPr>
                <w:sz w:val="20"/>
                <w:szCs w:val="20"/>
                <w:color w:val="auto"/>
              </w:rPr>
            </w:pPr>
            <w:r>
              <w:rPr>
                <w:rFonts w:ascii="Times New Roman" w:cs="Times New Roman" w:eastAsia="Times New Roman" w:hAnsi="Times New Roman"/>
                <w:sz w:val="18"/>
                <w:szCs w:val="18"/>
                <w:color w:val="auto"/>
              </w:rPr>
              <w:t>74</w:t>
            </w:r>
          </w:p>
        </w:tc>
        <w:tc>
          <w:tcPr>
            <w:tcW w:w="3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740" w:type="dxa"/>
            <w:vAlign w:val="bottom"/>
          </w:tcPr>
          <w:p>
            <w:pPr>
              <w:spacing w:after="0"/>
              <w:rPr>
                <w:sz w:val="17"/>
                <w:szCs w:val="17"/>
                <w:color w:val="auto"/>
              </w:rPr>
            </w:pPr>
          </w:p>
        </w:tc>
        <w:tc>
          <w:tcPr>
            <w:tcW w:w="10260" w:type="dxa"/>
            <w:vAlign w:val="bottom"/>
            <w:gridSpan w:val="45"/>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Stock Option Agreement under the Genesis Biopharma Inc. 2010 Equity Compensation Plan (incorporated herein by reference to</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Exhibit 10.5 to the Registrant’s Annual Report on Form 10-K filed with the Commission on March 31, 2010).#</w:t>
              </w:r>
            </w:hyperlink>
          </w:p>
        </w:tc>
        <w:tc>
          <w:tcPr>
            <w:tcW w:w="1960" w:type="dxa"/>
            <w:vAlign w:val="bottom"/>
            <w:tcBorders>
              <w:top w:val="single" w:sz="8" w:color="0000EE"/>
            </w:tcBorders>
            <w:gridSpan w:val="21"/>
          </w:tcPr>
          <w:p>
            <w:pPr>
              <w:spacing w:after="0"/>
              <w:rPr>
                <w:sz w:val="17"/>
                <w:szCs w:val="17"/>
                <w:color w:val="auto"/>
              </w:rPr>
            </w:pPr>
          </w:p>
        </w:tc>
        <w:tc>
          <w:tcPr>
            <w:tcW w:w="300" w:type="dxa"/>
            <w:vAlign w:val="bottom"/>
            <w:gridSpan w:val="10"/>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Genesis Biopharma, Inc. 2011 Equity Incentive Plan (incorporated herein by reference to Exhibit 10.3 to the Registrant’s Current Report on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8-K filed with the Commission on October 20, 2011).#</w:t>
              </w:r>
            </w:hyperlink>
          </w:p>
        </w:tc>
        <w:tc>
          <w:tcPr>
            <w:tcW w:w="200" w:type="dxa"/>
            <w:vAlign w:val="bottom"/>
            <w:gridSpan w:val="8"/>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Incentive Stock Option Agreement under the Genesis Biopharma Inc. 2011 Equity Incentive Plan (incorporated herein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Borders>
              <w:top w:val="single" w:sz="8" w:color="0000EE"/>
            </w:tcBorders>
            <w:gridSpan w:val="39"/>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to Exhibit 10.4 of the Registrant’s Current Report on Form 8-K filed with the Commission on October 20, 2011).#</w:t>
              </w:r>
            </w:hyperlink>
          </w:p>
        </w:tc>
        <w:tc>
          <w:tcPr>
            <w:tcW w:w="160" w:type="dxa"/>
            <w:vAlign w:val="bottom"/>
            <w:gridSpan w:val="6"/>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Non-Qualified Stock Option Agreement under the Genesis Biopharma Inc. 2011 Equity Incentive Plan (incorporated herein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reference to the Registrant’s Current Report on Form 8-K filed with the Commission on October 20, 2011).#</w:t>
              </w:r>
            </w:hyperlink>
          </w:p>
        </w:tc>
        <w:tc>
          <w:tcPr>
            <w:tcW w:w="500" w:type="dxa"/>
            <w:vAlign w:val="bottom"/>
            <w:gridSpan w:val="16"/>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Lion Biotechnologies, Inc. 2014 Equity Incentive Plan, as amended (incorporated herein by reference to Appendix A to the Registrant’s</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Definitive Proxy Statement on Schedule 14A filed with the Commission on July 7, 2016).#</w:t>
              </w:r>
            </w:hyperlink>
          </w:p>
        </w:tc>
        <w:tc>
          <w:tcPr>
            <w:tcW w:w="480" w:type="dxa"/>
            <w:vAlign w:val="bottom"/>
            <w:gridSpan w:val="15"/>
          </w:tcPr>
          <w:p>
            <w:pPr>
              <w:spacing w:after="0"/>
              <w:rPr>
                <w:sz w:val="17"/>
                <w:szCs w:val="17"/>
                <w:color w:val="auto"/>
              </w:rPr>
            </w:pPr>
          </w:p>
        </w:tc>
      </w:tr>
      <w:tr>
        <w:trPr>
          <w:trHeight w:val="20"/>
        </w:trPr>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Incentive Stock Option Agreement under the Lion Biotechnologies, Inc. 2014 Equity Incentive Plan (incorporated herein by reference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2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to Exhibit 4.9 to the Registrant’s Registration Statement on Form S-8 filed with the Commission on June 18, 2015).#</w:t>
              </w:r>
            </w:hyperlink>
          </w:p>
        </w:tc>
        <w:tc>
          <w:tcPr>
            <w:tcW w:w="1680" w:type="dxa"/>
            <w:vAlign w:val="bottom"/>
            <w:tcBorders>
              <w:top w:val="single" w:sz="8" w:color="0000EE"/>
            </w:tcBorders>
            <w:gridSpan w:val="23"/>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Non-Qualified Stock Option Agreement under the Lion Biotechnologies, Inc. 2014 Equity Incentive Plan (incorporated herein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reference to Exhibit 4.10 to the Registrant’s Registration Statement on Form S-8 filed with the Commission on June 18, 2015).#</w:t>
              </w:r>
            </w:hyperlink>
          </w:p>
        </w:tc>
        <w:tc>
          <w:tcPr>
            <w:tcW w:w="540" w:type="dxa"/>
            <w:vAlign w:val="bottom"/>
            <w:tcBorders>
              <w:top w:val="single" w:sz="8" w:color="0000EE"/>
            </w:tcBorders>
            <w:gridSpan w:val="8"/>
          </w:tcPr>
          <w:p>
            <w:pPr>
              <w:spacing w:after="0"/>
              <w:rPr>
                <w:sz w:val="17"/>
                <w:szCs w:val="17"/>
                <w:color w:val="auto"/>
              </w:rPr>
            </w:pPr>
          </w:p>
        </w:tc>
        <w:tc>
          <w:tcPr>
            <w:tcW w:w="500" w:type="dxa"/>
            <w:vAlign w:val="bottom"/>
            <w:gridSpan w:val="16"/>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Iovance Biotherapeutics, Inc. 2018 Equity Incentive Plan (incorporated herein by reference to Appendix A to the Registrant’s Definitive</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Proxy Statement on Schedule 14A filed with the Commission on April 25, 2018).#</w:t>
              </w:r>
            </w:hyperlink>
          </w:p>
        </w:tc>
        <w:tc>
          <w:tcPr>
            <w:tcW w:w="3840" w:type="dxa"/>
            <w:vAlign w:val="bottom"/>
            <w:tcBorders>
              <w:top w:val="single" w:sz="8" w:color="0000EE"/>
            </w:tcBorders>
            <w:gridSpan w:val="21"/>
          </w:tcPr>
          <w:p>
            <w:pPr>
              <w:spacing w:after="0"/>
              <w:rPr>
                <w:sz w:val="17"/>
                <w:szCs w:val="17"/>
                <w:color w:val="auto"/>
              </w:rPr>
            </w:pPr>
          </w:p>
        </w:tc>
        <w:tc>
          <w:tcPr>
            <w:tcW w:w="460" w:type="dxa"/>
            <w:vAlign w:val="bottom"/>
            <w:gridSpan w:val="14"/>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0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10</w:t>
              </w:r>
            </w:hyperlink>
          </w:p>
        </w:tc>
        <w:tc>
          <w:tcPr>
            <w:tcW w:w="740" w:type="dxa"/>
            <w:vAlign w:val="bottom"/>
          </w:tcPr>
          <w:p>
            <w:pPr>
              <w:spacing w:after="0"/>
              <w:rPr>
                <w:sz w:val="17"/>
                <w:szCs w:val="17"/>
                <w:color w:val="auto"/>
              </w:rPr>
            </w:pPr>
          </w:p>
        </w:tc>
        <w:tc>
          <w:tcPr>
            <w:tcW w:w="97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Form of Incentive Stock Option Agreement under the Iovance Biotherapeutics, Inc. 2018 Equity Incentive Plan (incorporated herein by</w:t>
              </w:r>
            </w:hyperlink>
          </w:p>
        </w:tc>
        <w:tc>
          <w:tcPr>
            <w:tcW w:w="500" w:type="dxa"/>
            <w:vAlign w:val="bottom"/>
            <w:gridSpan w:val="1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reference to Exhibit 10.2 to the Registrant’s Quarterly Report on Form 10-Q filed with the Commission on August 7, 2018).#</w:t>
              </w:r>
            </w:hyperlink>
          </w:p>
        </w:tc>
        <w:tc>
          <w:tcPr>
            <w:tcW w:w="1240" w:type="dxa"/>
            <w:vAlign w:val="bottom"/>
            <w:gridSpan w:val="26"/>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0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Non-Qualified Stock Option Agreement under the Iovance Biotherapeutics, Inc. 2018 Equity Incentive Plan (incorporated herein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140" w:type="dxa"/>
            <w:vAlign w:val="bottom"/>
            <w:tcBorders>
              <w:top w:val="single" w:sz="8" w:color="0000EE"/>
            </w:tcBorders>
            <w:gridSpan w:val="41"/>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reference to Exhibit 10.3 the Registrant’s Quarterly Report on Form 10-Q filed with the Commission on August 7, 2018).#</w:t>
              </w:r>
            </w:hyperlink>
          </w:p>
        </w:tc>
        <w:tc>
          <w:tcPr>
            <w:tcW w:w="120" w:type="dxa"/>
            <w:vAlign w:val="bottom"/>
            <w:gridSpan w:val="4"/>
          </w:tcPr>
          <w:p>
            <w:pPr>
              <w:spacing w:after="0"/>
              <w:rPr>
                <w:sz w:val="17"/>
                <w:szCs w:val="17"/>
                <w:color w:val="auto"/>
              </w:rPr>
            </w:pPr>
          </w:p>
        </w:tc>
      </w:tr>
      <w:tr>
        <w:trPr>
          <w:trHeight w:val="20"/>
        </w:trPr>
        <w:tc>
          <w:tcPr>
            <w:tcW w:w="116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0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12</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Patent License Agreement by and between Genesis Biopharma, Inc. and the National Institutes of Health effective October 5, 2011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herein by reference to Exhibit 10.1 to the Registrant’s Current Report on Form 8-K/A filed with the Commission on December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r:id="rId109">
              <w:r>
                <w:rPr>
                  <w:rFonts w:ascii="Times New Roman" w:cs="Times New Roman" w:eastAsia="Times New Roman" w:hAnsi="Times New Roman"/>
                  <w:sz w:val="18"/>
                  <w:szCs w:val="18"/>
                  <w:color w:val="0000EE"/>
                  <w:w w:val="96"/>
                </w:rPr>
                <w:t>13, 2011).*</w:t>
              </w:r>
            </w:hyperlink>
          </w:p>
        </w:tc>
        <w:tc>
          <w:tcPr>
            <w:tcW w:w="1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1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Cooperative Research and Development Agreement for Intramural-PHS Clinical Research, dated August 5, 2011, by and between the U.S.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tcBorders>
              <w:bottom w:val="single" w:sz="8" w:color="0000EE"/>
            </w:tcBorders>
            <w:gridSpan w:val="45"/>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Department of Health and Human Services, as represented by the National Cancer Institute, and Genesis Biopharma, Inc. (incorporated herein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by reference to Exhibit 10.1 to the Registrant’s Current Report on Form 8-K/A (Amendment No. 2) filed with the Commission on November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10">
              <w:r>
                <w:rPr>
                  <w:rFonts w:ascii="Times New Roman" w:cs="Times New Roman" w:eastAsia="Times New Roman" w:hAnsi="Times New Roman"/>
                  <w:sz w:val="18"/>
                  <w:szCs w:val="18"/>
                  <w:color w:val="0000EE"/>
                  <w:w w:val="95"/>
                </w:rPr>
                <w:t>29, 2011).</w:t>
              </w:r>
            </w:hyperlink>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1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14</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Director Stock Award Agreement (incorporated herein by reference to Exhibit 10.2 to the Registrant’s Current Report on Form 8-K</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filed with the Commission on July 25, 2013).#</w:t>
              </w:r>
            </w:hyperlink>
          </w:p>
        </w:tc>
        <w:tc>
          <w:tcPr>
            <w:tcW w:w="6720" w:type="dxa"/>
            <w:vAlign w:val="bottom"/>
            <w:tcBorders>
              <w:top w:val="single" w:sz="8" w:color="0000EE"/>
            </w:tcBorders>
            <w:gridSpan w:val="31"/>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12">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15</w:t>
              </w:r>
            </w:hyperlink>
          </w:p>
        </w:tc>
        <w:tc>
          <w:tcPr>
            <w:tcW w:w="740" w:type="dxa"/>
            <w:vAlign w:val="bottom"/>
          </w:tcPr>
          <w:p>
            <w:pPr>
              <w:spacing w:after="0"/>
              <w:rPr>
                <w:sz w:val="17"/>
                <w:szCs w:val="17"/>
                <w:color w:val="auto"/>
              </w:rPr>
            </w:pPr>
          </w:p>
        </w:tc>
        <w:tc>
          <w:tcPr>
            <w:tcW w:w="9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Registration Rights Agreement by and among Lion Biotechnologies, Inc. and the Investors thereunder (incorporated herein by</w:t>
              </w:r>
            </w:hyperlink>
          </w:p>
        </w:tc>
        <w:tc>
          <w:tcPr>
            <w:tcW w:w="540" w:type="dxa"/>
            <w:vAlign w:val="bottom"/>
            <w:gridSpan w:val="1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reference to Exhibit 10.2 to the Registrant’s Current Report on Form 8-K filed with the Commission on October 31, 2013).</w:t>
              </w:r>
            </w:hyperlink>
          </w:p>
        </w:tc>
      </w:tr>
      <w:tr>
        <w:trPr>
          <w:trHeight w:val="20"/>
        </w:trPr>
        <w:tc>
          <w:tcPr>
            <w:tcW w:w="116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1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16</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Cooperative Research and Development Agreement for the Development and Evaluation of the NCI Proprietary Adoptive Cell Transfer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Immunotherapy Using Tumor Infiltrating Lymphocytes in Patients with Metastatic Melanoma, Bladder, Lung, Triple-negative Breast, and</w:t>
              </w:r>
            </w:hyperlink>
          </w:p>
        </w:tc>
        <w:tc>
          <w:tcPr>
            <w:tcW w:w="320" w:type="dxa"/>
            <w:vAlign w:val="bottom"/>
            <w:gridSpan w:val="11"/>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HPV-associated Cancers, Utilizing Lion Biotechnologies, Inc.’s Business Development Expertise in Adoptive Cell Transfer Immunotherapy,</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20" w:type="dxa"/>
            <w:vAlign w:val="bottom"/>
            <w:tcBorders>
              <w:top w:val="single" w:sz="8" w:color="0000EE"/>
            </w:tcBorders>
            <w:gridSpan w:val="40"/>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executed by Lion Biotechnologies, Inc. on January 22, 2015 (incorporated herein by reference to Exhibit 10.1 to the Registrant’s Current</w:t>
              </w:r>
            </w:hyperlink>
          </w:p>
        </w:tc>
        <w:tc>
          <w:tcPr>
            <w:tcW w:w="14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Report on Form 8-K filed with the Commission on January 27, 2015).*</w:t>
              </w:r>
            </w:hyperlink>
          </w:p>
        </w:tc>
        <w:tc>
          <w:tcPr>
            <w:tcW w:w="4700" w:type="dxa"/>
            <w:vAlign w:val="bottom"/>
            <w:tcBorders>
              <w:top w:val="single" w:sz="8" w:color="0000EE"/>
            </w:tcBorders>
            <w:gridSpan w:val="23"/>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14">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17</w:t>
              </w:r>
            </w:hyperlink>
          </w:p>
        </w:tc>
        <w:tc>
          <w:tcPr>
            <w:tcW w:w="740" w:type="dxa"/>
            <w:vAlign w:val="bottom"/>
          </w:tcPr>
          <w:p>
            <w:pPr>
              <w:spacing w:after="0"/>
              <w:rPr>
                <w:sz w:val="17"/>
                <w:szCs w:val="17"/>
                <w:color w:val="auto"/>
              </w:rPr>
            </w:pPr>
          </w:p>
        </w:tc>
        <w:tc>
          <w:tcPr>
            <w:tcW w:w="1010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Patent License Agreement, dated February 9, 2015, by and between the Company and the National Institutes of Health. (incorporated herein</w:t>
              </w:r>
            </w:hyperlink>
          </w:p>
        </w:tc>
        <w:tc>
          <w:tcPr>
            <w:tcW w:w="16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by reference to Exhibit 10.47 to the Registrant’s Annual Report on Form 10-K filed with the Commission on March 16, 2015).*</w:t>
              </w:r>
            </w:hyperlink>
          </w:p>
        </w:tc>
      </w:tr>
      <w:tr>
        <w:trPr>
          <w:trHeight w:val="20"/>
        </w:trPr>
        <w:tc>
          <w:tcPr>
            <w:tcW w:w="1160" w:type="dxa"/>
            <w:vAlign w:val="bottom"/>
            <w:gridSpan w:val="3"/>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1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18</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Patent License Agreement, dated February 10, 2015, by and between Lion Biotechnologies, Inc. and the National Institutes of Health</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herein by reference to Exhibit 10.46 to the Registrant’s Annual Report on Form 10-K filed with the Commission on March 16,</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15">
              <w:r>
                <w:rPr>
                  <w:rFonts w:ascii="Times New Roman" w:cs="Times New Roman" w:eastAsia="Times New Roman" w:hAnsi="Times New Roman"/>
                  <w:sz w:val="18"/>
                  <w:szCs w:val="18"/>
                  <w:color w:val="0000EE"/>
                  <w:w w:val="97"/>
                </w:rPr>
                <w:t>2015).*</w:t>
              </w:r>
            </w:hyperlink>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1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19</w:t>
              </w:r>
            </w:hyperlink>
          </w:p>
        </w:tc>
        <w:tc>
          <w:tcPr>
            <w:tcW w:w="740" w:type="dxa"/>
            <w:vAlign w:val="bottom"/>
          </w:tcPr>
          <w:p>
            <w:pPr>
              <w:spacing w:after="0"/>
              <w:rPr>
                <w:sz w:val="17"/>
                <w:szCs w:val="17"/>
                <w:color w:val="auto"/>
              </w:rPr>
            </w:pPr>
          </w:p>
        </w:tc>
        <w:tc>
          <w:tcPr>
            <w:tcW w:w="9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First Amendment to Patent License Agreement, effective October 2, 2015, by and between Lion Biotechnologies, Inc. and the National</w:t>
              </w:r>
            </w:hyperlink>
          </w:p>
        </w:tc>
        <w:tc>
          <w:tcPr>
            <w:tcW w:w="520" w:type="dxa"/>
            <w:vAlign w:val="bottom"/>
            <w:gridSpan w:val="1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7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Institutes of Health (incorporated herein by reference to Exhibit 10.47 to the Registrant’s Quarterly Report on Form 10-Q filed with the</w:t>
              </w:r>
            </w:hyperlink>
          </w:p>
        </w:tc>
        <w:tc>
          <w:tcPr>
            <w:tcW w:w="520" w:type="dxa"/>
            <w:vAlign w:val="bottom"/>
            <w:gridSpan w:val="17"/>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Commission on November 6, 2015).*</w:t>
              </w:r>
            </w:hyperlink>
          </w:p>
        </w:tc>
        <w:tc>
          <w:tcPr>
            <w:tcW w:w="7540" w:type="dxa"/>
            <w:vAlign w:val="bottom"/>
            <w:gridSpan w:val="40"/>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1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20</w:t>
              </w:r>
            </w:hyperlink>
          </w:p>
        </w:tc>
        <w:tc>
          <w:tcPr>
            <w:tcW w:w="740" w:type="dxa"/>
            <w:vAlign w:val="bottom"/>
          </w:tcPr>
          <w:p>
            <w:pPr>
              <w:spacing w:after="0"/>
              <w:rPr>
                <w:sz w:val="17"/>
                <w:szCs w:val="17"/>
                <w:color w:val="auto"/>
              </w:rPr>
            </w:pPr>
          </w:p>
        </w:tc>
        <w:tc>
          <w:tcPr>
            <w:tcW w:w="9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Securities Purchase Agreement, dated June 2, 2016, by and among Lion Biotechnologies, Inc. and the Investors thereunder</w:t>
              </w:r>
            </w:hyperlink>
          </w:p>
        </w:tc>
        <w:tc>
          <w:tcPr>
            <w:tcW w:w="780" w:type="dxa"/>
            <w:vAlign w:val="bottom"/>
            <w:gridSpan w:val="21"/>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4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(incorporated herein by reference to Exhibit 10.1 to the Registrant’s Current Report on Form 8-K filed with the Commission on June 3, 2016).</w:t>
              </w:r>
            </w:hyperlink>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3"/>
              </w:rPr>
            </w:pPr>
            <w:hyperlink r:id="rId11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21</w:t>
              </w:r>
            </w:hyperlink>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Registration Rights Agreement, dated June 2, 2016, by and among Lion Biotechnologies, Inc. and the Investors thereunder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40" w:type="dxa"/>
            <w:vAlign w:val="bottom"/>
            <w:tcBorders>
              <w:bottom w:val="single" w:sz="8" w:color="0000EE"/>
            </w:tcBorders>
            <w:gridSpan w:val="4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(incorporated herein by reference to Exhibit 10.2 to the Registrant’s Current Report on Form 8-K filed with the Commission on June 3, 2016).</w:t>
              </w:r>
            </w:hyperlink>
          </w:p>
        </w:tc>
        <w:tc>
          <w:tcPr>
            <w:tcW w:w="20" w:type="dxa"/>
            <w:vAlign w:val="bottom"/>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1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22</w:t>
              </w:r>
            </w:hyperlink>
          </w:p>
        </w:tc>
        <w:tc>
          <w:tcPr>
            <w:tcW w:w="740" w:type="dxa"/>
            <w:vAlign w:val="bottom"/>
          </w:tcPr>
          <w:p>
            <w:pPr>
              <w:spacing w:after="0"/>
              <w:rPr>
                <w:sz w:val="17"/>
                <w:szCs w:val="17"/>
                <w:color w:val="auto"/>
              </w:rPr>
            </w:pPr>
          </w:p>
        </w:tc>
        <w:tc>
          <w:tcPr>
            <w:tcW w:w="10100" w:type="dxa"/>
            <w:vAlign w:val="bottom"/>
            <w:tcBorders>
              <w:bottom w:val="single" w:sz="8" w:color="0000EE"/>
            </w:tcBorders>
            <w:gridSpan w:val="39"/>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Retention Bonus Agreement (incorporated herein by reference to Exhibit 10.5 of the Registrant’s Current Report on Form 8-K filed</w:t>
              </w:r>
            </w:hyperlink>
          </w:p>
        </w:tc>
        <w:tc>
          <w:tcPr>
            <w:tcW w:w="16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with the Commission on June 3, 2016).#</w:t>
              </w:r>
            </w:hyperlink>
          </w:p>
        </w:tc>
        <w:tc>
          <w:tcPr>
            <w:tcW w:w="7340" w:type="dxa"/>
            <w:vAlign w:val="bottom"/>
            <w:gridSpan w:val="39"/>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2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23</w:t>
              </w:r>
            </w:hyperlink>
          </w:p>
        </w:tc>
        <w:tc>
          <w:tcPr>
            <w:tcW w:w="740" w:type="dxa"/>
            <w:vAlign w:val="bottom"/>
          </w:tcPr>
          <w:p>
            <w:pPr>
              <w:spacing w:after="0"/>
              <w:rPr>
                <w:sz w:val="17"/>
                <w:szCs w:val="17"/>
                <w:color w:val="auto"/>
              </w:rPr>
            </w:pPr>
          </w:p>
        </w:tc>
        <w:tc>
          <w:tcPr>
            <w:tcW w:w="986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#2 to the Cooperative Research and Development Agreement # 02734, dated August 18, 2016, by and between the National</w:t>
              </w:r>
            </w:hyperlink>
          </w:p>
        </w:tc>
        <w:tc>
          <w:tcPr>
            <w:tcW w:w="400" w:type="dxa"/>
            <w:vAlign w:val="bottom"/>
            <w:gridSpan w:val="1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Cancer Institute and Lion Biotechnologies, Inc. (incorporated herein by reference to Exhibit 10.3 to Amendment No. 2 to Registrant’s</w:t>
              </w:r>
            </w:hyperlink>
          </w:p>
        </w:tc>
        <w:tc>
          <w:tcPr>
            <w:tcW w:w="620" w:type="dxa"/>
            <w:vAlign w:val="bottom"/>
            <w:gridSpan w:val="19"/>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No. 2 to Registration Statement on Form S-1 filed with the Commission on August 31, 2016).</w:t>
              </w:r>
            </w:hyperlink>
          </w:p>
        </w:tc>
        <w:tc>
          <w:tcPr>
            <w:tcW w:w="2560" w:type="dxa"/>
            <w:vAlign w:val="bottom"/>
            <w:gridSpan w:val="33"/>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3"/>
              </w:rPr>
            </w:pPr>
            <w:hyperlink r:id="rId12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24</w:t>
              </w:r>
            </w:hyperlink>
          </w:p>
        </w:tc>
        <w:tc>
          <w:tcPr>
            <w:tcW w:w="740" w:type="dxa"/>
            <w:vAlign w:val="bottom"/>
          </w:tcPr>
          <w:p>
            <w:pPr>
              <w:spacing w:after="0"/>
              <w:rPr>
                <w:sz w:val="17"/>
                <w:szCs w:val="17"/>
                <w:color w:val="auto"/>
              </w:rPr>
            </w:pPr>
          </w:p>
        </w:tc>
        <w:tc>
          <w:tcPr>
            <w:tcW w:w="1022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Exclusive and Co-Exclusive License Agreement, dated September 14, 2016, by and between Lion Biotechnologies, Inc. and PolyBioCept AB</w:t>
              </w:r>
            </w:hyperlink>
          </w:p>
        </w:tc>
        <w:tc>
          <w:tcPr>
            <w:tcW w:w="4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gridSpan w:val="4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(incorporated herein by reference to Exhibit 10.3 to the Registrant’s Quarterly Report on Form 10-Q filed with the Commission on November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4, 2016).*</w:t>
              </w:r>
            </w:hyperlink>
          </w:p>
        </w:tc>
        <w:tc>
          <w:tcPr>
            <w:tcW w:w="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9"/>
          </w:tcPr>
          <w:p>
            <w:pPr>
              <w:ind w:left="448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25</w:t>
              </w:r>
            </w:hyperlink>
          </w:p>
        </w:tc>
        <w:tc>
          <w:tcPr>
            <w:tcW w:w="740" w:type="dxa"/>
            <w:vAlign w:val="bottom"/>
          </w:tcPr>
          <w:p>
            <w:pPr>
              <w:spacing w:after="0"/>
              <w:rPr>
                <w:sz w:val="17"/>
                <w:szCs w:val="17"/>
                <w:color w:val="auto"/>
              </w:rPr>
            </w:pPr>
          </w:p>
        </w:tc>
        <w:tc>
          <w:tcPr>
            <w:tcW w:w="10200" w:type="dxa"/>
            <w:vAlign w:val="bottom"/>
            <w:gridSpan w:val="31"/>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Manufacturing Services Agreement, dated November 23, 2015, by and between WuXi AppTec, Inc. and Lion Biotechnologies, Inc.</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herein by reference to Exhibit 10.36 to the Registrant’s Annual Report on Form 10-K filed with the Commission on March 9,</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2017).*</w:t>
              </w:r>
            </w:hyperlink>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26</w:t>
              </w:r>
            </w:hyperlink>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Description of 2018 Corporate Goals and Cash Bonus Plan (incorporated herein by reference to the Registrant’s Current Report on Form 8-K</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16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filed with the Commission on February 12, 2018).#</w:t>
              </w:r>
            </w:hyperlink>
          </w:p>
        </w:tc>
        <w:tc>
          <w:tcPr>
            <w:tcW w:w="4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27</w:t>
              </w:r>
            </w:hyperlink>
          </w:p>
        </w:tc>
        <w:tc>
          <w:tcPr>
            <w:tcW w:w="740" w:type="dxa"/>
            <w:vAlign w:val="bottom"/>
          </w:tcPr>
          <w:p>
            <w:pPr>
              <w:spacing w:after="0"/>
              <w:rPr>
                <w:sz w:val="17"/>
                <w:szCs w:val="17"/>
                <w:color w:val="auto"/>
              </w:rPr>
            </w:pPr>
          </w:p>
        </w:tc>
        <w:tc>
          <w:tcPr>
            <w:tcW w:w="9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Strategic Alliance Agreement, effective as of April 17, 2017, between Lion Biotechnologies, Inc. and The University of Texas M.D.</w:t>
              </w:r>
            </w:hyperlink>
          </w:p>
        </w:tc>
        <w:tc>
          <w:tcPr>
            <w:tcW w:w="680" w:type="dxa"/>
            <w:vAlign w:val="bottom"/>
            <w:gridSpan w:val="1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Anderson Cancer Center, (incorporated herein by reference to Exhibit 10.1 to the Registrant’s Quarterly Report on Form 10-Q filed with the</w:t>
              </w:r>
            </w:hyperlink>
          </w:p>
        </w:tc>
        <w:tc>
          <w:tcPr>
            <w:tcW w:w="100" w:type="dxa"/>
            <w:vAlign w:val="bottom"/>
            <w:gridSpan w:val="5"/>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Commission on August 3, 2017).*</w:t>
              </w:r>
            </w:hyperlink>
          </w:p>
        </w:tc>
        <w:tc>
          <w:tcPr>
            <w:tcW w:w="7720" w:type="dxa"/>
            <w:vAlign w:val="bottom"/>
            <w:gridSpan w:val="27"/>
          </w:tcPr>
          <w:p>
            <w:pPr>
              <w:spacing w:after="0"/>
              <w:rPr>
                <w:sz w:val="17"/>
                <w:szCs w:val="17"/>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28</w:t>
              </w:r>
            </w:hyperlink>
          </w:p>
        </w:tc>
        <w:tc>
          <w:tcPr>
            <w:tcW w:w="740" w:type="dxa"/>
            <w:vAlign w:val="bottom"/>
          </w:tcPr>
          <w:p>
            <w:pPr>
              <w:spacing w:after="0"/>
              <w:rPr>
                <w:sz w:val="17"/>
                <w:szCs w:val="17"/>
                <w:color w:val="auto"/>
              </w:rPr>
            </w:pPr>
          </w:p>
        </w:tc>
        <w:tc>
          <w:tcPr>
            <w:tcW w:w="101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Executive Employment Agreement, effective June 1, 2016, by and between Maria Fardis and Lion Biotechnologies, Inc. (incorporated herein</w:t>
              </w:r>
            </w:hyperlink>
          </w:p>
        </w:tc>
        <w:tc>
          <w:tcPr>
            <w:tcW w:w="2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by reference to Exhibit 10.3 of the Registrant’s Quarterly Report on Form 10-Q filed with the Commission on August 9, 2016).*,#</w:t>
              </w:r>
            </w:hyperlink>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29</w:t>
              </w:r>
            </w:hyperlink>
          </w:p>
        </w:tc>
        <w:tc>
          <w:tcPr>
            <w:tcW w:w="74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Executive Employment Agreement, effective as of August 14, 2017, by and between Timothy E. Morris and Iovance Biotherapeutics, Inc.</w:t>
              </w:r>
            </w:hyperlink>
          </w:p>
        </w:tc>
        <w:tc>
          <w:tcPr>
            <w:tcW w:w="240" w:type="dxa"/>
            <w:vAlign w:val="bottom"/>
            <w:gridSpan w:val="8"/>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(incorporated herein by reference to Exhibit 10.1 to the Registrant’s Quarterly Report on Form 10-Q filed with the Commission on November</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26">
              <w:r>
                <w:rPr>
                  <w:rFonts w:ascii="Times New Roman" w:cs="Times New Roman" w:eastAsia="Times New Roman" w:hAnsi="Times New Roman"/>
                  <w:sz w:val="18"/>
                  <w:szCs w:val="18"/>
                  <w:color w:val="0000EE"/>
                  <w:w w:val="97"/>
                </w:rPr>
                <w:t>2, 2017).#</w:t>
              </w:r>
            </w:hyperlink>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30</w:t>
              </w:r>
            </w:hyperlink>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Consulting Agreement, dated as of September 8, 2017, by and between Iovance Biotherapeutics, Inc. and Iain Dukes (incorporated herein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 to Exhibit 10.1 to the Registrant's Current Report on Form 8-K filed with the Commission on September 15, 2017).#</w:t>
              </w:r>
            </w:hyperlink>
          </w:p>
        </w:tc>
        <w:tc>
          <w:tcPr>
            <w:tcW w:w="6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740" w:type="dxa"/>
            <w:vAlign w:val="bottom"/>
          </w:tcPr>
          <w:p>
            <w:pPr>
              <w:spacing w:after="0"/>
              <w:rPr>
                <w:sz w:val="17"/>
                <w:szCs w:val="17"/>
                <w:color w:val="auto"/>
              </w:rPr>
            </w:pPr>
          </w:p>
        </w:tc>
        <w:tc>
          <w:tcPr>
            <w:tcW w:w="95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Executive Employment Agreement, effective September 30, 2016, by and between Frederick G. Vogt and Lion Biotechnologies, Inc.</w:t>
              </w:r>
            </w:hyperlink>
          </w:p>
        </w:tc>
        <w:tc>
          <w:tcPr>
            <w:tcW w:w="620" w:type="dxa"/>
            <w:vAlign w:val="bottom"/>
            <w:gridSpan w:val="11"/>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(incorporated herein by reference to Exhibit 10.32 to the Registrant’s Annual Report on Form 10-K filed with the Commission on March 12,</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28">
              <w:r>
                <w:rPr>
                  <w:rFonts w:ascii="Times New Roman" w:cs="Times New Roman" w:eastAsia="Times New Roman" w:hAnsi="Times New Roman"/>
                  <w:sz w:val="18"/>
                  <w:szCs w:val="18"/>
                  <w:color w:val="0000EE"/>
                  <w:w w:val="97"/>
                </w:rPr>
                <w:t>2018).#</w:t>
              </w:r>
            </w:hyperlink>
          </w:p>
        </w:tc>
        <w:tc>
          <w:tcPr>
            <w:tcW w:w="18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5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First Amendment to the Strategic Alliance Agreement by and between Iovance Biotherapeutics, Inc. and The University of Texas M.D.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Anderson Cancer Center, effective as of August 2, 2017 (incorporated herein by reference to Exhibit 10.34 to the Registrant’s Annual Report</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on Form 10-K filed with the Commission on March 12, 2018).</w:t>
              </w:r>
            </w:hyperlink>
          </w:p>
        </w:tc>
        <w:tc>
          <w:tcPr>
            <w:tcW w:w="6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42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Second Amendment to the Strategic Alliance Agreement by and between Iovance Biotherapeutics, Inc. and The University of Texas M.D.</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Anderson Cancer Center, effective February 16, 2018 (incorporated herein by reference to Exhibit 10.35 to the Registrant’s Annual Report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10-K filed with the Commission on March 12, 2018).</w:t>
              </w:r>
            </w:hyperlink>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34</w:t>
              </w:r>
            </w:hyperlink>
          </w:p>
        </w:tc>
        <w:tc>
          <w:tcPr>
            <w:tcW w:w="10200" w:type="dxa"/>
            <w:vAlign w:val="bottom"/>
            <w:gridSpan w:val="31"/>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Office Lease dated as of August 4, 2016, by and between Lion Biotechnologies, Inc. and Hudson Skyway Landing, LLC (incorporated herein</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by reference to Exhibit 10.1 of the Registrant’s Current Report on Form 8-K filed with the Commission on August 8, 2016).</w:t>
              </w:r>
            </w:hyperlink>
          </w:p>
        </w:tc>
      </w:tr>
      <w:tr>
        <w:trPr>
          <w:trHeight w:val="20"/>
        </w:trPr>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96"/>
        </w:trPr>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740" w:type="dxa"/>
            <w:vAlign w:val="bottom"/>
          </w:tcPr>
          <w:p>
            <w:pPr>
              <w:spacing w:after="0"/>
              <w:rPr>
                <w:sz w:val="17"/>
                <w:szCs w:val="17"/>
                <w:color w:val="auto"/>
              </w:rPr>
            </w:pPr>
          </w:p>
        </w:tc>
        <w:tc>
          <w:tcPr>
            <w:tcW w:w="100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Office Lease dated as of October 19, 2018, by and between Iovance Biotechnologies, Inc. and Hudson Skyway Landing, LLC (incorporated</w:t>
              </w:r>
            </w:hyperlink>
          </w:p>
        </w:tc>
        <w:tc>
          <w:tcPr>
            <w:tcW w:w="120" w:type="dxa"/>
            <w:vAlign w:val="bottom"/>
            <w:gridSpan w:val="6"/>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herein by reference to Exhibit 10.1 to the Registrant’s Current Report on Form 8-K filed with the Commission on October 25, 2018).</w:t>
              </w:r>
            </w:hyperlink>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33">
              <w:r>
                <w:rPr>
                  <w:rFonts w:ascii="Times New Roman" w:cs="Times New Roman" w:eastAsia="Times New Roman" w:hAnsi="Times New Roman"/>
                  <w:sz w:val="18"/>
                  <w:szCs w:val="18"/>
                  <w:color w:val="0000EE"/>
                  <w:w w:val="95"/>
                </w:rPr>
                <w:t>21.</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Subsidiaries of the Company (incorporated herein by reference to Exhibit 21.1 of the Registrant’s Annual Report on Form 10-K filed with the</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Commission on March 9, 2017).</w:t>
              </w:r>
            </w:hyperlink>
          </w:p>
        </w:tc>
        <w:tc>
          <w:tcPr>
            <w:tcW w:w="7860" w:type="dxa"/>
            <w:vAlign w:val="bottom"/>
            <w:gridSpan w:val="28"/>
          </w:tcPr>
          <w:p>
            <w:pPr>
              <w:spacing w:after="0"/>
              <w:rPr>
                <w:sz w:val="17"/>
                <w:szCs w:val="17"/>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w:anchor="page108">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Consent of Independent Registered Public Accounting Firm.</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18"/>
          </w:tcPr>
          <w:p>
            <w:pPr>
              <w:spacing w:after="0" w:line="20" w:lineRule="exact"/>
              <w:rPr>
                <w:sz w:val="1"/>
                <w:szCs w:val="1"/>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78">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Power of Attorney (included on the signature page of this Annual Report).</w:t>
              </w:r>
            </w:hyperlink>
          </w:p>
        </w:tc>
        <w:tc>
          <w:tcPr>
            <w:tcW w:w="4840" w:type="dxa"/>
            <w:vAlign w:val="bottom"/>
            <w:gridSpan w:val="20"/>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109">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Rule 13a-14(a)/15d-14(a) Certification of Chief Executive Officer.</w:t>
              </w:r>
            </w:hyperlink>
          </w:p>
        </w:tc>
        <w:tc>
          <w:tcPr>
            <w:tcW w:w="5400" w:type="dxa"/>
            <w:vAlign w:val="bottom"/>
            <w:gridSpan w:val="21"/>
          </w:tcPr>
          <w:p>
            <w:pPr>
              <w:spacing w:after="0"/>
              <w:rPr>
                <w:sz w:val="17"/>
                <w:szCs w:val="17"/>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w:anchor="page110">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Rule 13a-14(a)/15d-14(a) Certification of Chief Financial Officer.</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740" w:type="dxa"/>
            <w:vAlign w:val="bottom"/>
            <w:gridSpan w:val="9"/>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gridSpan w:val="18"/>
          </w:tcPr>
          <w:p>
            <w:pPr>
              <w:spacing w:after="0" w:line="20" w:lineRule="exact"/>
              <w:rPr>
                <w:sz w:val="1"/>
                <w:szCs w:val="1"/>
                <w:color w:val="auto"/>
              </w:rPr>
            </w:pPr>
          </w:p>
        </w:tc>
      </w:tr>
      <w:tr>
        <w:trPr>
          <w:trHeight w:val="196"/>
        </w:trPr>
        <w:tc>
          <w:tcPr>
            <w:tcW w:w="320" w:type="dxa"/>
            <w:vAlign w:val="bottom"/>
          </w:tcPr>
          <w:p>
            <w:pPr>
              <w:spacing w:after="0" w:line="196" w:lineRule="exact"/>
              <w:rPr>
                <w:rFonts w:ascii="Times New Roman" w:cs="Times New Roman" w:eastAsia="Times New Roman" w:hAnsi="Times New Roman"/>
                <w:sz w:val="18"/>
                <w:szCs w:val="18"/>
                <w:color w:val="0000EE"/>
                <w:w w:val="95"/>
              </w:rPr>
            </w:pPr>
            <w:hyperlink w:anchor="page111">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0" w:type="dxa"/>
            <w:vAlign w:val="bottom"/>
            <w:gridSpan w:val="31"/>
          </w:tcPr>
          <w:p>
            <w:pPr>
              <w:spacing w:after="0" w:line="196" w:lineRule="exact"/>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Section 1350 Certification of Chief Executive Officer (furnished herewith).</w:t>
              </w:r>
            </w:hyperlink>
          </w:p>
        </w:tc>
      </w:tr>
      <w:tr>
        <w:trPr>
          <w:trHeight w:val="196"/>
        </w:trPr>
        <w:tc>
          <w:tcPr>
            <w:tcW w:w="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w:anchor="page112">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Section 1350 Certification of Chief Financial Officer (furnished herewith).</w:t>
              </w:r>
            </w:hyperlink>
          </w:p>
        </w:tc>
        <w:tc>
          <w:tcPr>
            <w:tcW w:w="40" w:type="dxa"/>
            <w:vAlign w:val="bottom"/>
            <w:tcBorders>
              <w:top w:val="single" w:sz="8" w:color="0000EE"/>
            </w:tcBorders>
          </w:tcPr>
          <w:p>
            <w:pPr>
              <w:spacing w:after="0"/>
              <w:rPr>
                <w:sz w:val="17"/>
                <w:szCs w:val="17"/>
                <w:color w:val="auto"/>
              </w:rPr>
            </w:pPr>
          </w:p>
        </w:tc>
        <w:tc>
          <w:tcPr>
            <w:tcW w:w="4780" w:type="dxa"/>
            <w:vAlign w:val="bottom"/>
            <w:gridSpan w:val="18"/>
          </w:tcPr>
          <w:p>
            <w:pPr>
              <w:spacing w:after="0"/>
              <w:rPr>
                <w:sz w:val="17"/>
                <w:szCs w:val="17"/>
                <w:color w:val="auto"/>
              </w:rPr>
            </w:pPr>
          </w:p>
        </w:tc>
      </w:tr>
    </w:tbl>
    <w:p>
      <w:pPr>
        <w:spacing w:after="0" w:line="9" w:lineRule="exact"/>
        <w:rPr>
          <w:sz w:val="20"/>
          <w:szCs w:val="20"/>
          <w:color w:val="auto"/>
        </w:rPr>
      </w:pPr>
    </w:p>
    <w:p>
      <w:pPr>
        <w:jc w:val="both"/>
        <w:ind w:left="1160" w:right="20" w:hanging="1152"/>
        <w:spacing w:after="0" w:line="281" w:lineRule="auto"/>
        <w:tabs>
          <w:tab w:leader="none" w:pos="11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the Annual Report on Form 10-K of Iovance Biotherapeutics, Inc. for the year ended December 31, 2018, formatted in XBRL (eXtensible Business Reporting Language): (1) Balance Sheets as of December 31, 2018 and 2017; (2) Statements of Income for the years ended December 31, 2018 and 2017; (3) Statements of Shareholders’ Equity for the years ended December 31, 2018 and 2017; (4) Statements of Cash Flows for the years ended December 31, 2018 and 2017; and (5)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097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8" w:lineRule="exact"/>
        <w:rPr>
          <w:sz w:val="20"/>
          <w:szCs w:val="20"/>
          <w:color w:val="auto"/>
        </w:rPr>
      </w:pPr>
    </w:p>
    <w:p>
      <w:pPr>
        <w:ind w:right="40" w:firstLine="8"/>
        <w:spacing w:after="0" w:line="261"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right="460" w:firstLine="495"/>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18" w:right="2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818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2019</w:t>
            </w:r>
          </w:p>
        </w:tc>
        <w:tc>
          <w:tcPr>
            <w:tcW w:w="818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Maria Fardis</w:t>
            </w:r>
          </w:p>
        </w:tc>
      </w:tr>
      <w:tr>
        <w:trPr>
          <w:trHeight w:val="191"/>
        </w:trPr>
        <w:tc>
          <w:tcPr>
            <w:tcW w:w="32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Maria Fardis</w:t>
            </w:r>
          </w:p>
        </w:tc>
      </w:tr>
      <w:tr>
        <w:trPr>
          <w:trHeight w:val="234"/>
        </w:trPr>
        <w:tc>
          <w:tcPr>
            <w:tcW w:w="32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2"/>
        </w:trPr>
        <w:tc>
          <w:tcPr>
            <w:tcW w:w="3240" w:type="dxa"/>
            <w:vAlign w:val="bottom"/>
          </w:tcPr>
          <w:p>
            <w:pPr>
              <w:spacing w:after="0"/>
              <w:rPr>
                <w:sz w:val="24"/>
                <w:szCs w:val="24"/>
                <w:color w:val="auto"/>
              </w:rPr>
            </w:pPr>
          </w:p>
        </w:tc>
        <w:tc>
          <w:tcPr>
            <w:tcW w:w="81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ind w:right="40" w:firstLine="495"/>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Maria Fardis and Timothy E. Morris,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spacing w:after="0" w:line="189" w:lineRule="exact"/>
        <w:rPr>
          <w:sz w:val="20"/>
          <w:szCs w:val="20"/>
          <w:color w:val="auto"/>
        </w:rPr>
      </w:pPr>
    </w:p>
    <w:p>
      <w:pPr>
        <w:ind w:right="480"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Fardis</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Maria Fardis</w:t>
            </w: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E. Morris</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Timothy E. Morris</w:t>
            </w:r>
          </w:p>
        </w:tc>
        <w:tc>
          <w:tcPr>
            <w:tcW w:w="24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Merrill A. McPeak</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Merrill A. McPeak</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Weiser</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Michael Weiser</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D. Maynard</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Ryan D. Maynard</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Iain Dukes</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Iain Dukes</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Wayne Rothbaum</w:t>
            </w:r>
          </w:p>
        </w:tc>
        <w:tc>
          <w:tcPr>
            <w:tcW w:w="24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2019</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Wayne Rothbaum</w:t>
            </w:r>
          </w:p>
        </w:tc>
        <w:tc>
          <w:tcPr>
            <w:tcW w:w="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630"/>
        </w:trPr>
        <w:tc>
          <w:tcPr>
            <w:tcW w:w="36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255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Report of Independent Registered Public Accounting Firm</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F-1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8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Consolidated Balance Sheets</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F-3</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Operations</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F-4</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Comprehensive Loss</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F-5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Consolidated Statements of Stockholders’ Equity</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Consolidated Statements of Cash Flows</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F-7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Notes to Consolidated Financial Statements</w:t>
              </w:r>
            </w:hyperlink>
          </w:p>
        </w:tc>
        <w:tc>
          <w:tcPr>
            <w:tcW w:w="1140" w:type="dxa"/>
            <w:vAlign w:val="bottom"/>
            <w:gridSpan w:val="3"/>
            <w:shd w:val="clear" w:color="auto" w:fill="CCEEFF"/>
          </w:tcPr>
          <w:p>
            <w:pPr>
              <w:jc w:val="center"/>
              <w:spacing w:after="0" w:line="17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F-8</w:t>
              </w:r>
            </w:hyperlink>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280" w:type="dxa"/>
            <w:vAlign w:val="bottom"/>
            <w:tcBorders>
              <w:top w:val="single" w:sz="8" w:color="CCEEFF"/>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79" w:name="page80"/>
    <w:bookmarkEnd w:id="79"/>
    <w:p>
      <w:pPr>
        <w:ind w:left="284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Iovance Biotherapeutics,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Iovance Biotherapeutics, Inc. (the “Company”) as of December 31, 2018 and 2017, and the related consolidated statements of operations, comprehensive loss,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the criteria established in Internal Control - Integrated Framework issued by the Committee of Sponsoring Organizations of the Treadway Commission (COSO) in 2013 and our report dated February 27, 2019,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277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u w:val="single" w:color="auto"/>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Iovance Biotherapeutics,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 xml:space="preserve">We have audited Iovance Biotherapeutics, Inc.'s (the “Company”)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as of December 31, 2018 and 2017 and related consolidated statements of operations, comprehensive loss, stockholders’ equity and cash flows for each of the three years in the period ended December 31, 2018, and the related notes of the Company and our report dated February 27, 2019 expressed an unqualified opinion on those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277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386,371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17,000 shares authorized, 194 shares issued 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2018; 1,694 shares issued and outstanding December 31, 2017 (aggregate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liquidation value of $194)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11,500,000 shares authorized; 5,854,845 shares issued and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as of December 31, 2018; 7,378,241 shares issued and outstanding December 31, 2017 (aggregate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liquidation value of $27,811);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$0.000041666 par value; 150,000,000 shares authorized, 123,415,576 and 73,164,914 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as of December 31, 2018 and December 31, 2017, respectively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838,984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(372,760)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466,193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203" w:lineRule="exact"/>
        <w:rPr>
          <w:sz w:val="20"/>
          <w:szCs w:val="20"/>
          <w:color w:val="auto"/>
        </w:rPr>
      </w:pPr>
    </w:p>
    <w:tbl>
      <w:tblPr>
        <w:tblLayout w:type="fixed"/>
        <w:tblInd w:w="312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30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 w:type="dxa"/>
            <w:vAlign w:val="bottom"/>
          </w:tcPr>
          <w:p>
            <w:pPr>
              <w:spacing w:after="0"/>
              <w:rPr>
                <w:sz w:val="20"/>
                <w:szCs w:val="20"/>
                <w:color w:val="auto"/>
              </w:rPr>
            </w:pPr>
          </w:p>
        </w:tc>
      </w:tr>
      <w:tr>
        <w:trPr>
          <w:trHeight w:val="439"/>
        </w:trPr>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7"/>
        </w:trPr>
        <w:tc>
          <w:tcPr>
            <w:tcW w:w="2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99,828</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71,615</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26,941</w:t>
            </w:r>
          </w:p>
        </w:tc>
        <w:tc>
          <w:tcPr>
            <w:tcW w:w="6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28,430</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21,262</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26,698</w:t>
            </w:r>
          </w:p>
        </w:tc>
        <w:tc>
          <w:tcPr>
            <w:tcW w:w="60" w:type="dxa"/>
            <w:vAlign w:val="bottom"/>
          </w:tcPr>
          <w:p>
            <w:pPr>
              <w:spacing w:after="0"/>
              <w:rPr>
                <w:sz w:val="20"/>
                <w:szCs w:val="20"/>
                <w:color w:val="auto"/>
              </w:rPr>
            </w:pP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128,258</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92,877</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53,639</w:t>
            </w:r>
          </w:p>
        </w:tc>
        <w:tc>
          <w:tcPr>
            <w:tcW w:w="60" w:type="dxa"/>
            <w:vAlign w:val="bottom"/>
          </w:tcPr>
          <w:p>
            <w:pPr>
              <w:spacing w:after="0"/>
              <w:rPr>
                <w:sz w:val="18"/>
                <w:szCs w:val="18"/>
                <w:color w:val="auto"/>
              </w:rPr>
            </w:pPr>
          </w:p>
        </w:tc>
      </w:tr>
      <w:tr>
        <w:trPr>
          <w:trHeight w:val="426"/>
        </w:trPr>
        <w:tc>
          <w:tcPr>
            <w:tcW w:w="2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(128,258)</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(92,877)</w:t>
            </w: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(53,639)</w:t>
            </w:r>
          </w:p>
        </w:tc>
      </w:tr>
      <w:tr>
        <w:trPr>
          <w:trHeight w:val="444"/>
        </w:trPr>
        <w:tc>
          <w:tcPr>
            <w:tcW w:w="2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4,678</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w:t>
            </w: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-1421765</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-1130300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-855980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-563880</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-281305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60" w:space="720"/>
            <w:col w:w="7440"/>
          </w:cols>
          <w:pgMar w:left="240" w:top="900"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6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0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8"/>
                <w:szCs w:val="18"/>
                <w:color w:val="auto"/>
              </w:rPr>
              <w:t>(123,580)</w:t>
            </w: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92" w:lineRule="exact"/>
              <w:rPr>
                <w:sz w:val="20"/>
                <w:szCs w:val="20"/>
                <w:color w:val="auto"/>
              </w:rPr>
            </w:pPr>
            <w:r>
              <w:rPr>
                <w:rFonts w:ascii="Times New Roman" w:cs="Times New Roman" w:eastAsia="Times New Roman" w:hAnsi="Times New Roman"/>
                <w:sz w:val="18"/>
                <w:szCs w:val="18"/>
                <w:color w:val="auto"/>
              </w:rPr>
              <w:t>(92,064)</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(52,894)</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Deemed dividend related to beneficial conversion feature of convertible preferred stock</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(49,454)</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(123,580</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4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260" w:type="dxa"/>
            <w:vAlign w:val="bottom"/>
            <w:vMerge w:val="continue"/>
          </w:tcPr>
          <w:p>
            <w:pPr>
              <w:spacing w:after="0"/>
              <w:rPr>
                <w:sz w:val="17"/>
                <w:szCs w:val="17"/>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00" w:type="dxa"/>
            <w:vAlign w:val="bottom"/>
            <w:vMerge w:val="continue"/>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 Outstanding, Basic and Diluted</w:t>
            </w:r>
          </w:p>
        </w:tc>
        <w:tc>
          <w:tcPr>
            <w:tcW w:w="4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97,277</w:t>
            </w: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65,242</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55,268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(123,580)</w:t>
            </w: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(92,064)</w:t>
            </w:r>
          </w:p>
        </w:tc>
        <w:tc>
          <w:tcPr>
            <w:tcW w:w="32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unrealized loss on short-term investments</w:t>
            </w:r>
          </w:p>
        </w:tc>
        <w:tc>
          <w:tcPr>
            <w:tcW w:w="1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0" w:type="dxa"/>
            <w:vAlign w:val="bottom"/>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(123,622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information)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Series A Convertible</w:t>
            </w:r>
          </w:p>
        </w:tc>
        <w:tc>
          <w:tcPr>
            <w:tcW w:w="16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6"/>
                <w:szCs w:val="16"/>
                <w:color w:val="auto"/>
              </w:rPr>
            </w:pPr>
          </w:p>
        </w:tc>
        <w:tc>
          <w:tcPr>
            <w:tcW w:w="12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66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0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98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200" w:type="dxa"/>
            <w:vAlign w:val="bottom"/>
            <w:gridSpan w:val="2"/>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3"/>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January 1, 2016</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48,547,720</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208,195</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(104,222)</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104,023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18,904</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18,904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Tax payments related to shares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witheld for vested restricted stock</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592,132</w:t>
            </w:r>
          </w:p>
        </w:tc>
        <w:tc>
          <w:tcPr>
            <w:tcW w:w="3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warrants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100,480</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sold in private</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9,684,000</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44,008</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44,009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placement, net of offering costs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Preferred stock sold in private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11,368,633</w:t>
            </w:r>
          </w:p>
        </w:tc>
        <w:tc>
          <w:tcPr>
            <w:tcW w:w="360" w:type="dxa"/>
            <w:vAlign w:val="bottom"/>
          </w:tcPr>
          <w:p>
            <w:pPr>
              <w:spacing w:after="0"/>
              <w:rPr>
                <w:sz w:val="10"/>
                <w:szCs w:val="10"/>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11</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51,665</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51,676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placement, net of offering costs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(3,421,960)</w:t>
            </w:r>
          </w:p>
        </w:tc>
        <w:tc>
          <w:tcPr>
            <w:tcW w:w="36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3,421,960</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into common stock</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Cancellation of restricted shares, net</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(98,218)</w:t>
            </w:r>
          </w:p>
        </w:tc>
        <w:tc>
          <w:tcPr>
            <w:tcW w:w="36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Beneficial conversion feature of</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(49,454)</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(49,454)</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Deemed dividend on beneficial</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49,454</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49,454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conversion feature of preferred 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 short- term</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(52,894)</w:t>
            </w: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(52,894)</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2016</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7,946,673</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62,248,074</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323,994</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(157,116)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166,918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11,968</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11,968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Tax payments related to shares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witheld for vested restricted stock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(1,252)</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265,000</w:t>
            </w:r>
          </w:p>
        </w:tc>
        <w:tc>
          <w:tcPr>
            <w:tcW w:w="36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warrants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1,011,284</w:t>
            </w:r>
          </w:p>
        </w:tc>
        <w:tc>
          <w:tcPr>
            <w:tcW w:w="3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5,616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(568,432)</w:t>
            </w:r>
          </w:p>
        </w:tc>
        <w:tc>
          <w:tcPr>
            <w:tcW w:w="360" w:type="dxa"/>
            <w:vAlign w:val="bottom"/>
          </w:tcPr>
          <w:p>
            <w:pPr>
              <w:spacing w:after="0"/>
              <w:rPr>
                <w:sz w:val="10"/>
                <w:szCs w:val="10"/>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568,432</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into common 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sold in public</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8,846,154</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 net of offering costs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225,970</w:t>
            </w:r>
          </w:p>
        </w:tc>
        <w:tc>
          <w:tcPr>
            <w:tcW w:w="36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 short- term</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(92,064)</w:t>
            </w: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(92,064)</w:t>
            </w:r>
          </w:p>
        </w:tc>
        <w:tc>
          <w:tcPr>
            <w:tcW w:w="0" w:type="dxa"/>
            <w:vAlign w:val="bottom"/>
          </w:tcPr>
          <w:p>
            <w:pPr>
              <w:spacing w:after="0"/>
              <w:rPr>
                <w:sz w:val="1"/>
                <w:szCs w:val="1"/>
                <w:color w:val="auto"/>
              </w:rPr>
            </w:pPr>
          </w:p>
        </w:tc>
      </w:tr>
      <w:tr>
        <w:trPr>
          <w:trHeight w:val="142"/>
        </w:trPr>
        <w:tc>
          <w:tcPr>
            <w:tcW w:w="24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2017</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7,378,241</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73,164,914</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394,651</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(249,180)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145,481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20,027</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20,027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Tax payments related to shares</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witheld for vested restricted stock</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6,301,216</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15,753</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15,754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warrants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1,336,514</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9,959</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9,959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stock options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Common stock sold in public</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40,300,000</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398,816</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398,817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offering, net of offering costs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45,833</w:t>
            </w:r>
          </w:p>
        </w:tc>
        <w:tc>
          <w:tcPr>
            <w:tcW w:w="3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convertible preferred</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(1,523,396)</w:t>
            </w:r>
          </w:p>
        </w:tc>
        <w:tc>
          <w:tcPr>
            <w:tcW w:w="360" w:type="dxa"/>
            <w:vAlign w:val="bottom"/>
          </w:tcPr>
          <w:p>
            <w:pPr>
              <w:spacing w:after="0"/>
              <w:rPr>
                <w:sz w:val="10"/>
                <w:szCs w:val="10"/>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2,273,396</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into common stock</w:t>
            </w: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Cancellation of resticted shares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(6,297)</w:t>
            </w:r>
          </w:p>
        </w:tc>
        <w:tc>
          <w:tcPr>
            <w:tcW w:w="3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Unrealized loss on short- term</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2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(123,580)</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(123,580)</w:t>
            </w: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December 31, 2018</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w:t>
            </w:r>
          </w:p>
        </w:tc>
        <w:tc>
          <w:tcPr>
            <w:tcW w:w="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5,854,845</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123,415,576</w:t>
            </w:r>
          </w:p>
        </w:tc>
        <w:tc>
          <w:tcPr>
            <w:tcW w:w="1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838,984</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(372,760</w:t>
            </w:r>
          </w:p>
        </w:tc>
        <w:tc>
          <w:tcPr>
            <w:tcW w:w="2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466,193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7"/>
          </w:tcPr>
          <w:p>
            <w:pPr>
              <w:ind w:left="8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(123,580)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(92,064)</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(amortization) of discounts and premiums on investments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4,555</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(101,249</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(78,709</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59,705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(426,081)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(386,279</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58,677</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payments related to shares withheld for vested restricted stock awards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warrants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662</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issuance of preferred stock and common stock, net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398,817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53,662</w:t>
            </w: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(63,221</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82,152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145,373</w:t>
            </w:r>
          </w:p>
        </w:tc>
        <w:tc>
          <w:tcPr>
            <w:tcW w:w="3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106,717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paid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unrealized loss on short-term investments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of property and equipment included in accounts payable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Offering costs under accounts payable and accrued expenses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BUSINESS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Organization and Business</w:t>
      </w:r>
    </w:p>
    <w:p>
      <w:pPr>
        <w:spacing w:after="0" w:line="229" w:lineRule="exact"/>
        <w:rPr>
          <w:sz w:val="20"/>
          <w:szCs w:val="20"/>
          <w:color w:val="auto"/>
        </w:rPr>
      </w:pPr>
    </w:p>
    <w:p>
      <w:pPr>
        <w:ind w:right="80" w:firstLine="492"/>
        <w:spacing w:after="0" w:line="254" w:lineRule="auto"/>
        <w:rPr>
          <w:sz w:val="20"/>
          <w:szCs w:val="20"/>
          <w:color w:val="auto"/>
        </w:rPr>
      </w:pPr>
      <w:r>
        <w:rPr>
          <w:rFonts w:ascii="Times New Roman" w:cs="Times New Roman" w:eastAsia="Times New Roman" w:hAnsi="Times New Roman"/>
          <w:sz w:val="18"/>
          <w:szCs w:val="18"/>
          <w:color w:val="auto"/>
        </w:rPr>
        <w:t>Iovance Biotherapeutics, Inc. (the “Company”) is a clinical-stage biopharmaceutical company focused on the development and commercialization of novel cancer immunotherapy products designed to harness the power of a patient’s own immune system to eradicate cancer cells. Tumor infiltrating lymphocyte or TIL therapy is a platform technology that has already been studied for the treatment of metastatic melanoma and metastatic cervical cancer by the National Cancer Institute, or NCI. The Company’s lead product candidate, lifileucel (formerly known as LN144) for metastatic melanoma, is an autologous adoptive cell therapy utilizing TIL, which are T cells derived from patients’ tumors. The Company is also developing a second product candidate, an autologous adoptive cell therapy utilizing TIL for the treatment of cancers other than metastatic melanoma, which is known as LN-145. The Company is investigating the effectiveness and safety of TIL therapy for the treatment of metastatic melanoma, squamous cell carcinoma of the head and neck, cervical cancer, and metastatic non-small cell lung cancer through company sponsored trials, as well as other oncology indications. On June 1, 2017, the Company reincorporated to become a company governed by Delaware corporation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80" w:firstLine="492"/>
        <w:spacing w:after="0" w:line="253" w:lineRule="auto"/>
        <w:rPr>
          <w:sz w:val="20"/>
          <w:szCs w:val="20"/>
          <w:color w:val="auto"/>
        </w:rPr>
      </w:pPr>
      <w:r>
        <w:rPr>
          <w:rFonts w:ascii="Times New Roman" w:cs="Times New Roman" w:eastAsia="Times New Roman" w:hAnsi="Times New Roman"/>
          <w:sz w:val="18"/>
          <w:szCs w:val="18"/>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$123.6 million for the year ended December 31, 2018 and used $101.2 million of cash in its operating activities during the year ended December 31, 2018. 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net proceeds from the offering, after deducting the underwriting discounts and commissions and other offering expenses payable by the Company, were $162.0 million. 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net proceeds from the offering, after deducting the underwriting discounts and commissions and other offering expenses payable by the Company, were $236.7 million. As of December 31, 2018, the Company had $82.2 million of cash and cash equivalents and $386.4 million in short-term investments.</w:t>
      </w:r>
    </w:p>
    <w:p>
      <w:pPr>
        <w:spacing w:after="0" w:line="189" w:lineRule="exact"/>
        <w:rPr>
          <w:sz w:val="20"/>
          <w:szCs w:val="20"/>
          <w:color w:val="auto"/>
        </w:rPr>
      </w:pPr>
    </w:p>
    <w:p>
      <w:pPr>
        <w:ind w:firstLine="492"/>
        <w:spacing w:after="0" w:line="256" w:lineRule="auto"/>
        <w:rPr>
          <w:sz w:val="20"/>
          <w:szCs w:val="20"/>
          <w:color w:val="auto"/>
        </w:rPr>
      </w:pPr>
      <w:r>
        <w:rPr>
          <w:rFonts w:ascii="Times New Roman" w:cs="Times New Roman" w:eastAsia="Times New Roman" w:hAnsi="Times New Roman"/>
          <w:sz w:val="18"/>
          <w:szCs w:val="18"/>
          <w:color w:val="auto"/>
        </w:rPr>
        <w:t>The Company expects to further increase its research and development activities, which will increase the amount of cash used during 2019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increased research and development activities and initiation of pre-commercial activities. Based on the funds the Company has available as of the date these financial statements are issued, the Company believes that it has sufficient capital to fund its anticipated operating expenses for at least next twelve months from the date these financial statements are issued.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29" w:lineRule="exact"/>
        <w:rPr>
          <w:sz w:val="20"/>
          <w:szCs w:val="20"/>
          <w:color w:val="auto"/>
        </w:rPr>
      </w:pPr>
    </w:p>
    <w:p>
      <w:pPr>
        <w:ind w:right="300" w:firstLine="492"/>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our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29"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loss. The cost of debt securities is adjusted for the amortization of premiums and accretion of discounts to maturity. Such amortization and accretion are included in net interest income in the consolidated statements operations. Gains and losses on securities sold are recorded based on the specific identification method and are included in net interest income in the consolidated statement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500" w:firstLine="492"/>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The cost of property and equipment is depreciated or amortized on the straight-line method over the following estimated useful lives:</w:t>
      </w:r>
    </w:p>
    <w:p>
      <w:pPr>
        <w:sectPr>
          <w:pgSz w:w="11900" w:h="16838" w:orient="portrait"/>
          <w:cols w:equalWidth="0" w:num="1">
            <w:col w:w="11420"/>
          </w:cols>
          <w:pgMar w:left="240" w:top="901" w:right="2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furniture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Lesser of the remaining economic life of the asset or the lease-term</w:t>
      </w:r>
    </w:p>
    <w:p>
      <w:pPr>
        <w:spacing w:after="0" w:line="211" w:lineRule="exact"/>
        <w:rPr>
          <w:sz w:val="20"/>
          <w:szCs w:val="20"/>
          <w:color w:val="auto"/>
        </w:rPr>
      </w:pPr>
    </w:p>
    <w:p>
      <w:pPr>
        <w:sectPr>
          <w:pgSz w:w="11900" w:h="16838" w:orient="portrait"/>
          <w:cols w:equalWidth="0" w:num="2">
            <w:col w:w="3280" w:space="720"/>
            <w:col w:w="7420"/>
          </w:cols>
          <w:pgMar w:left="240" w:top="901" w:right="239" w:bottom="1440" w:gutter="0" w:footer="0" w:header="0"/>
          <w:type w:val="continuous"/>
        </w:sectPr>
      </w:pPr>
    </w:p>
    <w:p>
      <w:pPr>
        <w:spacing w:after="0" w:line="7" w:lineRule="exact"/>
        <w:rPr>
          <w:sz w:val="20"/>
          <w:szCs w:val="20"/>
          <w:color w:val="auto"/>
        </w:rPr>
      </w:pPr>
    </w:p>
    <w:p>
      <w:pPr>
        <w:ind w:right="300" w:firstLine="492"/>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operations as incurred while renewals and betterments are capitalized. Gains and losses on disposals are included within operating expenses in the statements of operations.</w:t>
      </w:r>
    </w:p>
    <w:p>
      <w:pPr>
        <w:spacing w:after="0" w:line="162"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2018, 2017 and 2016, the Company did not recognize any impairments for its property and equipment.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w:t>
      </w:r>
    </w:p>
    <w:p>
      <w:pPr>
        <w:spacing w:after="0" w:line="225"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80"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At December 31, 2018, 2017 and 2016, the following outstanding common stock equivalents have been excluded from the calculation of net loss per share because their impact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r>
      <w:tr>
        <w:trPr>
          <w:trHeight w:val="210"/>
        </w:trPr>
        <w:tc>
          <w:tcPr>
            <w:tcW w:w="63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6,889,287</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6,072,368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6,301,216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6,566,216</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Series A Convertible Preferred*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847,000</w:t>
            </w: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B Convertible Preferred*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5,854,845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7,378,241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7,946,673</w:t>
            </w: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7,084</w:t>
            </w:r>
          </w:p>
        </w:tc>
      </w:tr>
      <w:tr>
        <w:trPr>
          <w:trHeight w:val="230"/>
        </w:trPr>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114,582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w:t>
            </w:r>
          </w:p>
        </w:tc>
      </w:tr>
      <w:tr>
        <w:trPr>
          <w:trHeight w:val="223"/>
        </w:trPr>
        <w:tc>
          <w:tcPr>
            <w:tcW w:w="638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12,909,874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20,713,407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22,150,123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 an as-converted basis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0"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76"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62" w:lineRule="exact"/>
        <w:rPr>
          <w:sz w:val="20"/>
          <w:szCs w:val="20"/>
          <w:color w:val="auto"/>
        </w:rPr>
      </w:pPr>
    </w:p>
    <w:p>
      <w:pPr>
        <w:ind w:right="420" w:firstLine="492"/>
        <w:spacing w:after="0" w:line="282" w:lineRule="auto"/>
        <w:rPr>
          <w:sz w:val="20"/>
          <w:szCs w:val="20"/>
          <w:color w:val="auto"/>
        </w:rPr>
      </w:pPr>
      <w:r>
        <w:rPr>
          <w:rFonts w:ascii="Times New Roman" w:cs="Times New Roman" w:eastAsia="Times New Roman" w:hAnsi="Times New Roman"/>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62" w:lineRule="exact"/>
        <w:rPr>
          <w:sz w:val="20"/>
          <w:szCs w:val="20"/>
          <w:color w:val="auto"/>
        </w:rPr>
      </w:pPr>
    </w:p>
    <w:p>
      <w:pPr>
        <w:ind w:right="140" w:firstLine="492"/>
        <w:spacing w:after="0" w:line="255" w:lineRule="auto"/>
        <w:rPr>
          <w:sz w:val="20"/>
          <w:szCs w:val="20"/>
          <w:color w:val="auto"/>
        </w:rPr>
      </w:pPr>
      <w:r>
        <w:rPr>
          <w:rFonts w:ascii="Times New Roman" w:cs="Times New Roman" w:eastAsia="Times New Roman" w:hAnsi="Times New Roman"/>
          <w:sz w:val="18"/>
          <w:szCs w:val="18"/>
          <w:color w:val="auto"/>
        </w:rPr>
        <w:t>The fair valued assets the Company holds that are generally assessed under Level 2 are corporate bonds and commercial paper. The Company utilizes third party pricing services in developing fair value measurements where fair value is based on valuation methodologies such as models using observable market inputs, including benchmark yields, reported trades, broker/dealer quotes, bids, offers and other reference data. The Company uses quotes from external pricing service providers and other on-line quotation systems to verify the fair value of investments provided by its third-party pricing service providers. The Company reviews independent service auditor’s reports from its third-party pricing service providers particularly regarding the controls over pricing and valuation of financial instruments and ensure that its internal controls address certain control deficiencies, if any, and complementary user entity controls are in place.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have fair valued assets classified under Level 2 as of December 31, 2018 and 2017.</w:t>
      </w:r>
    </w:p>
    <w:p>
      <w:pPr>
        <w:spacing w:after="0" w:line="225"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76" w:lineRule="exact"/>
        <w:rPr>
          <w:sz w:val="20"/>
          <w:szCs w:val="20"/>
          <w:color w:val="auto"/>
        </w:rPr>
      </w:pPr>
    </w:p>
    <w:p>
      <w:pPr>
        <w:ind w:right="160" w:firstLine="492"/>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investments, and accounts payable, all of which are reported at their respective fair value on its consolidated balance sheets.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have fair valued assets classified under Level 3 as of December 31, 2018 and 2017.</w:t>
      </w:r>
    </w:p>
    <w:p>
      <w:pPr>
        <w:spacing w:after="0" w:line="225" w:lineRule="exact"/>
        <w:rPr>
          <w:sz w:val="20"/>
          <w:szCs w:val="20"/>
          <w:color w:val="auto"/>
        </w:rPr>
      </w:pPr>
    </w:p>
    <w:p>
      <w:pPr>
        <w:ind w:right="80"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2018, financial assets measured at fair value on a recurring basis are categorized in the table below based upon the lowest level of significant input to the valuations (in thousands):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2018</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265,393</w:t>
            </w:r>
          </w:p>
        </w:tc>
        <w:tc>
          <w:tcPr>
            <w:tcW w:w="120" w:type="dxa"/>
            <w:vAlign w:val="bottom"/>
            <w:shd w:val="clear" w:color="auto" w:fill="CCEEFF"/>
          </w:tcPr>
          <w:p>
            <w:pPr>
              <w:spacing w:after="0"/>
              <w:rPr>
                <w:sz w:val="18"/>
                <w:szCs w:val="18"/>
                <w:color w:val="auto"/>
              </w:rPr>
            </w:pPr>
          </w:p>
        </w:tc>
      </w:tr>
      <w:tr>
        <w:trPr>
          <w:trHeight w:val="23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120,978</w:t>
            </w:r>
          </w:p>
        </w:tc>
        <w:tc>
          <w:tcPr>
            <w:tcW w:w="120" w:type="dxa"/>
            <w:vAlign w:val="bottom"/>
            <w:tcBorders>
              <w:bottom w:val="single" w:sz="8" w:color="CCEEFF"/>
            </w:tcBorders>
          </w:tcPr>
          <w:p>
            <w:pPr>
              <w:spacing w:after="0"/>
              <w:rPr>
                <w:sz w:val="19"/>
                <w:szCs w:val="19"/>
                <w:color w:val="auto"/>
              </w:rPr>
            </w:pPr>
          </w:p>
        </w:tc>
      </w:tr>
      <w:tr>
        <w:trPr>
          <w:trHeight w:val="223"/>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386,371</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368,371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2017, the Company had no financial assets measured at fair value on a 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0" w:firstLine="49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the useful lives of property and equipment, accounting for potential liabilities, the valuation allowance associated with the Company’s deferred tax assets, and the assumptions made in valuing stock instruments issued for services.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Iovance Biotherapeutics, Inc. and its wholly-owned subsidiary, Iovance Biotherapeutics GmbH (formerly Lion Biotechnologies GmbH). All intercompany accounts and transactions have been eliminated. The U.S. dollar is the functional currency for all the Company's consolidated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80" w:firstLine="492"/>
        <w:spacing w:after="0" w:line="255" w:lineRule="auto"/>
        <w:rPr>
          <w:sz w:val="20"/>
          <w:szCs w:val="20"/>
          <w:color w:val="auto"/>
        </w:rPr>
      </w:pPr>
      <w:r>
        <w:rPr>
          <w:rFonts w:ascii="Times New Roman" w:cs="Times New Roman" w:eastAsia="Times New Roman" w:hAnsi="Times New Roman"/>
          <w:sz w:val="18"/>
          <w:szCs w:val="18"/>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3" w:lineRule="exact"/>
        <w:rPr>
          <w:sz w:val="20"/>
          <w:szCs w:val="20"/>
          <w:color w:val="auto"/>
        </w:rPr>
      </w:pPr>
    </w:p>
    <w:p>
      <w:pPr>
        <w:ind w:right="220" w:firstLine="8"/>
        <w:spacing w:after="0" w:line="254" w:lineRule="auto"/>
        <w:tabs>
          <w:tab w:leader="none" w:pos="1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86" w:lineRule="exact"/>
        <w:rPr>
          <w:sz w:val="20"/>
          <w:szCs w:val="20"/>
          <w:color w:val="auto"/>
        </w:rPr>
      </w:pPr>
    </w:p>
    <w:p>
      <w:pPr>
        <w:ind w:right="20" w:firstLine="492"/>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The assumptions used in the Black-Scholes option pricing model could materially affect compensation expense recorded in future periods.</w:t>
      </w:r>
    </w:p>
    <w:p>
      <w:pPr>
        <w:spacing w:after="0" w:line="180"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which is recognized as an expense over the period during which an employee is required to provide services in exchange for the award.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ind w:right="200" w:firstLine="492"/>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all of the Company’s stock-based awards was recorded on the statements of operations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shd w:val="clear" w:color="auto" w:fill="CCEEFF"/>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10,722</w:t>
            </w: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6,698</w:t>
            </w: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15,637</w:t>
            </w: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Total stock-based compensation broken down based on each individual instrument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 expense</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expense</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shd w:val="clear" w:color="auto" w:fill="CCEEFF"/>
          </w:tcPr>
          <w:p>
            <w:pPr>
              <w:spacing w:after="0"/>
              <w:rPr>
                <w:sz w:val="19"/>
                <w:szCs w:val="19"/>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560" w:firstLine="492"/>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80"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Clinical development costs are a significant component of research and development expenses. The Company has a history of contracting with third parties that perform various clinical trial activities on its behalf in connection with the ongoing development of its product candidates. The financial terms of these contracts are subject to negotiations and may vary from contract to contract and may result in uneven payment flow. The Company accrues and expenses costs for clinical trial activities performed by third parties based upon estimates of the percentage of work completed over the life of the individual trial in accordance with agreements established with contract research organizations and clinical trial sites. The Company determines its estimates through discussions with internal clinical personnel and outside service providers as to the progress or stage of completion of trials or services and the agreed upon fee to be paid for such services.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63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executive, finance, accounting, legal, investor relations, facilities, business development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Securities and Exchange Commission (“SEC”) requirements, investor relations costs, and fees for accounting and consulting services.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firstLine="492"/>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84"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ASC Topic 740-10-30, Income Taxes,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equivalents and short-term investments. Under its investment policy, it limits amounts invested in such securities by credit rating, maturity, industry group, investment type and issuer, except for securities issued by the U.S. government. The Company is not exposed to any significant concentrations of credit risk from these financial instruments. The goals of its investment policy, in order of priority, are as follows: safety and preservation of principal and diversification of risk; liquidity of investments sufficient to meet cash flow requirements; and a competitive after-tax rate of return. The Company maintains cash, cash equivalents and short-term investment balances at three financial institutions. At times, the amounts on deposit may exceed the federally insured limits. Management believes that the financial institutions which hold its cash are financially sound and, accordingly, minimal credit risk exists. As of December 31, 2018 and 2017, respectively, the Company’s cash balances were in excess of insured limits maintained at the financial institutions.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40" w:firstLine="492"/>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85"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62"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ind w:right="100" w:firstLine="492"/>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Accounting Standard Update (ASU) No. 2016-02, Leases (Topic 842), which establishes a new lease accounting model for lessees. The updated guidance requires an entity to recognize assets and liabilities arising from a lease for both financing and operating leases, along with additional qualitative and quantitative disclosures. In June 2018, the FASB issued ASU No. 2018-10, Codification Improvements to Topic 842, Leases, which further clarifies how to apply certain aspects of the new lease standard. Topic 842 is effective for fiscal years, and interim periods within those years, beginning after December 15, 2018, with early adoption permitted. The Company adopted Topic 842 on January 1, 2019, using a modified retrospective approach as applied to lease existing as of or entered into after the adoption date. Topic 842 provides a number of optional practical expedients and accounting policy elections. The Company elected the package of practical expedients requiring no reassessment of whether any expired or existing contracts are or contain leases, the lease classification of any expired or existing leases, or initial direct costs for any existing leases. The Company is in the final process of implementing a new lease accounting policy and updating its controls and procedures for maintaining and accounting for its lease portfolio under the new guidance. Upon adoption of Topic 842, the Company expects recognition of additional assets and corresponding liabilities pertaining to its operating leases on its consolidated balance sheets. The Company does not expect the adoption of the new standard to have a significant impact on its consolidated statements of operations and cash flows.</w:t>
      </w:r>
    </w:p>
    <w:p>
      <w:pPr>
        <w:spacing w:after="0" w:line="191"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In June 2018, the FASB issued ASU No. 2018-07, Compensation- Stock Compensation (Topic 718): Improvements to Nonemployee Share-Based Payment Accounting, which eliminates the separate accounting model for nonemployee share-based payment awards and generally requires companies to account for share-based payment transactions with nonemployees in the same way as share-based payment transactions with employees. Under the new guidance, nonemployee share-based payment transactions are measured at the grant-date fair value and are no longer remeasured at the then-current fair values at each reporting date until the share options have vested. The amended guidance is effective for fiscal years beginning after December 15, 2018, with early adoption permitted. The Company plans to adopt this ASU on January 1, 2019. The guidance requires a modified-retrospective approach in transition. The Company compared the cumulative amounts that were recorded for its nonemployee share-based payments through December 31, 2018 immediately preceding the date of adoption to the cumulative amounts that should be recognized at the adoption date and will record a cumulative effect of the transition adjustment of $0.3 million as an adjustment to retained earnings as of the date of adoption, January 1, 2019.</w:t>
      </w:r>
    </w:p>
    <w:p>
      <w:pPr>
        <w:spacing w:after="0" w:line="189" w:lineRule="exact"/>
        <w:rPr>
          <w:sz w:val="20"/>
          <w:szCs w:val="20"/>
          <w:color w:val="auto"/>
        </w:rPr>
      </w:pPr>
    </w:p>
    <w:p>
      <w:pPr>
        <w:ind w:right="320" w:firstLine="492"/>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(Topic 820): Disclosure Framework- Changes to the Disclosure Requirements for Fair Value Measurement, which eliminates disclosure requirement regarding transfers between level 1 and level 2 of the fair value of hierarchy, however, adds disclosure requirements on the range and weighted average used to develop significant unobservable inputs for level 3 fair value measurements. The guidance is effective for fiscal years beginning after December 15, 2019 and for interim periods within those fiscal years, with early adoption permitted. The Company plans to adopt this ASU on January 1, 2020. The Company expects the impact of the adoption of this standard on its financial statements to be immaterial.</w:t>
      </w:r>
    </w:p>
    <w:p>
      <w:pPr>
        <w:spacing w:after="0" w:line="188"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In August 2018, the Security Exchange Commission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This final rule is effective on November 5, 2018. The Company is evaluating the impact of this guidance on its consolidated financial statements. The Company anticipates its first presentation of changes in stockholders’ equity will be included in its Form 10-Q for the quarter ended March 31, 2019.</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620" w:firstLine="492"/>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focused on developing and commercializing ACT using autologous TIL for the treatment of metastatic melanoma and other solid cancers.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Management of the Company evaluates events that have occurred after the balance sheet date but before the financial statements are issued. Based upon the review, management did not identify any recognized or non-recognized subsequent events which would have required an adjustment or disclosure in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Certain amounts within the balance sheets for the prior period have been reclassified to conform with the current period presentation. These reclassifications had no impact on the Company's previously reported financial position or cash flows for any of the periods presented. The long-term portion of deferred rent liability as of December 31, 2017 was separately presented as long-term in the 2017 consolidated balance sheet included in this annual report filed on Form10-K.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CASH AND CASH EQUIVALENTS, AND SHORT-TERM INVESTMENTS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60" w:type="dxa"/>
            <w:vAlign w:val="bottom"/>
          </w:tcPr>
          <w:p>
            <w:pPr>
              <w:spacing w:after="0"/>
              <w:rPr>
                <w:sz w:val="24"/>
                <w:szCs w:val="24"/>
                <w:color w:val="auto"/>
              </w:rPr>
            </w:pPr>
          </w:p>
        </w:tc>
        <w:tc>
          <w:tcPr>
            <w:tcW w:w="6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Cash equivalents, and short-term investments consist of the following (in thousands):</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91,281</w:t>
            </w:r>
          </w:p>
        </w:tc>
        <w:tc>
          <w:tcPr>
            <w:tcW w:w="80" w:type="dxa"/>
            <w:vAlign w:val="bottom"/>
            <w:shd w:val="clear" w:color="auto" w:fill="CCEEFF"/>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equivalents total</w:t>
            </w: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Cash equivalents in the tables above exclude cash demand deposits of $56.2 million and $54.1 million as of December 31, 2018 and December 31, 2017, respectively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120,978</w:t>
            </w:r>
          </w:p>
        </w:tc>
        <w:tc>
          <w:tcPr>
            <w:tcW w:w="11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investments total</w:t>
            </w:r>
          </w:p>
        </w:tc>
        <w:tc>
          <w:tcPr>
            <w:tcW w:w="2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cost and fair value of cash equivalents and short-term investments at December 31, 2018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28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Accretion</w:t>
            </w:r>
          </w:p>
        </w:tc>
        <w:tc>
          <w:tcPr>
            <w:tcW w:w="1040" w:type="dxa"/>
            <w:vAlign w:val="bottom"/>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40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73"/>
              </w:rPr>
              <w:t>(58)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328</w:t>
            </w:r>
          </w:p>
        </w:tc>
        <w:tc>
          <w:tcPr>
            <w:tcW w:w="104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120,978</w:t>
            </w:r>
          </w:p>
        </w:tc>
      </w:tr>
      <w:tr>
        <w:trPr>
          <w:trHeight w:val="223"/>
        </w:trPr>
        <w:tc>
          <w:tcPr>
            <w:tcW w:w="4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385,272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1"/>
              </w:rPr>
              <w:t>(82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2017, the Company had no short-term investments. Unrealized gains and losses are included in accumulated other comprehensive loss. All short-term investments held by the Company as of December 31, 2018 have a maturity of less than one year.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36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Pr>
          <w:p>
            <w:pPr>
              <w:spacing w:after="0"/>
              <w:rPr>
                <w:sz w:val="18"/>
                <w:szCs w:val="18"/>
                <w:color w:val="auto"/>
              </w:rPr>
            </w:pPr>
          </w:p>
        </w:tc>
      </w:tr>
      <w:tr>
        <w:trPr>
          <w:trHeight w:val="230"/>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(3,033)</w:t>
            </w:r>
          </w:p>
        </w:tc>
      </w:tr>
      <w:tr>
        <w:trPr>
          <w:trHeight w:val="223"/>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2018, 2017 and 2016 was approximately $1.0 million, $1.0 million and $1.0 million,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64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 current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23"/>
        </w:trPr>
        <w:tc>
          <w:tcPr>
            <w:tcW w:w="664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 Offerings</w:t>
      </w:r>
    </w:p>
    <w:p>
      <w:pPr>
        <w:spacing w:after="0" w:line="225" w:lineRule="exact"/>
        <w:rPr>
          <w:sz w:val="20"/>
          <w:szCs w:val="20"/>
          <w:color w:val="auto"/>
        </w:rPr>
      </w:pPr>
    </w:p>
    <w:p>
      <w:pPr>
        <w:ind w:right="240" w:firstLine="492"/>
        <w:spacing w:after="0" w:line="258" w:lineRule="auto"/>
        <w:rPr>
          <w:sz w:val="20"/>
          <w:szCs w:val="20"/>
          <w:color w:val="auto"/>
        </w:rPr>
      </w:pPr>
      <w:r>
        <w:rPr>
          <w:rFonts w:ascii="Times New Roman" w:cs="Times New Roman" w:eastAsia="Times New Roman" w:hAnsi="Times New Roman"/>
          <w:sz w:val="18"/>
          <w:szCs w:val="18"/>
          <w:color w:val="auto"/>
        </w:rPr>
        <w:t>In September 2017, the Company closed an underwritten public offering of 8,846,154 shares of the Company’s common stock at a public offering price of $6.50 per share, before underwriting discounts, which included 1,153,846 shares issued upon the exercise in full by the underwriter of its option to purchase additional shares at the public offering price less the underwriting discounts. The gross proceeds from the offering, before deducting the underwriting discounts and commissions and other offering expenses payable by the Company, were $57.5 million, with net proceeds to the Company of $53.7 million.</w:t>
      </w:r>
    </w:p>
    <w:p>
      <w:pPr>
        <w:spacing w:after="0" w:line="184" w:lineRule="exact"/>
        <w:rPr>
          <w:sz w:val="20"/>
          <w:szCs w:val="20"/>
          <w:color w:val="auto"/>
        </w:rPr>
      </w:pPr>
    </w:p>
    <w:p>
      <w:pPr>
        <w:ind w:right="40" w:firstLine="492"/>
        <w:spacing w:after="0" w:line="281" w:lineRule="auto"/>
        <w:rPr>
          <w:sz w:val="20"/>
          <w:szCs w:val="20"/>
          <w:color w:val="auto"/>
        </w:rPr>
      </w:pPr>
      <w:r>
        <w:rPr>
          <w:rFonts w:ascii="Times New Roman" w:cs="Times New Roman" w:eastAsia="Times New Roman" w:hAnsi="Times New Roman"/>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65" w:lineRule="exact"/>
        <w:rPr>
          <w:sz w:val="20"/>
          <w:szCs w:val="20"/>
          <w:color w:val="auto"/>
        </w:rPr>
      </w:pPr>
    </w:p>
    <w:p>
      <w:pPr>
        <w:ind w:right="320" w:firstLine="492"/>
        <w:spacing w:after="0" w:line="258" w:lineRule="auto"/>
        <w:rPr>
          <w:sz w:val="20"/>
          <w:szCs w:val="20"/>
          <w:color w:val="auto"/>
        </w:rPr>
      </w:pPr>
      <w:r>
        <w:rPr>
          <w:rFonts w:ascii="Times New Roman" w:cs="Times New Roman" w:eastAsia="Times New Roman" w:hAnsi="Times New Roman"/>
          <w:sz w:val="18"/>
          <w:szCs w:val="18"/>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ind w:right="80" w:firstLine="492"/>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50,000,000 shares of “blank check” preferred stock. At December 31, 2018, 17,000 shares were designated as Series A Convertible Preferred Stock and 11,500,000 shares were designated as Series B Convertible Preferred Stock (“Series B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Convertible Preferred Stock</w:t>
      </w:r>
    </w:p>
    <w:p>
      <w:pPr>
        <w:spacing w:after="0" w:line="225" w:lineRule="exact"/>
        <w:rPr>
          <w:sz w:val="20"/>
          <w:szCs w:val="20"/>
          <w:color w:val="auto"/>
        </w:rPr>
      </w:pPr>
    </w:p>
    <w:p>
      <w:pPr>
        <w:ind w:right="100" w:firstLine="492"/>
        <w:spacing w:after="0" w:line="266"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468" w:gutter="0" w:footer="0" w:header="0"/>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89" w:lineRule="exact"/>
        <w:rPr>
          <w:sz w:val="20"/>
          <w:szCs w:val="20"/>
          <w:color w:val="auto"/>
        </w:rPr>
      </w:pPr>
    </w:p>
    <w:p>
      <w:pPr>
        <w:ind w:firstLine="49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1,500 shares of Series A Convertible Preferred Stock were converted into 750,000 shares of common stock, respectively. No Shares of Series A Convertible Preferred Stock were converted in fiscal year 2017 or 2016. The common shares issued were determined on a formula basis of 500 common shares for each share of Series A Convertible Preferred Stock converted. At December 31, 2018, 194 shares of Series A Convertible Preferred Stock (that are convertible into 97,000 shares of common stock) remained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Convertible Preferred Stock</w:t>
      </w:r>
    </w:p>
    <w:p>
      <w:pPr>
        <w:spacing w:after="0" w:line="225" w:lineRule="exact"/>
        <w:rPr>
          <w:sz w:val="20"/>
          <w:szCs w:val="20"/>
          <w:color w:val="auto"/>
        </w:rPr>
      </w:pPr>
    </w:p>
    <w:p>
      <w:pPr>
        <w:ind w:right="180" w:firstLine="492"/>
        <w:spacing w:after="0" w:line="266" w:lineRule="auto"/>
        <w:rPr>
          <w:sz w:val="20"/>
          <w:szCs w:val="20"/>
          <w:color w:val="auto"/>
        </w:rPr>
      </w:pPr>
      <w:r>
        <w:rPr>
          <w:rFonts w:ascii="Times New Roman" w:cs="Times New Roman" w:eastAsia="Times New Roman" w:hAnsi="Times New Roman"/>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76"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80" w:lineRule="exact"/>
        <w:rPr>
          <w:sz w:val="20"/>
          <w:szCs w:val="20"/>
          <w:color w:val="auto"/>
        </w:rPr>
      </w:pPr>
    </w:p>
    <w:p>
      <w:pPr>
        <w:ind w:right="40" w:firstLine="49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2017 and 2016, 1,523,396, 568,432, and 3,421,960 shares of Series B Convertible Preferred Stock were converted into 1,523,396, 568,432, and 3,421,960 shares of common stock, respectively. At December 31, 2018, 5,854,845 shares of Series B Preferred Stock (that are convertible into 5,854,845 shares of common stock) remained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2016 Private Placement</w:t>
      </w:r>
    </w:p>
    <w:p>
      <w:pPr>
        <w:spacing w:after="0" w:line="225" w:lineRule="exact"/>
        <w:rPr>
          <w:sz w:val="20"/>
          <w:szCs w:val="20"/>
          <w:color w:val="auto"/>
        </w:rPr>
      </w:pPr>
    </w:p>
    <w:p>
      <w:pPr>
        <w:ind w:right="20" w:firstLine="492"/>
        <w:spacing w:after="0" w:line="254"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with various institutional and individual accredited investors to raise gross proceeds of $100 million in a private placement (the “2016 Private Placement”). On June 7, 2016, the Company completed the 2016 Private Placement. In the 2016 Private Placement, the Company issued (i) 9,684,000 shares of its common stock and (ii) 11,368,633 shares of its newly created Series B Preferred Stock. The shares of common stock and Series B Preferred Stock were sold for $4.75 per share. The shares of Series B Preferred initially were not convertible into common stock and, except as required by law, are non-voting. On July 7, 2016, the Company filed a proxy statement with the SEC with respect to a stockholders meeting that was held on August 16, 2016 at which the stockholders were asked to vote on a proposal to permit the Series B Preferred Stock to become convertible into shares of the Company’s common stock and to permit the issuance of shares of common stock upon such conversion. The requisite stockholder approval was obtained and, as a result, on August 16, 2016 the Series B Preferred Stock became convertible into shares of common stock at an initial conversion price of $4.75 per share.</w:t>
      </w:r>
    </w:p>
    <w:p>
      <w:pPr>
        <w:spacing w:after="0" w:line="189"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The Company has also evaluated its convertible preferred stock in accordance with the provisions of ASC 815, Derivatives and Hedging, including consideration of embedded derivatives requiring bifurcation. The issuance of the convertible preferred stock could generate a beneficial conversion feature (“BCF”), which arises when a debt or equity security is issued with an embedded conversion option that is beneficial to the investor or in the money at inception because the conversion option has an effective strike price that is less than the market price of the underlying stock at the commitment date. The Company recognized the BCF by allocating the intrinsic value of the conversion option, which is the number of shares of common stock available upon conversion multiplied by the difference between the effective conversion price per share and the fair value of common stock per share on the commitment date, to additional paid-in capital, resulting in a discount on the convertible preferred stock. As the convertible preferred stock may be converted immediately, the Company recognized a BCF of $49.5 million as a deemed dividend in the statements of operations. This one-time, non-cash charge impacted net loss attributable to common stockholders and loss per share for the year ended December 31, 2016.</w:t>
      </w:r>
    </w:p>
    <w:p>
      <w:pPr>
        <w:spacing w:after="0" w:line="189" w:lineRule="exact"/>
        <w:rPr>
          <w:sz w:val="20"/>
          <w:szCs w:val="20"/>
          <w:color w:val="auto"/>
        </w:rPr>
      </w:pPr>
    </w:p>
    <w:p>
      <w:pPr>
        <w:ind w:right="40" w:firstLine="492"/>
        <w:spacing w:after="0" w:line="282" w:lineRule="auto"/>
        <w:rPr>
          <w:sz w:val="20"/>
          <w:szCs w:val="20"/>
          <w:color w:val="auto"/>
        </w:rPr>
      </w:pPr>
      <w:r>
        <w:rPr>
          <w:rFonts w:ascii="Times New Roman" w:cs="Times New Roman" w:eastAsia="Times New Roman" w:hAnsi="Times New Roman"/>
          <w:sz w:val="18"/>
          <w:szCs w:val="18"/>
          <w:color w:val="auto"/>
        </w:rPr>
        <w:t>The Company received net proceeds of approximately $95.7 million from the 2016 Private Placement, after paying placement agent fees and estimated offering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right="360" w:firstLine="492"/>
        <w:spacing w:after="0" w:line="282" w:lineRule="auto"/>
        <w:rPr>
          <w:sz w:val="20"/>
          <w:szCs w:val="20"/>
          <w:color w:val="auto"/>
        </w:rPr>
      </w:pPr>
      <w:r>
        <w:rPr>
          <w:rFonts w:ascii="Times New Roman" w:cs="Times New Roman" w:eastAsia="Times New Roman" w:hAnsi="Times New Roman"/>
          <w:sz w:val="18"/>
          <w:szCs w:val="18"/>
          <w:color w:val="auto"/>
        </w:rPr>
        <w:t>There were no remaining outstanding warrants as of December 31, 2018. A summary of the status of stock warrants at December 31, 2018 and the changes during the three years then ended, is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6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7,202,216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6,566,216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6,301,216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(6,301,216)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Expired/Cancelled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9"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As of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As of December 31, 2018, 376,240 shares were available for future grant under the 2011 Plan.</w:t>
      </w:r>
    </w:p>
    <w:p>
      <w:pPr>
        <w:spacing w:after="0" w:line="186"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On September 19, 2014, the Company’s Board of Directors (the “Board”)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88" w:lineRule="exact"/>
        <w:rPr>
          <w:sz w:val="20"/>
          <w:szCs w:val="20"/>
          <w:color w:val="auto"/>
        </w:rPr>
      </w:pPr>
    </w:p>
    <w:p>
      <w:pPr>
        <w:jc w:val="both"/>
        <w:ind w:right="680" w:firstLine="492"/>
        <w:spacing w:after="0" w:line="313" w:lineRule="auto"/>
        <w:rPr>
          <w:sz w:val="20"/>
          <w:szCs w:val="20"/>
          <w:color w:val="auto"/>
        </w:rPr>
      </w:pPr>
      <w:r>
        <w:rPr>
          <w:rFonts w:ascii="Times New Roman" w:cs="Times New Roman" w:eastAsia="Times New Roman" w:hAnsi="Times New Roman"/>
          <w:sz w:val="17"/>
          <w:szCs w:val="17"/>
          <w:color w:val="auto"/>
        </w:rPr>
        <w:t>On August 16, 2016, the Company’s stockholders approved an increase in the total number of shares that can be issued under the 2014 Plan to 9,000,000 shares of the Company’s common stock. At December 31, 2018, 579,809 shares were available for grant under the Company’s 2014 Plan.</w:t>
      </w:r>
    </w:p>
    <w:p>
      <w:pPr>
        <w:spacing w:after="0" w:line="138" w:lineRule="exact"/>
        <w:rPr>
          <w:sz w:val="20"/>
          <w:szCs w:val="20"/>
          <w:color w:val="auto"/>
        </w:rPr>
      </w:pPr>
    </w:p>
    <w:p>
      <w:pPr>
        <w:ind w:right="40" w:firstLine="492"/>
        <w:spacing w:after="0" w:line="256" w:lineRule="auto"/>
        <w:rPr>
          <w:sz w:val="20"/>
          <w:szCs w:val="20"/>
          <w:color w:val="auto"/>
        </w:rPr>
      </w:pPr>
      <w:r>
        <w:rPr>
          <w:rFonts w:ascii="Times New Roman" w:cs="Times New Roman" w:eastAsia="Times New Roman" w:hAnsi="Times New Roman"/>
          <w:sz w:val="18"/>
          <w:szCs w:val="18"/>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At December 31, 2018, 6,000,000 shares of common stock were available for grant under the Company’s 2018 Plan. The Company anticipates granting the remaining shares under the 2011 and 2014 Plans prior to granting shares from the 2018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vest in installments as follows: (i) 137,500 restricted stock units vested upon the first anniversary of the effective date of Dr. Fardis’ employment agreement; (ii) 275,000 restricted stock units vest upon the satisfaction of certain clinical trial milestones; and (iii) 137,500 restricted stock units vest in equal monthly installments over the 36-month period following the first anniversary of the effective date of Dr. Fardis’ employment, provided that Dr. Fardis has been continuously employed with the Company as of such vesting dates. As of December 31, 2018, 68,749 restricted stock units remained unvested.</w:t>
      </w:r>
    </w:p>
    <w:p>
      <w:pPr>
        <w:spacing w:after="0" w:line="185"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$0.3 million, $1.1 million and $1.5 million for the years ended December 31, 2018, 2017 and 2016, respectively, recorded as part of general and administrative expenses.</w:t>
      </w:r>
    </w:p>
    <w:p>
      <w:pPr>
        <w:spacing w:after="0" w:line="176" w:lineRule="exact"/>
        <w:rPr>
          <w:sz w:val="20"/>
          <w:szCs w:val="20"/>
          <w:color w:val="auto"/>
        </w:rPr>
      </w:pPr>
    </w:p>
    <w:p>
      <w:pPr>
        <w:ind w:right="240" w:firstLine="492"/>
        <w:spacing w:after="0" w:line="282" w:lineRule="auto"/>
        <w:rPr>
          <w:sz w:val="20"/>
          <w:szCs w:val="20"/>
          <w:color w:val="auto"/>
        </w:rPr>
      </w:pPr>
      <w:r>
        <w:rPr>
          <w:rFonts w:ascii="Times New Roman" w:cs="Times New Roman" w:eastAsia="Times New Roman" w:hAnsi="Times New Roman"/>
          <w:sz w:val="18"/>
          <w:szCs w:val="18"/>
          <w:color w:val="auto"/>
        </w:rPr>
        <w:t>As of December 31, 2018, $0.4 million of total unrecognized compensation costs related to non-vested restricted stock units to be recognized over a weighted average period of 1.42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status of stock options at December 31, 2018, and the changes during the three years then ended,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3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January 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2,693,237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4,407,983</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(100,480)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(767,590)</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8.12</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2,188,800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(1,011,284)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(1,338,298)</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6,072,368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2,960,620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14.73</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(1,336,514)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(807,187)</w:t>
            </w: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10.04</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6,889,287</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8.30 years</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7,186</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7.56 years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3,118,910</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7.88</w:t>
            </w:r>
          </w:p>
        </w:tc>
        <w:tc>
          <w:tcPr>
            <w:tcW w:w="22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4,745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20" w:firstLine="492"/>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expenses related to stock options of $19.8 million, $10.9 million and $16.5 million for the years ended December 31, 2018, 2017 and 2016, respectively. As of December 31, 2018, there was $35.0 million of total unrecognized compensation expenses related to non-vested employee options to be recognized over a weighted average period of 1.82 years.</w:t>
      </w:r>
    </w:p>
    <w:p>
      <w:pPr>
        <w:spacing w:after="0" w:line="176"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for employee options granted under the Company's stock option plans during the years ended December 31, 2018, 2017 and 2016 was $14.44, $6.58, and $6.78 per option respectively.</w:t>
      </w:r>
    </w:p>
    <w:p>
      <w:pPr>
        <w:spacing w:after="0" w:line="162" w:lineRule="exact"/>
        <w:rPr>
          <w:sz w:val="20"/>
          <w:szCs w:val="20"/>
          <w:color w:val="auto"/>
        </w:rPr>
      </w:pPr>
    </w:p>
    <w:p>
      <w:pPr>
        <w:jc w:val="both"/>
        <w:ind w:right="120" w:firstLine="492"/>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reflects the total pre-tax intrinsic value (the difference between the Company’s closing stock price on the last trading day of the year ended December 31, 2018 and the exercise price of the options, multiplied by the number of in-the-money stock options) that would have been received by the option holders had all option holders exercised their options on December 31, 2018. The intrinsic value of the Company’s stock options changes based on the closing price of the Company’s common stock.</w:t>
      </w:r>
    </w:p>
    <w:p>
      <w:pPr>
        <w:spacing w:after="0" w:line="180" w:lineRule="exact"/>
        <w:rPr>
          <w:sz w:val="20"/>
          <w:szCs w:val="20"/>
          <w:color w:val="auto"/>
        </w:rPr>
      </w:pPr>
    </w:p>
    <w:p>
      <w:pPr>
        <w:ind w:right="140" w:firstLine="492"/>
        <w:spacing w:after="0" w:line="282" w:lineRule="auto"/>
        <w:rPr>
          <w:sz w:val="20"/>
          <w:szCs w:val="20"/>
          <w:color w:val="auto"/>
        </w:rPr>
      </w:pPr>
      <w:r>
        <w:rPr>
          <w:rFonts w:ascii="Times New Roman" w:cs="Times New Roman" w:eastAsia="Times New Roman" w:hAnsi="Times New Roman"/>
          <w:sz w:val="18"/>
          <w:szCs w:val="18"/>
          <w:color w:val="auto"/>
        </w:rPr>
        <w:t>The total pre-tax intrinsic value of stock options exercised during the year ended December 31, 2018, 2017 and 2016 were $2.3 million, $2.6 million, and $0.2 million, respectively.</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assumptions relating to options granted pursuant to the Company’s equity incentive plans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- 2.27%</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- 1.72%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- 1.18%</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- 5.13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- 5.07</w:t>
            </w:r>
          </w:p>
        </w:tc>
        <w:tc>
          <w:tcPr>
            <w:tcW w:w="100" w:type="dxa"/>
            <w:vAlign w:val="bottom"/>
            <w:shd w:val="clear" w:color="auto" w:fill="CCEEFF"/>
          </w:tcPr>
          <w:p>
            <w:pPr>
              <w:spacing w:after="0"/>
              <w:rPr>
                <w:sz w:val="18"/>
                <w:szCs w:val="18"/>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200.28%</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- 167.54%</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209.69%</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- 190.46%</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213.60%</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- 189.40%</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Expected Dividend Yield —The Company has never paid dividends and does not expect to pay dividends in the foreseeable future.</w:t>
      </w:r>
    </w:p>
    <w:p>
      <w:pPr>
        <w:spacing w:after="0" w:line="225" w:lineRule="exact"/>
        <w:rPr>
          <w:sz w:val="20"/>
          <w:szCs w:val="20"/>
          <w:color w:val="auto"/>
        </w:rPr>
      </w:pPr>
    </w:p>
    <w:p>
      <w:pPr>
        <w:ind w:right="580" w:firstLine="492"/>
        <w:spacing w:after="0" w:line="282" w:lineRule="auto"/>
        <w:rPr>
          <w:sz w:val="20"/>
          <w:szCs w:val="20"/>
          <w:color w:val="auto"/>
        </w:rPr>
      </w:pPr>
      <w:r>
        <w:rPr>
          <w:rFonts w:ascii="Times New Roman" w:cs="Times New Roman" w:eastAsia="Times New Roman" w:hAnsi="Times New Roman"/>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62" w:lineRule="exact"/>
        <w:rPr>
          <w:sz w:val="20"/>
          <w:szCs w:val="20"/>
          <w:color w:val="auto"/>
        </w:rPr>
      </w:pPr>
    </w:p>
    <w:p>
      <w:pPr>
        <w:ind w:right="400" w:firstLine="492"/>
        <w:spacing w:after="0" w:line="282" w:lineRule="auto"/>
        <w:rPr>
          <w:sz w:val="20"/>
          <w:szCs w:val="20"/>
          <w:color w:val="auto"/>
        </w:rPr>
      </w:pPr>
      <w:r>
        <w:rPr>
          <w:rFonts w:ascii="Times New Roman" w:cs="Times New Roman" w:eastAsia="Times New Roman" w:hAnsi="Times New Roman"/>
          <w:sz w:val="18"/>
          <w:szCs w:val="18"/>
          <w:color w:val="auto"/>
        </w:rPr>
        <w:t>Expected Term —The expected term of the stock option grants was calculated based on historical exercises, cancellations, and forfeitures of stock options and outstanding option shares</w:t>
      </w:r>
    </w:p>
    <w:p>
      <w:pPr>
        <w:spacing w:after="0" w:line="162" w:lineRule="exact"/>
        <w:rPr>
          <w:sz w:val="20"/>
          <w:szCs w:val="20"/>
          <w:color w:val="auto"/>
        </w:rPr>
      </w:pPr>
    </w:p>
    <w:p>
      <w:pPr>
        <w:ind w:right="140" w:firstLine="492"/>
        <w:spacing w:after="0" w:line="282" w:lineRule="auto"/>
        <w:rPr>
          <w:sz w:val="20"/>
          <w:szCs w:val="20"/>
          <w:color w:val="auto"/>
        </w:rPr>
      </w:pPr>
      <w:r>
        <w:rPr>
          <w:rFonts w:ascii="Times New Roman" w:cs="Times New Roman" w:eastAsia="Times New Roman" w:hAnsi="Times New Roman"/>
          <w:sz w:val="18"/>
          <w:szCs w:val="18"/>
          <w:color w:val="auto"/>
        </w:rPr>
        <w:t>Expected Volatility —The expected volatility is based on the historical volatility for the Company's stock over a period equal to the expected terms of the options.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Forfeiture Rate —The Company recognizes forfeitures as they occur.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Each of the inputs discussed above is subjective and generally requires significant management judgment.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outstanding and exercisable stock options as of December 31,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Options Outstanding</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9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1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8"/>
        </w:trPr>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Range of Exercise Prices</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3900" w:type="dxa"/>
            <w:vAlign w:val="bottom"/>
            <w:tcBorders>
              <w:top w:val="single" w:sz="8" w:color="auto"/>
            </w:tcBorders>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$5.05 - $5.87</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1,123,800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743,376</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$7.45</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758,109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473,398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897,625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662,832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$8.17</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804,283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522,596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$9.15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712,500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502,708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3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$9.16 - $13.85</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732,850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$16.25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690,700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81,250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$16.80</w:t>
            </w: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961,420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16.66</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$16.81 - $115.00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206,000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94.01</w:t>
            </w:r>
          </w:p>
        </w:tc>
      </w:tr>
      <w:tr>
        <w:trPr>
          <w:trHeight w:val="230"/>
        </w:trPr>
        <w:tc>
          <w:tcPr>
            <w:tcW w:w="39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$115.01 - 117.00</w:t>
            </w:r>
          </w:p>
        </w:tc>
        <w:tc>
          <w:tcPr>
            <w:tcW w:w="1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117.00</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117.00</w:t>
            </w:r>
          </w:p>
        </w:tc>
      </w:tr>
      <w:tr>
        <w:trPr>
          <w:trHeight w:val="223"/>
        </w:trPr>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6,889,287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3,118,910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0"/>
        </w:trPr>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Awards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common stock awards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140" w:type="dxa"/>
            <w:vAlign w:val="bottom"/>
          </w:tcPr>
          <w:p>
            <w:pPr>
              <w:spacing w:after="0"/>
              <w:rPr>
                <w:sz w:val="18"/>
                <w:szCs w:val="18"/>
                <w:color w:val="auto"/>
              </w:rPr>
            </w:pPr>
          </w:p>
        </w:tc>
      </w:tr>
      <w:tr>
        <w:trPr>
          <w:trHeight w:val="230"/>
        </w:trPr>
        <w:tc>
          <w:tcPr>
            <w:tcW w:w="42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40" w:type="dxa"/>
            <w:vAlign w:val="bottom"/>
          </w:tcPr>
          <w:p>
            <w:pPr>
              <w:spacing w:after="0"/>
              <w:rPr>
                <w:sz w:val="19"/>
                <w:szCs w:val="19"/>
                <w:color w:val="auto"/>
              </w:rPr>
            </w:pPr>
          </w:p>
        </w:tc>
      </w:tr>
      <w:tr>
        <w:trPr>
          <w:trHeight w:val="238"/>
        </w:trPr>
        <w:tc>
          <w:tcPr>
            <w:tcW w:w="42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Share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140" w:type="dxa"/>
            <w:vAlign w:val="bottom"/>
          </w:tcPr>
          <w:p>
            <w:pPr>
              <w:spacing w:after="0"/>
              <w:rPr>
                <w:sz w:val="20"/>
                <w:szCs w:val="20"/>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January 1, 2016</w:t>
            </w:r>
          </w:p>
        </w:tc>
        <w:tc>
          <w:tcPr>
            <w:tcW w:w="30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321,252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(274,167)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w:t>
            </w:r>
          </w:p>
        </w:tc>
        <w:tc>
          <w:tcPr>
            <w:tcW w:w="114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w:t>
            </w:r>
          </w:p>
        </w:tc>
        <w:tc>
          <w:tcPr>
            <w:tcW w:w="1140" w:type="dxa"/>
            <w:vAlign w:val="bottom"/>
          </w:tcPr>
          <w:p>
            <w:pPr>
              <w:spacing w:after="0"/>
              <w:rPr>
                <w:sz w:val="19"/>
                <w:szCs w:val="19"/>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2016</w:t>
            </w:r>
          </w:p>
        </w:tc>
        <w:tc>
          <w:tcPr>
            <w:tcW w:w="30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5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2017</w:t>
            </w:r>
          </w:p>
        </w:tc>
        <w:tc>
          <w:tcPr>
            <w:tcW w:w="4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2018</w:t>
            </w: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42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3"/>
          </w:tcPr>
          <w:p>
            <w:pPr>
              <w:jc w:val="right"/>
              <w:ind w:right="2820"/>
              <w:spacing w:after="0"/>
              <w:rPr>
                <w:sz w:val="20"/>
                <w:szCs w:val="20"/>
                <w:color w:val="auto"/>
              </w:rPr>
            </w:pPr>
            <w:r>
              <w:rPr>
                <w:rFonts w:ascii="Times New Roman" w:cs="Times New Roman" w:eastAsia="Times New Roman" w:hAnsi="Times New Roman"/>
                <w:sz w:val="18"/>
                <w:szCs w:val="18"/>
                <w:color w:val="auto"/>
              </w:rPr>
              <w:t>F-19</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right="140" w:firstLine="492"/>
        <w:spacing w:after="0" w:line="266" w:lineRule="auto"/>
        <w:rPr>
          <w:sz w:val="20"/>
          <w:szCs w:val="20"/>
          <w:color w:val="auto"/>
        </w:rPr>
      </w:pPr>
      <w:r>
        <w:rPr>
          <w:rFonts w:ascii="Times New Roman" w:cs="Times New Roman" w:eastAsia="Times New Roman" w:hAnsi="Times New Roman"/>
          <w:sz w:val="18"/>
          <w:szCs w:val="18"/>
          <w:color w:val="auto"/>
        </w:rPr>
        <w:t>There were no unvested restricted common stock awards as of December 31, 2018 and 2017. During the year ended December 31, 2018 and 2017, no expense was recognized in connection with these awards. During the year ended December 31, 2016, the Company recorded compensation expenses of $1.0 million in connection with these awards.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NOTE.7 EMPLOYEE BENEFIT PLAN</w:t>
      </w:r>
    </w:p>
    <w:p>
      <w:pPr>
        <w:spacing w:after="0" w:line="229"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plan covering substantially all U.S. employees under Section 401(k) of the Internal Revenue Code of 1986, as amended (the “IRC”). The Company's matching contribution to the plan were $0.5 million, $0.3 million, and $0.1 million for the years ended December 31, 2018,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SEPARATION AGREEMENTS</w:t>
      </w:r>
    </w:p>
    <w:p>
      <w:pPr>
        <w:spacing w:after="0" w:line="229"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In June 2016, the Company entered into a separation agreement with Dr. Elma Hawkins, its former Chief Executive Officer. Under the terms of the agreement, Dr. Hawkins vesting was accelerated on certain outstanding options and she was entitled to receive a severance payment of approximately $0.5 million. The Company recorded approximately $5.0 million in additional share-based compensation expense related to this acceleration of the equity awards during the year ended December 31, 2016.</w:t>
      </w:r>
    </w:p>
    <w:p>
      <w:pPr>
        <w:spacing w:after="0" w:line="180" w:lineRule="exact"/>
        <w:rPr>
          <w:sz w:val="20"/>
          <w:szCs w:val="20"/>
          <w:color w:val="auto"/>
        </w:rPr>
      </w:pPr>
    </w:p>
    <w:p>
      <w:pPr>
        <w:ind w:right="240" w:firstLine="492"/>
        <w:spacing w:after="0" w:line="258" w:lineRule="auto"/>
        <w:rPr>
          <w:sz w:val="20"/>
          <w:szCs w:val="20"/>
          <w:color w:val="auto"/>
        </w:rPr>
      </w:pPr>
      <w:r>
        <w:rPr>
          <w:rFonts w:ascii="Times New Roman" w:cs="Times New Roman" w:eastAsia="Times New Roman" w:hAnsi="Times New Roman"/>
          <w:sz w:val="18"/>
          <w:szCs w:val="18"/>
          <w:color w:val="auto"/>
        </w:rPr>
        <w:t>In July 2016, Molly Henderson, the former Chief Financial Officer provided the Board with written notice under her Employment Agreement, dated June 5, 2015, that she would terminate her employment with the Company for “good reason” effective August 16, 2016. In connection with this event all unvested options were accelerated, and she received a severance payment of approximately $0.4 million, representing one year’s salary. The Company recorded approximately $4.5 million in additional share-based compensation expense related to the acceleration of the equity awards during the year ended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NOTE 9. INCOME TAXES</w:t>
            </w:r>
          </w:p>
        </w:tc>
        <w:tc>
          <w:tcPr>
            <w:tcW w:w="4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deferred tax assets (liabilities) are summarized as follows (in thousands):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operating loss carry forward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56,971</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33,300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Tax credit carry forwards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14,356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9,323</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Reserves and accruals</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78,199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(47,849)</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2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Reconciliation of the effective income tax rate to the U.S. statutory rate is as follows:</w:t>
            </w: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00" w:type="dxa"/>
            <w:vAlign w:val="bottom"/>
            <w:tcBorders>
              <w:bottom w:val="single" w:sz="8" w:color="auto"/>
            </w:tcBorders>
            <w:gridSpan w:val="8"/>
          </w:tcPr>
          <w:p>
            <w:pPr>
              <w:ind w:left="116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Orphan Drug &amp; Research credits</w:t>
            </w: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and other differences</w:t>
            </w:r>
          </w:p>
        </w:tc>
        <w:tc>
          <w:tcPr>
            <w:tcW w:w="1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5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720" w:type="dxa"/>
            <w:vAlign w:val="bottom"/>
            <w:vMerge w:val="restart"/>
          </w:tcPr>
          <w:p>
            <w:pPr>
              <w:ind w:left="3420"/>
              <w:spacing w:after="0"/>
              <w:rPr>
                <w:sz w:val="20"/>
                <w:szCs w:val="20"/>
                <w:color w:val="auto"/>
              </w:rPr>
            </w:pPr>
            <w:r>
              <w:rPr>
                <w:rFonts w:ascii="Times New Roman" w:cs="Times New Roman" w:eastAsia="Times New Roman" w:hAnsi="Times New Roman"/>
                <w:sz w:val="18"/>
                <w:szCs w:val="18"/>
                <w:color w:val="auto"/>
              </w:rPr>
              <w:t>F-20</w:t>
            </w: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 (in thousands):</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(3,007)</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6,447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22,057</w:t>
            </w:r>
          </w:p>
        </w:tc>
        <w:tc>
          <w:tcPr>
            <w:tcW w:w="80" w:type="dxa"/>
            <w:vAlign w:val="bottom"/>
            <w:shd w:val="clear" w:color="auto" w:fill="CCEEFF"/>
          </w:tcPr>
          <w:p>
            <w:pPr>
              <w:spacing w:after="0"/>
              <w:rPr>
                <w:sz w:val="19"/>
                <w:szCs w:val="19"/>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right="20" w:firstLine="492"/>
        <w:spacing w:after="0" w:line="266" w:lineRule="auto"/>
        <w:rPr>
          <w:sz w:val="20"/>
          <w:szCs w:val="20"/>
          <w:color w:val="auto"/>
        </w:rPr>
      </w:pPr>
      <w:r>
        <w:rPr>
          <w:rFonts w:ascii="Times New Roman" w:cs="Times New Roman" w:eastAsia="Times New Roman" w:hAnsi="Times New Roman"/>
          <w:sz w:val="18"/>
          <w:szCs w:val="18"/>
          <w:color w:val="auto"/>
        </w:rPr>
        <w:t>The Company had net operating loss carryovers (“NOLs”) for federal and state income tax purposes of approximately $251.5 million and $88.9 million, respectively, as of December 31, 2018. $142.4 million of federal NOLs will expire beginning in 2027, while $109 million generated after Tax Reform will have an indefinite life. The state NOLs will expire if unused in years 2031 through 2038.</w:t>
      </w:r>
    </w:p>
    <w:p>
      <w:pPr>
        <w:spacing w:after="0" w:line="176"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The Company’s utilization of NOLs is subject to an annual limitation due to ownership changes that have occurred previously or that could occur in the future as provided in Section 382 of the IRC (“Section 382”),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an ownership change as defined by Section 382, and could result in an ownership change in the future upon subsequent disposition.</w:t>
      </w:r>
    </w:p>
    <w:p>
      <w:pPr>
        <w:spacing w:after="0" w:line="184" w:lineRule="exact"/>
        <w:rPr>
          <w:sz w:val="20"/>
          <w:szCs w:val="20"/>
          <w:color w:val="auto"/>
        </w:rPr>
      </w:pPr>
    </w:p>
    <w:p>
      <w:pPr>
        <w:ind w:right="140" w:firstLine="492"/>
        <w:spacing w:after="0" w:line="256" w:lineRule="auto"/>
        <w:rPr>
          <w:sz w:val="20"/>
          <w:szCs w:val="20"/>
          <w:color w:val="auto"/>
        </w:rPr>
      </w:pPr>
      <w:r>
        <w:rPr>
          <w:rFonts w:ascii="Times New Roman" w:cs="Times New Roman" w:eastAsia="Times New Roman" w:hAnsi="Times New Roman"/>
          <w:sz w:val="18"/>
          <w:szCs w:val="18"/>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In accordance with the Act, the Company recorded a reduction of $20.8 million to the Company’s deferred tax assets, and a corresponding decrease of the same amount in the valuation allowance against these deferred tax assets in the fourth quarter of 2017. The Company concluded the tax accounting consideration associated with the Act and no material adjustments were recorded in 2018.</w:t>
      </w:r>
    </w:p>
    <w:p>
      <w:pPr>
        <w:spacing w:after="0" w:line="188"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 December 31, 2018, 2017 and 2016, the change in the valuation allowance was approximately $30.3 million, 6.4 million, and $22.1 million, respectively.</w:t>
      </w:r>
    </w:p>
    <w:p>
      <w:pPr>
        <w:spacing w:after="0" w:line="189"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 reduced) for unrecognized tax benefit because it represents an enterprise’s potential future obligation to the taxing authority for a tax position that was not recognized as a result of applying the provisions of ASC 740.</w:t>
      </w:r>
    </w:p>
    <w:p>
      <w:pPr>
        <w:spacing w:after="0" w:line="189" w:lineRule="exact"/>
        <w:rPr>
          <w:sz w:val="20"/>
          <w:szCs w:val="20"/>
          <w:color w:val="auto"/>
        </w:rPr>
      </w:pPr>
    </w:p>
    <w:p>
      <w:pPr>
        <w:jc w:val="both"/>
        <w:ind w:right="60" w:firstLine="492"/>
        <w:spacing w:after="0" w:line="266" w:lineRule="auto"/>
        <w:rPr>
          <w:sz w:val="20"/>
          <w:szCs w:val="20"/>
          <w:color w:val="auto"/>
        </w:rPr>
      </w:pPr>
      <w:r>
        <w:rPr>
          <w:rFonts w:ascii="Times New Roman" w:cs="Times New Roman" w:eastAsia="Times New Roman" w:hAnsi="Times New Roman"/>
          <w:sz w:val="18"/>
          <w:szCs w:val="18"/>
          <w:color w:val="auto"/>
        </w:rPr>
        <w:t>If applicable, interest costs related to the unrecognized tax benefits are required to be calculated and would be classified as income tax expenses in the consolidated statement of operations. Penalties would be recognized as a component of “General and Administrative Expenses” in the consolidated statement of operations.</w:t>
      </w:r>
    </w:p>
    <w:p>
      <w:pPr>
        <w:spacing w:after="0" w:line="176" w:lineRule="exact"/>
        <w:rPr>
          <w:sz w:val="20"/>
          <w:szCs w:val="20"/>
          <w:color w:val="auto"/>
        </w:rPr>
      </w:pPr>
    </w:p>
    <w:p>
      <w:pPr>
        <w:ind w:right="20" w:firstLine="492"/>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during the years ended December 31, 2018, 2017 and 2016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4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27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4,111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decreases - prior period tax positions</w:t>
            </w:r>
          </w:p>
        </w:tc>
        <w:tc>
          <w:tcPr>
            <w:tcW w:w="2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 current period tax positions</w:t>
            </w:r>
          </w:p>
        </w:tc>
        <w:tc>
          <w:tcPr>
            <w:tcW w:w="27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2,115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1,331</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27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6,344</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642"/>
        </w:trPr>
        <w:tc>
          <w:tcPr>
            <w:tcW w:w="43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1953"/>
              <w:spacing w:after="0"/>
              <w:rPr>
                <w:sz w:val="20"/>
                <w:szCs w:val="20"/>
                <w:color w:val="auto"/>
              </w:rPr>
            </w:pPr>
            <w:r>
              <w:rPr>
                <w:rFonts w:ascii="Times New Roman" w:cs="Times New Roman" w:eastAsia="Times New Roman" w:hAnsi="Times New Roman"/>
                <w:sz w:val="18"/>
                <w:szCs w:val="18"/>
                <w:color w:val="auto"/>
              </w:rPr>
              <w:t>F-21</w:t>
            </w: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103"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00" w:firstLine="492"/>
        <w:spacing w:after="0" w:line="282" w:lineRule="auto"/>
        <w:rPr>
          <w:sz w:val="20"/>
          <w:szCs w:val="20"/>
          <w:color w:val="auto"/>
        </w:rPr>
      </w:pPr>
      <w:r>
        <w:rPr>
          <w:rFonts w:ascii="Times New Roman" w:cs="Times New Roman" w:eastAsia="Times New Roman" w:hAnsi="Times New Roman"/>
          <w:sz w:val="18"/>
          <w:szCs w:val="18"/>
          <w:color w:val="auto"/>
        </w:rPr>
        <w:t>No interest or penalties on unpaid tax were recorded during the years ended December 31, 2018, 2017 and 2016, respectively. The Company does not anticipate any significant changes within 12 months of this reporting date of its uncertain tax positions.</w:t>
      </w:r>
    </w:p>
    <w:p>
      <w:pPr>
        <w:spacing w:after="0" w:line="162" w:lineRule="exact"/>
        <w:rPr>
          <w:sz w:val="20"/>
          <w:szCs w:val="20"/>
          <w:color w:val="auto"/>
        </w:rPr>
      </w:pPr>
    </w:p>
    <w:p>
      <w:pPr>
        <w:ind w:right="340" w:firstLine="492"/>
        <w:spacing w:after="0" w:line="266" w:lineRule="auto"/>
        <w:rPr>
          <w:sz w:val="20"/>
          <w:szCs w:val="20"/>
          <w:color w:val="auto"/>
        </w:rPr>
      </w:pPr>
      <w:r>
        <w:rPr>
          <w:rFonts w:ascii="Times New Roman" w:cs="Times New Roman" w:eastAsia="Times New Roman" w:hAnsi="Times New Roman"/>
          <w:sz w:val="18"/>
          <w:szCs w:val="18"/>
          <w:color w:val="auto"/>
        </w:rPr>
        <w:t>The Company files tax returns in the U.S. federal and state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LICENSES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(NIH) and the National Cancer Institute (NCI)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w:t>
      </w:r>
    </w:p>
    <w:p>
      <w:pPr>
        <w:spacing w:after="0" w:line="227" w:lineRule="exact"/>
        <w:rPr>
          <w:sz w:val="20"/>
          <w:szCs w:val="20"/>
          <w:color w:val="auto"/>
        </w:rPr>
      </w:pPr>
    </w:p>
    <w:p>
      <w:pPr>
        <w:ind w:right="1100" w:firstLine="492"/>
        <w:spacing w:after="0" w:line="282"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62" w:lineRule="exact"/>
        <w:rPr>
          <w:sz w:val="20"/>
          <w:szCs w:val="20"/>
          <w:color w:val="auto"/>
        </w:rPr>
      </w:pPr>
    </w:p>
    <w:p>
      <w:pPr>
        <w:ind w:right="140" w:firstLine="492"/>
        <w:spacing w:after="0" w:line="266" w:lineRule="auto"/>
        <w:rPr>
          <w:sz w:val="20"/>
          <w:szCs w:val="20"/>
          <w:color w:val="auto"/>
        </w:rPr>
      </w:pPr>
      <w:r>
        <w:rPr>
          <w:rFonts w:ascii="Times New Roman" w:cs="Times New Roman" w:eastAsia="Times New Roman" w:hAnsi="Times New Roman"/>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76"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4" w:lineRule="exact"/>
        <w:rPr>
          <w:sz w:val="20"/>
          <w:szCs w:val="20"/>
          <w:color w:val="auto"/>
        </w:rPr>
      </w:pPr>
    </w:p>
    <w:p>
      <w:pPr>
        <w:ind w:firstLine="537"/>
        <w:spacing w:after="0" w:line="255" w:lineRule="auto"/>
        <w:rPr>
          <w:sz w:val="20"/>
          <w:szCs w:val="20"/>
          <w:color w:val="auto"/>
        </w:rPr>
      </w:pPr>
      <w:r>
        <w:rPr>
          <w:rFonts w:ascii="Times New Roman" w:cs="Times New Roman" w:eastAsia="Times New Roman" w:hAnsi="Times New Roman"/>
          <w:sz w:val="18"/>
          <w:szCs w:val="18"/>
          <w:color w:val="auto"/>
        </w:rPr>
        <w:t>Pursuant to the terms of the CRADA, as amended, the Company is required to make quarterly payments of $0.5 million to the NCI for support of research activities. To the extent the Company licenses patent rights relating to a TIL-based product candidate under this agreement,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$2.0 million, $2.0 million, and $1.8 million for the years ended December 31, 2018, 2017 and 2016, respectively, as research and development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w:t>
      </w:r>
    </w:p>
    <w:p>
      <w:pPr>
        <w:spacing w:after="0" w:line="227" w:lineRule="exact"/>
        <w:rPr>
          <w:sz w:val="20"/>
          <w:szCs w:val="20"/>
          <w:color w:val="auto"/>
        </w:rPr>
      </w:pPr>
    </w:p>
    <w:p>
      <w:pPr>
        <w:ind w:firstLine="492"/>
        <w:spacing w:after="0" w:line="272" w:lineRule="auto"/>
        <w:rPr>
          <w:sz w:val="20"/>
          <w:szCs w:val="20"/>
          <w:color w:val="auto"/>
        </w:rPr>
      </w:pPr>
      <w:r>
        <w:rPr>
          <w:rFonts w:ascii="Times New Roman" w:cs="Times New Roman" w:eastAsia="Times New Roman" w:hAnsi="Times New Roman"/>
          <w:sz w:val="17"/>
          <w:szCs w:val="17"/>
          <w:color w:val="auto"/>
        </w:rPr>
        <w:t>Effective October 5, 2011, the Company entered into an Exclusive Patent License Agreement (the “Exclusive Patent License Agreement”) with the NIH, an agency of the United States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Unless terminated sooner, the license shall remain in effect until the last licensed patent right expires.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227" w:lineRule="exact"/>
        <w:rPr>
          <w:sz w:val="20"/>
          <w:szCs w:val="20"/>
          <w:color w:val="auto"/>
        </w:rPr>
      </w:pPr>
    </w:p>
    <w:p>
      <w:pPr>
        <w:ind w:right="180" w:firstLine="492"/>
        <w:spacing w:after="0" w:line="261" w:lineRule="auto"/>
        <w:rPr>
          <w:sz w:val="20"/>
          <w:szCs w:val="20"/>
          <w:color w:val="auto"/>
        </w:rPr>
      </w:pPr>
      <w:r>
        <w:rPr>
          <w:rFonts w:ascii="Times New Roman" w:cs="Times New Roman" w:eastAsia="Times New Roman" w:hAnsi="Times New Roman"/>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0" w:lineRule="exact"/>
        <w:rPr>
          <w:sz w:val="20"/>
          <w:szCs w:val="20"/>
          <w:color w:val="auto"/>
        </w:rPr>
      </w:pPr>
    </w:p>
    <w:p>
      <w:pPr>
        <w:ind w:firstLine="492"/>
        <w:spacing w:after="0" w:line="258" w:lineRule="auto"/>
        <w:rPr>
          <w:sz w:val="20"/>
          <w:szCs w:val="20"/>
          <w:color w:val="auto"/>
        </w:rPr>
      </w:pPr>
      <w:r>
        <w:rPr>
          <w:rFonts w:ascii="Times New Roman" w:cs="Times New Roman" w:eastAsia="Times New Roman" w:hAnsi="Times New Roman"/>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Lee Moffitt Cancer Center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Clinical Grant Agreements with Moffitt</w:t>
      </w:r>
    </w:p>
    <w:p>
      <w:pPr>
        <w:spacing w:after="0" w:line="227" w:lineRule="exact"/>
        <w:rPr>
          <w:sz w:val="20"/>
          <w:szCs w:val="20"/>
          <w:color w:val="auto"/>
        </w:rPr>
      </w:pPr>
    </w:p>
    <w:p>
      <w:pPr>
        <w:ind w:firstLine="531"/>
        <w:spacing w:after="0" w:line="255" w:lineRule="auto"/>
        <w:rPr>
          <w:sz w:val="20"/>
          <w:szCs w:val="20"/>
          <w:color w:val="auto"/>
        </w:rPr>
      </w:pPr>
      <w:r>
        <w:rPr>
          <w:rFonts w:ascii="Times New Roman" w:cs="Times New Roman" w:eastAsia="Times New Roman" w:hAnsi="Times New Roman"/>
          <w:sz w:val="18"/>
          <w:szCs w:val="18"/>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In the years ended December 31, 2018, 2017 and 2016, the Company recorded research and development costs of $1.2 million, $1.2 million, and $0.7 million, respectively, in connection with the research collaboration and clinical grant agreements with Moffitt.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Moffitt</w:t>
      </w:r>
    </w:p>
    <w:p>
      <w:pPr>
        <w:spacing w:after="0" w:line="227" w:lineRule="exact"/>
        <w:rPr>
          <w:sz w:val="20"/>
          <w:szCs w:val="20"/>
          <w:color w:val="auto"/>
        </w:rPr>
      </w:pPr>
    </w:p>
    <w:p>
      <w:pPr>
        <w:ind w:right="40" w:firstLine="492"/>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80"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w:t>
      </w:r>
    </w:p>
    <w:p>
      <w:pPr>
        <w:spacing w:after="0" w:line="185" w:lineRule="exact"/>
        <w:rPr>
          <w:sz w:val="20"/>
          <w:szCs w:val="20"/>
          <w:color w:val="auto"/>
        </w:rPr>
      </w:pPr>
    </w:p>
    <w:p>
      <w:pPr>
        <w:ind w:firstLine="492"/>
        <w:spacing w:after="0" w:line="266" w:lineRule="auto"/>
        <w:rPr>
          <w:sz w:val="20"/>
          <w:szCs w:val="20"/>
          <w:color w:val="auto"/>
        </w:rPr>
      </w:pPr>
      <w:r>
        <w:rPr>
          <w:rFonts w:ascii="Times New Roman" w:cs="Times New Roman" w:eastAsia="Times New Roman" w:hAnsi="Times New Roman"/>
          <w:sz w:val="18"/>
          <w:szCs w:val="18"/>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w:t>
      </w:r>
    </w:p>
    <w:p>
      <w:pPr>
        <w:spacing w:after="0" w:line="176" w:lineRule="exact"/>
        <w:rPr>
          <w:sz w:val="20"/>
          <w:szCs w:val="20"/>
          <w:color w:val="auto"/>
        </w:rPr>
      </w:pPr>
    </w:p>
    <w:p>
      <w:pPr>
        <w:ind w:right="160" w:firstLine="492"/>
        <w:spacing w:after="0" w:line="289" w:lineRule="auto"/>
        <w:rPr>
          <w:sz w:val="20"/>
          <w:szCs w:val="20"/>
          <w:color w:val="auto"/>
        </w:rPr>
      </w:pPr>
      <w:r>
        <w:rPr>
          <w:rFonts w:ascii="Times New Roman" w:cs="Times New Roman" w:eastAsia="Times New Roman" w:hAnsi="Times New Roman"/>
          <w:sz w:val="17"/>
          <w:szCs w:val="17"/>
          <w:color w:val="auto"/>
        </w:rPr>
        <w:t>Pursuant to the Second Moffitt License, the Company paid an upfront licensing fee in the amount of $0.1 million for the year ended December 31,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PolyBioCept and Karolinska University Hospital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PolyBioCept Exclusive and Co-Exclusive License Agreement</w:t>
      </w:r>
    </w:p>
    <w:p>
      <w:pPr>
        <w:spacing w:after="0" w:line="227"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TIL produced by expansion, selection and enrichment using a proprietary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89" w:lineRule="exact"/>
        <w:rPr>
          <w:sz w:val="20"/>
          <w:szCs w:val="20"/>
          <w:color w:val="auto"/>
        </w:rPr>
      </w:pPr>
    </w:p>
    <w:p>
      <w:pPr>
        <w:ind w:right="420" w:firstLine="492"/>
        <w:spacing w:after="0" w:line="261" w:lineRule="auto"/>
        <w:rPr>
          <w:sz w:val="20"/>
          <w:szCs w:val="20"/>
          <w:color w:val="auto"/>
        </w:rPr>
      </w:pPr>
      <w:r>
        <w:rPr>
          <w:rFonts w:ascii="Times New Roman" w:cs="Times New Roman" w:eastAsia="Times New Roman" w:hAnsi="Times New Roman"/>
          <w:sz w:val="18"/>
          <w:szCs w:val="18"/>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w:t>
      </w:r>
    </w:p>
    <w:p>
      <w:pPr>
        <w:ind w:right="20"/>
        <w:spacing w:after="0" w:line="261" w:lineRule="auto"/>
        <w:rPr>
          <w:sz w:val="20"/>
          <w:szCs w:val="20"/>
          <w:color w:val="auto"/>
        </w:rPr>
      </w:pPr>
      <w:r>
        <w:rPr>
          <w:rFonts w:ascii="Times New Roman" w:cs="Times New Roman" w:eastAsia="Times New Roman" w:hAnsi="Times New Roman"/>
          <w:sz w:val="18"/>
          <w:szCs w:val="18"/>
          <w:color w:val="auto"/>
        </w:rPr>
        <w:t>achieved, (ii) certain regulatory approvals have been obtained from the FDA and/or the European Medicines Agency, and (iii) certain product sales targets are achieved. The milestone payments will be payable both in cash (U.S. dollars) and in shares of the Company’s common stock.</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1" w:right="25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60" w:firstLine="492"/>
        <w:spacing w:after="0" w:line="256" w:lineRule="auto"/>
        <w:rPr>
          <w:sz w:val="20"/>
          <w:szCs w:val="20"/>
          <w:color w:val="auto"/>
        </w:rPr>
      </w:pPr>
      <w:r>
        <w:rPr>
          <w:rFonts w:ascii="Times New Roman" w:cs="Times New Roman" w:eastAsia="Times New Roman" w:hAnsi="Times New Roman"/>
          <w:sz w:val="18"/>
          <w:szCs w:val="18"/>
          <w:color w:val="auto"/>
        </w:rPr>
        <w:t>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reimbursed PolyBioCept up to $0.2 million in expenses related to the transfer of know-how and paid PolyBioCept $0.1 million as a clinical trials management fee. The PolyBioCept Agreement has an initial term of 30 years and may be extended for additional five-year periods. No expense in connection with this agreement was recorded for the year ended December 31, 2018. The Company recognized $0.2 and $2.7 million in connection with this agreement for the years ended December 31, 2017 and 2016, respectively, as research and development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Karolinska University Hospital and Karolinska Institute Agreements</w:t>
      </w:r>
    </w:p>
    <w:p>
      <w:pPr>
        <w:spacing w:after="0" w:line="22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In the years ended December 31, 2016, the Company paid Karolinska University Hospital $1.6 million under the clinical trials agreement to conduct the clinical trials. As of April 9, 2018, the Company terminated the clinical trials agreement with the Karolinska University Hospital. In June 2018, the Company received a refund of $1.6 million from Karolinska, which was recorded to offset to research and development expenses for the year ended December 31, 2018. The Company recorded a credit of $0.4 million to research and development expenses in the year ended December 31, 2018, and $0.3 million and $0.1 million as research and development expenses in connection with this agreement in the years ended December 31, 2017 and 2016,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M.D. Anderson Cancer Center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Alliance Agreement</w:t>
      </w:r>
    </w:p>
    <w:p>
      <w:pPr>
        <w:spacing w:after="0" w:line="227" w:lineRule="exact"/>
        <w:rPr>
          <w:sz w:val="20"/>
          <w:szCs w:val="20"/>
          <w:color w:val="auto"/>
        </w:rPr>
      </w:pPr>
    </w:p>
    <w:p>
      <w:pPr>
        <w:ind w:right="40" w:firstLine="492"/>
        <w:spacing w:after="0" w:line="254" w:lineRule="auto"/>
        <w:rPr>
          <w:sz w:val="20"/>
          <w:szCs w:val="20"/>
          <w:color w:val="auto"/>
        </w:rPr>
      </w:pPr>
      <w:r>
        <w:rPr>
          <w:rFonts w:ascii="Times New Roman" w:cs="Times New Roman" w:eastAsia="Times New Roman" w:hAnsi="Times New Roman"/>
          <w:sz w:val="18"/>
          <w:szCs w:val="18"/>
          <w:color w:val="auto"/>
        </w:rPr>
        <w:t>In April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will acquire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The Company recorded $0.8 million associated with the MDACC SAA for the year ended December 31, 2018 as research and development expenses. No expense was recognized in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MedImmune</w:t>
      </w:r>
    </w:p>
    <w:p>
      <w:pPr>
        <w:spacing w:after="0" w:line="229" w:lineRule="exact"/>
        <w:rPr>
          <w:sz w:val="20"/>
          <w:szCs w:val="20"/>
          <w:color w:val="auto"/>
        </w:rPr>
      </w:pPr>
    </w:p>
    <w:p>
      <w:pPr>
        <w:ind w:right="140" w:firstLine="492"/>
        <w:spacing w:after="0" w:line="258" w:lineRule="auto"/>
        <w:rPr>
          <w:sz w:val="20"/>
          <w:szCs w:val="20"/>
          <w:color w:val="auto"/>
        </w:rPr>
      </w:pPr>
      <w:r>
        <w:rPr>
          <w:rFonts w:ascii="Times New Roman" w:cs="Times New Roman" w:eastAsia="Times New Roman" w:hAnsi="Times New Roman"/>
          <w:sz w:val="18"/>
          <w:szCs w:val="18"/>
          <w:color w:val="auto"/>
        </w:rPr>
        <w:t>In December 2015, the Company entered into a collaboration agreement (the “MedImmune Agreement”) with MedImmune, the global biologics research and development arm of AstraZeneca (“MedImmune”), to conduct clinical and preclinical research immuno-oncology. Under the MedImmune Agreement, the Company will fund and conduct at least one clinical trial combining MedImmune's PD-L1 inhibitor, durvalumab, which will be supplied by MedImmune, with TIL for the treatment of patients. MedImmune will supply durvalumab for the clinical trials. The purpose of the studies is to establish a dosing regimen for this combination therapy and assess its safety and efficacy.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WuXi</w:t>
      </w:r>
    </w:p>
    <w:p>
      <w:pPr>
        <w:spacing w:after="0" w:line="229" w:lineRule="exact"/>
        <w:rPr>
          <w:sz w:val="20"/>
          <w:szCs w:val="20"/>
          <w:color w:val="auto"/>
        </w:rPr>
      </w:pPr>
    </w:p>
    <w:p>
      <w:pPr>
        <w:ind w:firstLine="492"/>
        <w:spacing w:after="0" w:line="253" w:lineRule="auto"/>
        <w:rPr>
          <w:sz w:val="20"/>
          <w:szCs w:val="20"/>
          <w:color w:val="auto"/>
        </w:rPr>
      </w:pPr>
      <w:r>
        <w:rPr>
          <w:rFonts w:ascii="Times New Roman" w:cs="Times New Roman" w:eastAsia="Times New Roman" w:hAnsi="Times New Roman"/>
          <w:sz w:val="18"/>
          <w:szCs w:val="18"/>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one of the suites is expected to be capable of being used for the commercial manufacture of our products. The statements of work for each facility include a fixed component to reserve a dedicated suite and a variable component, mainly labor and materials used during the manufacturing process. The fee payable under the first statement of work for the use of one of the manufacturing suites during the first year of the agreement, including the fees for the necessary personnel, was $2.5 million. The second statement of work, under which WuXi agreed to establish and operate a second, dedicated facility for a late stage/commercial manufacturing cGMP suite requires the Company to pay approximately $5.85 million during the first year of the agreement. The Company and WuXi have extended the term of the related statements of work until May 2020. The Company and WuXi have extended the term of the related statements of work until May 2020. The Company recorded costs associated with agreements with WuXi of $15.1 million, $13.9 million, and $1.3 million for the years ended December 31, 2018, 2017, and 2016 respectively, as research and development expenses.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0" w:right="27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Tampa Lease</w:t>
      </w:r>
    </w:p>
    <w:p>
      <w:pPr>
        <w:spacing w:after="0" w:line="227"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80" w:lineRule="exact"/>
        <w:rPr>
          <w:sz w:val="20"/>
          <w:szCs w:val="20"/>
          <w:color w:val="auto"/>
        </w:rPr>
      </w:pPr>
    </w:p>
    <w:p>
      <w:pPr>
        <w:ind w:right="360" w:firstLine="492"/>
        <w:spacing w:after="0" w:line="266" w:lineRule="auto"/>
        <w:rPr>
          <w:sz w:val="20"/>
          <w:szCs w:val="20"/>
          <w:color w:val="auto"/>
        </w:rPr>
      </w:pPr>
      <w:r>
        <w:rPr>
          <w:rFonts w:ascii="Times New Roman" w:cs="Times New Roman" w:eastAsia="Times New Roman" w:hAnsi="Times New Roman"/>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The lease expires in December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 Carlos Lease</w:t>
      </w:r>
    </w:p>
    <w:p>
      <w:pPr>
        <w:spacing w:after="0" w:line="227" w:lineRule="exact"/>
        <w:rPr>
          <w:sz w:val="20"/>
          <w:szCs w:val="20"/>
          <w:color w:val="auto"/>
        </w:rPr>
      </w:pPr>
    </w:p>
    <w:p>
      <w:pPr>
        <w:ind w:right="280" w:firstLine="492"/>
        <w:spacing w:after="0" w:line="282" w:lineRule="auto"/>
        <w:rPr>
          <w:sz w:val="20"/>
          <w:szCs w:val="20"/>
          <w:color w:val="auto"/>
        </w:rPr>
      </w:pPr>
      <w:r>
        <w:rPr>
          <w:rFonts w:ascii="Times New Roman" w:cs="Times New Roman" w:eastAsia="Times New Roman" w:hAnsi="Times New Roman"/>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62" w:lineRule="exact"/>
        <w:rPr>
          <w:sz w:val="20"/>
          <w:szCs w:val="20"/>
          <w:color w:val="auto"/>
        </w:rPr>
      </w:pPr>
    </w:p>
    <w:p>
      <w:pPr>
        <w:ind w:right="100" w:firstLine="492"/>
        <w:spacing w:after="0" w:line="261" w:lineRule="auto"/>
        <w:rPr>
          <w:sz w:val="20"/>
          <w:szCs w:val="20"/>
          <w:color w:val="auto"/>
        </w:rPr>
      </w:pPr>
      <w:r>
        <w:rPr>
          <w:rFonts w:ascii="Times New Roman" w:cs="Times New Roman" w:eastAsia="Times New Roman" w:hAnsi="Times New Roman"/>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80" w:lineRule="exact"/>
        <w:rPr>
          <w:sz w:val="20"/>
          <w:szCs w:val="20"/>
          <w:color w:val="auto"/>
        </w:rPr>
      </w:pPr>
    </w:p>
    <w:p>
      <w:pPr>
        <w:ind w:right="160" w:firstLine="492"/>
        <w:spacing w:after="0" w:line="261" w:lineRule="auto"/>
        <w:rPr>
          <w:sz w:val="20"/>
          <w:szCs w:val="20"/>
          <w:color w:val="auto"/>
        </w:rPr>
      </w:pPr>
      <w:r>
        <w:rPr>
          <w:rFonts w:ascii="Times New Roman" w:cs="Times New Roman" w:eastAsia="Times New Roman" w:hAnsi="Times New Roman"/>
          <w:sz w:val="18"/>
          <w:szCs w:val="18"/>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Lease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leased office space in New York for a monthly rental of approximately $18,000 a month from January 2017 through July 2017. On June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2017, the Company entered into an agreement whereby the Company will lease office space from August 1, 2017 to July 31, 2018, for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 a month. On April 20, 2018, the Company entered into an agreement to extend the lease term to January 31, 2019 for approximately $7,000 a month.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2, 2018, the Company entered into an agreement to extend the lease term to July 31, 2019 for approximately $4,000 a month.</w:t>
      </w:r>
    </w:p>
    <w:p>
      <w:pPr>
        <w:spacing w:after="0" w:line="207" w:lineRule="exact"/>
        <w:rPr>
          <w:sz w:val="20"/>
          <w:szCs w:val="20"/>
          <w:color w:val="auto"/>
        </w:rPr>
      </w:pPr>
    </w:p>
    <w:p>
      <w:pPr>
        <w:ind w:right="40" w:firstLine="492"/>
        <w:spacing w:after="0" w:line="282" w:lineRule="auto"/>
        <w:rPr>
          <w:sz w:val="20"/>
          <w:szCs w:val="20"/>
          <w:color w:val="auto"/>
        </w:rPr>
      </w:pPr>
      <w:r>
        <w:rPr>
          <w:rFonts w:ascii="Times New Roman" w:cs="Times New Roman" w:eastAsia="Times New Roman" w:hAnsi="Times New Roman"/>
          <w:sz w:val="18"/>
          <w:szCs w:val="18"/>
          <w:color w:val="auto"/>
        </w:rPr>
        <w:t>The Company recognizes rental expense on the facilities on a straight-line basis over the lease term. Differences between the straight-line rent expense and rent payments are classified as deferred rent liability on the balance sheet.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Rent expense for the years ended December 31, 2018, 2017 and 2016 was $1.0 million, $1.0 million, and $0.7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Organizations</w:t>
      </w:r>
    </w:p>
    <w:p>
      <w:pPr>
        <w:spacing w:after="0" w:line="227"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color w:val="auto"/>
        </w:rPr>
        <w:t>The Company uses contract manufacturing organizations (CMOs) for its clinical production and manufacturing activities. In conjunction with the adoption of Topic 842 on January 1, 2019, the Company reevaluated all of its material contracts it has, to determine whether they contain a lease under the current lease guidance ASC 840. An arrangement is considered a lease or contains a lease if an underlying asset is explicitly or implicitly identified and use of the asset is controlled by the customer. Based on the evaluation, the Company concluded that all of its contracts with CMOs contained embedded operating leases, in addition to other CMO fixed contractual obligations, because the facilities used for its production are implicitly identified,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directing the use of the facilities throughout the period of use. Under the current lease guidance, embedded leases are off-balance sheet operating leases and, as such, application of lease accounting did not have any impact on the balance sheet as of December 31, 2018 and 2017. However, they are reflected in the commitments tables below.</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2018, the Company's future minimum lease payments under non-cancelable operating leases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6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gridSpan w:val="2"/>
          </w:tcPr>
          <w:p>
            <w:pPr>
              <w:spacing w:after="0"/>
              <w:rPr>
                <w:sz w:val="19"/>
                <w:szCs w:val="19"/>
                <w:color w:val="auto"/>
              </w:rPr>
            </w:pPr>
          </w:p>
        </w:tc>
      </w:tr>
      <w:tr>
        <w:trPr>
          <w:trHeight w:val="210"/>
        </w:trPr>
        <w:tc>
          <w:tcPr>
            <w:tcW w:w="2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Facility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CMO contractual obligations</w:t>
            </w:r>
          </w:p>
        </w:tc>
        <w:tc>
          <w:tcPr>
            <w:tcW w:w="2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28,587</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17,992</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2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2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31,601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20" w:type="dxa"/>
            <w:vAlign w:val="bottom"/>
          </w:tcPr>
          <w:p>
            <w:pPr>
              <w:spacing w:after="0"/>
              <w:rPr>
                <w:sz w:val="21"/>
                <w:szCs w:val="21"/>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firstLine="492"/>
        <w:spacing w:after="0" w:line="282" w:lineRule="auto"/>
        <w:rPr>
          <w:sz w:val="20"/>
          <w:szCs w:val="20"/>
          <w:color w:val="auto"/>
        </w:rPr>
      </w:pPr>
      <w:r>
        <w:rPr>
          <w:rFonts w:ascii="Times New Roman" w:cs="Times New Roman" w:eastAsia="Times New Roman" w:hAnsi="Times New Roman"/>
          <w:sz w:val="18"/>
          <w:szCs w:val="18"/>
          <w:color w:val="auto"/>
        </w:rPr>
        <w:t>Operating lease obligations consist of obligations under non-cancelable operating leases for our facilities in San Carlos, CA, Tampa, FL, and New York, NY.</w:t>
      </w:r>
    </w:p>
    <w:p>
      <w:pPr>
        <w:spacing w:after="0" w:line="162" w:lineRule="exact"/>
        <w:rPr>
          <w:sz w:val="20"/>
          <w:szCs w:val="20"/>
          <w:color w:val="auto"/>
        </w:rPr>
      </w:pPr>
    </w:p>
    <w:p>
      <w:pPr>
        <w:ind w:right="160" w:firstLine="492"/>
        <w:spacing w:after="0" w:line="282" w:lineRule="auto"/>
        <w:rPr>
          <w:sz w:val="20"/>
          <w:szCs w:val="20"/>
          <w:color w:val="auto"/>
        </w:rPr>
      </w:pPr>
      <w:r>
        <w:rPr>
          <w:rFonts w:ascii="Times New Roman" w:cs="Times New Roman" w:eastAsia="Times New Roman" w:hAnsi="Times New Roman"/>
          <w:sz w:val="18"/>
          <w:szCs w:val="18"/>
          <w:color w:val="auto"/>
        </w:rPr>
        <w:t>CMO contractual obligations consist of embedded lease obligations for the manufacturing facilities and minimum fixed commitment fees included in the Company’s manufacturing contracts, such as personnel, general support fee, and minimum production or material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LEGAL PROCEEDINGS</w:t>
      </w:r>
    </w:p>
    <w:p>
      <w:pPr>
        <w:spacing w:after="0" w:line="229" w:lineRule="exact"/>
        <w:rPr>
          <w:sz w:val="20"/>
          <w:szCs w:val="20"/>
          <w:color w:val="auto"/>
        </w:rPr>
      </w:pPr>
    </w:p>
    <w:p>
      <w:pPr>
        <w:ind w:right="40" w:firstLine="492"/>
        <w:spacing w:after="0" w:line="252" w:lineRule="auto"/>
        <w:rPr>
          <w:sz w:val="20"/>
          <w:szCs w:val="20"/>
          <w:color w:val="auto"/>
        </w:rPr>
      </w:pPr>
      <w:r>
        <w:rPr>
          <w:rFonts w:ascii="Times New Roman" w:cs="Times New Roman" w:eastAsia="Times New Roman" w:hAnsi="Times New Roman"/>
          <w:sz w:val="18"/>
          <w:szCs w:val="18"/>
          <w:u w:val="single" w:color="auto"/>
          <w:color w:val="auto"/>
        </w:rPr>
        <w:t>Class Action Lawsuit</w:t>
      </w:r>
      <w:r>
        <w:rPr>
          <w:rFonts w:ascii="Times New Roman" w:cs="Times New Roman" w:eastAsia="Times New Roman" w:hAnsi="Times New Roman"/>
          <w:sz w:val="18"/>
          <w:szCs w:val="18"/>
          <w:color w:val="auto"/>
        </w:rPr>
        <w:t xml:space="preserve">. On April 10, 2017, the SEC announced settlements with the Company and with other public companies and unrelated parties in the </w:t>
      </w:r>
      <w:r>
        <w:rPr>
          <w:rFonts w:ascii="Times New Roman" w:cs="Times New Roman" w:eastAsia="Times New Roman" w:hAnsi="Times New Roman"/>
          <w:sz w:val="18"/>
          <w:szCs w:val="18"/>
          <w:i w:val="1"/>
          <w:iCs w:val="1"/>
          <w:color w:val="auto"/>
        </w:rPr>
        <w:t>In the Matter of Certain Stock Promotion</w:t>
      </w:r>
      <w:r>
        <w:rPr>
          <w:rFonts w:ascii="Times New Roman" w:cs="Times New Roman" w:eastAsia="Times New Roman" w:hAnsi="Times New Roman"/>
          <w:sz w:val="18"/>
          <w:szCs w:val="18"/>
          <w:color w:val="auto"/>
        </w:rPr>
        <w:t xml:space="preserve"> investigation. The Company’s settlement with the SEC is consistent with its previous disclosures (including in our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Times New Roman" w:cs="Times New Roman" w:eastAsia="Times New Roman" w:hAnsi="Times New Roman"/>
          <w:sz w:val="18"/>
          <w:szCs w:val="18"/>
          <w:i w:val="1"/>
          <w:iCs w:val="1"/>
          <w:color w:val="auto"/>
        </w:rPr>
        <w:t>Leonard DeSilvio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et al., </w:t>
      </w:r>
      <w:r>
        <w:rPr>
          <w:rFonts w:ascii="Times New Roman" w:cs="Times New Roman" w:eastAsia="Times New Roman" w:hAnsi="Times New Roman"/>
          <w:sz w:val="18"/>
          <w:szCs w:val="18"/>
          <w:color w:val="auto"/>
        </w:rPr>
        <w:t>case no. 3:17cv2086) against the Company and three of its former officers and directors. On April 19, 2017, a second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action complaint </w:t>
      </w:r>
      <w:r>
        <w:rPr>
          <w:rFonts w:ascii="Times New Roman" w:cs="Times New Roman" w:eastAsia="Times New Roman" w:hAnsi="Times New Roman"/>
          <w:sz w:val="18"/>
          <w:szCs w:val="18"/>
          <w:i w:val="1"/>
          <w:iCs w:val="1"/>
          <w:color w:val="auto"/>
        </w:rPr>
        <w:t>(Amra Kuc vs. Lion Biotechnologies, Inc., et al.,</w:t>
      </w:r>
      <w:r>
        <w:rPr>
          <w:rFonts w:ascii="Times New Roman" w:cs="Times New Roman" w:eastAsia="Times New Roman" w:hAnsi="Times New Roman"/>
          <w:sz w:val="18"/>
          <w:szCs w:val="18"/>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its former investor relations firm that were the subject of the </w:t>
      </w:r>
      <w:r>
        <w:rPr>
          <w:rFonts w:ascii="Times New Roman" w:cs="Times New Roman" w:eastAsia="Times New Roman" w:hAnsi="Times New Roman"/>
          <w:sz w:val="18"/>
          <w:szCs w:val="18"/>
          <w:i w:val="1"/>
          <w:iCs w:val="1"/>
          <w:color w:val="auto"/>
        </w:rPr>
        <w:t>In the Matter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Promotions </w:t>
      </w:r>
      <w:r>
        <w:rPr>
          <w:rFonts w:ascii="Times New Roman" w:cs="Times New Roman" w:eastAsia="Times New Roman" w:hAnsi="Times New Roman"/>
          <w:sz w:val="18"/>
          <w:szCs w:val="18"/>
          <w:color w:val="auto"/>
        </w:rPr>
        <w:t>investigation. On July 20, 2017, the plaintiff in the</w:t>
      </w:r>
      <w:r>
        <w:rPr>
          <w:rFonts w:ascii="Times New Roman" w:cs="Times New Roman" w:eastAsia="Times New Roman" w:hAnsi="Times New Roman"/>
          <w:sz w:val="18"/>
          <w:szCs w:val="18"/>
          <w:i w:val="1"/>
          <w:iCs w:val="1"/>
          <w:color w:val="auto"/>
        </w:rPr>
        <w:t xml:space="preserve"> Kuc </w:t>
      </w:r>
      <w:r>
        <w:rPr>
          <w:rFonts w:ascii="Times New Roman" w:cs="Times New Roman" w:eastAsia="Times New Roman" w:hAnsi="Times New Roman"/>
          <w:sz w:val="18"/>
          <w:szCs w:val="18"/>
          <w:color w:val="auto"/>
        </w:rPr>
        <w:t>case filed a notice to voluntarily dismiss that case. The court entered an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dismissing the </w:t>
      </w:r>
      <w:r>
        <w:rPr>
          <w:rFonts w:ascii="Times New Roman" w:cs="Times New Roman" w:eastAsia="Times New Roman" w:hAnsi="Times New Roman"/>
          <w:sz w:val="18"/>
          <w:szCs w:val="18"/>
          <w:i w:val="1"/>
          <w:iCs w:val="1"/>
          <w:color w:val="auto"/>
        </w:rPr>
        <w:t>Kuc</w:t>
      </w:r>
      <w:r>
        <w:rPr>
          <w:rFonts w:ascii="Times New Roman" w:cs="Times New Roman" w:eastAsia="Times New Roman" w:hAnsi="Times New Roman"/>
          <w:sz w:val="18"/>
          <w:szCs w:val="18"/>
          <w:color w:val="auto"/>
        </w:rPr>
        <w:t xml:space="preserve"> complaint on July 21, 2017. On July 26, 2017, the court appointed a movant as lead plaintiff. On September 8, 2017, the lead plaintiff filed an amended complaint (</w:t>
      </w:r>
      <w:r>
        <w:rPr>
          <w:rFonts w:ascii="Times New Roman" w:cs="Times New Roman" w:eastAsia="Times New Roman" w:hAnsi="Times New Roman"/>
          <w:sz w:val="18"/>
          <w:szCs w:val="18"/>
          <w:i w:val="1"/>
          <w:iCs w:val="1"/>
          <w:color w:val="auto"/>
        </w:rPr>
        <w:t>Jay Rabkin v. Lion Biotechnologies, Inc., et al.,</w:t>
      </w:r>
      <w:r>
        <w:rPr>
          <w:rFonts w:ascii="Times New Roman" w:cs="Times New Roman" w:eastAsia="Times New Roman" w:hAnsi="Times New Roman"/>
          <w:sz w:val="18"/>
          <w:szCs w:val="18"/>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its former investor relations firm that were the subject of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SEC investigation. On February 5, 2018, the court entered an order dismissing two of plaintiff’s six claims. As the result of mediation, on September 28, 2018, lead plaintiff filed an unopposed motion for settlement, the cost of which, if approved, is expected to be borne by our insurance carrier and would result in no loss to the Company. The court gave preliminary approval to the proposed settlement on November 30, 2018, and the final hearing is currently scheduled for April 12, 2019.</w:t>
      </w:r>
    </w:p>
    <w:p>
      <w:pPr>
        <w:spacing w:after="0" w:line="195" w:lineRule="exact"/>
        <w:rPr>
          <w:sz w:val="20"/>
          <w:szCs w:val="20"/>
          <w:color w:val="auto"/>
        </w:rPr>
      </w:pPr>
    </w:p>
    <w:p>
      <w:pPr>
        <w:ind w:right="120" w:firstLine="492"/>
        <w:spacing w:after="0" w:line="258" w:lineRule="auto"/>
        <w:rPr>
          <w:sz w:val="20"/>
          <w:szCs w:val="20"/>
          <w:color w:val="auto"/>
        </w:rPr>
      </w:pPr>
      <w:r>
        <w:rPr>
          <w:rFonts w:ascii="Times New Roman" w:cs="Times New Roman" w:eastAsia="Times New Roman" w:hAnsi="Times New Roman"/>
          <w:sz w:val="18"/>
          <w:szCs w:val="18"/>
          <w:u w:val="single" w:color="auto"/>
          <w:color w:val="auto"/>
        </w:rPr>
        <w:t>Derivative Lawsuits.</w:t>
      </w:r>
      <w:r>
        <w:rPr>
          <w:rFonts w:ascii="Times New Roman" w:cs="Times New Roman" w:eastAsia="Times New Roman" w:hAnsi="Times New Roman"/>
          <w:sz w:val="18"/>
          <w:szCs w:val="18"/>
          <w:color w:val="auto"/>
        </w:rPr>
        <w:t xml:space="preserve"> On December 15, 2017, a purported stockholder derivative complaint was filed by plaintiff Kevin Fong against the Company, as nominal defendant, and certain of its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xml:space="preserve"> investigation and our April 10, 2017 settlement thereof, and seeks unspecified damages on behalf of the Company and injunctive relief.</w:t>
      </w:r>
    </w:p>
    <w:p>
      <w:pPr>
        <w:spacing w:after="0" w:line="184" w:lineRule="exact"/>
        <w:rPr>
          <w:sz w:val="20"/>
          <w:szCs w:val="20"/>
          <w:color w:val="auto"/>
        </w:rPr>
      </w:pPr>
    </w:p>
    <w:p>
      <w:pPr>
        <w:ind w:right="40" w:firstLine="492"/>
        <w:spacing w:after="0" w:line="255" w:lineRule="auto"/>
        <w:rPr>
          <w:sz w:val="20"/>
          <w:szCs w:val="20"/>
          <w:color w:val="auto"/>
        </w:rPr>
      </w:pPr>
      <w:r>
        <w:rPr>
          <w:rFonts w:ascii="Times New Roman" w:cs="Times New Roman" w:eastAsia="Times New Roman" w:hAnsi="Times New Roman"/>
          <w:sz w:val="18"/>
          <w:szCs w:val="18"/>
          <w:color w:val="auto"/>
        </w:rPr>
        <w:t xml:space="preserve">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Times New Roman" w:cs="Times New Roman" w:eastAsia="Times New Roman" w:hAnsi="Times New Roman"/>
          <w:sz w:val="18"/>
          <w:szCs w:val="18"/>
          <w:i w:val="1"/>
          <w:iCs w:val="1"/>
          <w:color w:val="auto"/>
        </w:rPr>
        <w:t>In the Matter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Certain Stock Promotions </w:t>
      </w:r>
      <w:r>
        <w:rPr>
          <w:rFonts w:ascii="Times New Roman" w:cs="Times New Roman" w:eastAsia="Times New Roman" w:hAnsi="Times New Roman"/>
          <w:sz w:val="18"/>
          <w:szCs w:val="18"/>
          <w:color w:val="auto"/>
        </w:rPr>
        <w:t>investigation and the Company’s April 10, 2017 settlement thereof, and seeks unspecified damages on behalf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injunctive relief. On May 1, 2018, the court consolidated this case with the aforementioned purported stockholder derivative case filed by plaintiff Kevin Fong.</w:t>
      </w:r>
    </w:p>
    <w:p>
      <w:pPr>
        <w:spacing w:after="0" w:line="189" w:lineRule="exact"/>
        <w:rPr>
          <w:sz w:val="20"/>
          <w:szCs w:val="20"/>
          <w:color w:val="auto"/>
        </w:rPr>
      </w:pPr>
    </w:p>
    <w:p>
      <w:pPr>
        <w:ind w:right="40" w:firstLine="492"/>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defend against the foregoing complaints. Based on the early stage of the litigation, it is not possible to estimate the amount or range of possible loss that might result from an adverse judgment or a settlement of these matters.</w:t>
      </w:r>
    </w:p>
    <w:p>
      <w:pPr>
        <w:spacing w:after="0" w:line="160" w:lineRule="exact"/>
        <w:rPr>
          <w:sz w:val="20"/>
          <w:szCs w:val="20"/>
          <w:color w:val="auto"/>
        </w:rPr>
      </w:pPr>
    </w:p>
    <w:p>
      <w:pPr>
        <w:ind w:firstLine="492"/>
        <w:spacing w:after="0" w:line="254"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titled </w:t>
      </w:r>
      <w:r>
        <w:rPr>
          <w:rFonts w:ascii="Times New Roman" w:cs="Times New Roman" w:eastAsia="Times New Roman" w:hAnsi="Times New Roman"/>
          <w:sz w:val="18"/>
          <w:szCs w:val="18"/>
          <w:i w:val="1"/>
          <w:iCs w:val="1"/>
          <w:color w:val="auto"/>
        </w:rPr>
        <w:t>Solomon Capital, LLC, Solomon Capital 401(K) Trust, Solomon Sharbat and Shelhav Raff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w:t>
      </w:r>
      <w:r>
        <w:rPr>
          <w:rFonts w:ascii="Times New Roman" w:cs="Times New Roman" w:eastAsia="Times New Roman" w:hAnsi="Times New Roman"/>
          <w:sz w:val="18"/>
          <w:szCs w:val="18"/>
          <w:color w:val="auto"/>
        </w:rPr>
        <w:t>was filed by Solomon Capital, LLC, Solomon Capital 401(k) Trust, Solomon Sharbat and Shelhav Raff against the Company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Supreme Court of the State of New York, County of New York (index no. 651881/2016). The plaintiffs allege that, between June and November 2012 they provided to the Company $0.1 million and that they advanced and paid on the Company’s behalf an additional $0.2 million. The complaint further alleges that the Company agreed to (i) provide them with promissory notes totaling $0.2 million, plus interest, (ii) issue a total of 111,425 shares to the plaintiffs (before the 1-for-100 reverse split of the Company’s common stock effected in March 2013), and (iii) allow the plaintiffs to convert the foregoing funds into its securities in the next transaction. The plaintiffs allege that they should have been able to convert their advances and payments into shares of its common stock in the restructuring that was affected in May 2013. Based on the foregoing, the plaintiffs allege causes for breach of contract and unjust enrichment and demand judgment against the Company in an unspecified amount exceeding $1.5 million, plus interest and attorneys’ fees.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536"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40" w:firstLine="492"/>
        <w:spacing w:after="0" w:line="261" w:lineRule="auto"/>
        <w:rPr>
          <w:sz w:val="20"/>
          <w:szCs w:val="20"/>
          <w:color w:val="auto"/>
        </w:rPr>
      </w:pPr>
      <w:r>
        <w:rPr>
          <w:rFonts w:ascii="Times New Roman" w:cs="Times New Roman" w:eastAsia="Times New Roman" w:hAnsi="Times New Roman"/>
          <w:sz w:val="18"/>
          <w:szCs w:val="18"/>
          <w:color w:val="auto"/>
        </w:rPr>
        <w:t>On June 3, 2016, the Company filed an answer and counterclaims in the lawsuit. In its counterclaims, the Company alleges that the plaintiffs misrepresented their qualifications to assist the Company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0" w:lineRule="exact"/>
        <w:rPr>
          <w:sz w:val="20"/>
          <w:szCs w:val="20"/>
          <w:color w:val="auto"/>
        </w:rPr>
      </w:pPr>
    </w:p>
    <w:p>
      <w:pPr>
        <w:ind w:right="100" w:firstLine="492"/>
        <w:spacing w:after="0" w:line="254" w:lineRule="auto"/>
        <w:rPr>
          <w:sz w:val="20"/>
          <w:szCs w:val="20"/>
          <w:color w:val="auto"/>
        </w:rPr>
      </w:pPr>
      <w:r>
        <w:rPr>
          <w:rFonts w:ascii="Times New Roman" w:cs="Times New Roman" w:eastAsia="Times New Roman" w:hAnsi="Times New Roman"/>
          <w:sz w:val="18"/>
          <w:szCs w:val="18"/>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and the case was subsequently assigned to a new judge. On April 20, 2018, the court held a hearing regarding plaintiff’s motion to dismiss the Company’s amended counterclaims and affirmative defense for fraudulent inducement. On August 15, 2018, the court entered an order granting the plaintiffs’ motion and dismissed the Company’s amended counterclaims and eleventh affirmative defense for fraudulent inducement without leave to amend. On September 14, 2018, the Company filed a notice of appeal related to this order, and on November 5, 2018, the Company filed its memorandum of law in support of its appeal of the order dismissing the Company’s amended counterclaims and affirmative defense for fraudulent inducement. On January 2, 2019, plaintiffs filed their memorandum of law in opposition to the appeal. On January 18, 2019, the Company filed its reply brief in support of its appeal of the order dismissing its amended counterclaims and affirmative defense for fraudulent inducement.</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intends to vigorously defend the complaint and pursue its counterclaims.</w:t>
      </w:r>
    </w:p>
    <w:p>
      <w:pPr>
        <w:spacing w:after="0" w:line="223" w:lineRule="exact"/>
        <w:rPr>
          <w:sz w:val="20"/>
          <w:szCs w:val="20"/>
          <w:color w:val="auto"/>
        </w:rPr>
      </w:pPr>
    </w:p>
    <w:p>
      <w:pPr>
        <w:ind w:firstLine="492"/>
        <w:spacing w:after="0" w:line="252" w:lineRule="auto"/>
        <w:rPr>
          <w:sz w:val="20"/>
          <w:szCs w:val="20"/>
          <w:color w:val="auto"/>
        </w:rPr>
      </w:pPr>
      <w:r>
        <w:rPr>
          <w:rFonts w:ascii="Times New Roman" w:cs="Times New Roman" w:eastAsia="Times New Roman" w:hAnsi="Times New Roman"/>
          <w:sz w:val="18"/>
          <w:szCs w:val="18"/>
          <w:u w:val="single" w:color="auto"/>
          <w:color w:val="auto"/>
        </w:rPr>
        <w:t>Litigation Involving Dr. Steven Fischkoff</w:t>
      </w:r>
      <w:r>
        <w:rPr>
          <w:rFonts w:ascii="Times New Roman" w:cs="Times New Roman" w:eastAsia="Times New Roman" w:hAnsi="Times New Roman"/>
          <w:sz w:val="18"/>
          <w:szCs w:val="18"/>
          <w:color w:val="auto"/>
        </w:rPr>
        <w:t xml:space="preserve">. On June 13, 2017, in an action titled </w:t>
      </w:r>
      <w:r>
        <w:rPr>
          <w:rFonts w:ascii="Times New Roman" w:cs="Times New Roman" w:eastAsia="Times New Roman" w:hAnsi="Times New Roman"/>
          <w:sz w:val="18"/>
          <w:szCs w:val="18"/>
          <w:i w:val="1"/>
          <w:iCs w:val="1"/>
          <w:color w:val="auto"/>
        </w:rPr>
        <w:t>Steven Fischkoff v. Lion Biotechnologies, Inc. and Maria Fardis</w:t>
      </w:r>
      <w:r>
        <w:rPr>
          <w:rFonts w:ascii="Times New Roman" w:cs="Times New Roman" w:eastAsia="Times New Roman" w:hAnsi="Times New Roman"/>
          <w:sz w:val="18"/>
          <w:szCs w:val="18"/>
          <w:color w:val="auto"/>
        </w:rPr>
        <w:t>, Dr. Steven Fischkoff, our former Vice President and Chief Medical Officer, filed a lawsuit against the Company in the Supreme Court of the State of New York, County of New York. Dr. Fischkoff was dismissed by the Company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w:t>
      </w:r>
    </w:p>
    <w:p>
      <w:pPr>
        <w:spacing w:after="0" w:line="199" w:lineRule="exact"/>
        <w:rPr>
          <w:sz w:val="20"/>
          <w:szCs w:val="20"/>
          <w:color w:val="auto"/>
        </w:rPr>
      </w:pPr>
    </w:p>
    <w:p>
      <w:pPr>
        <w:ind w:right="60" w:firstLine="492"/>
        <w:spacing w:after="0" w:line="266" w:lineRule="auto"/>
        <w:rPr>
          <w:sz w:val="20"/>
          <w:szCs w:val="20"/>
          <w:color w:val="auto"/>
        </w:rPr>
      </w:pPr>
      <w:r>
        <w:rPr>
          <w:rFonts w:ascii="Times New Roman" w:cs="Times New Roman" w:eastAsia="Times New Roman" w:hAnsi="Times New Roman"/>
          <w:sz w:val="18"/>
          <w:szCs w:val="18"/>
          <w:color w:val="auto"/>
        </w:rPr>
        <w:t>The Company intends to vigorously defend against Dr. Fischkoff’s lawsuit and pursue the Company’s counterclaims. Based on the early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76" w:lineRule="exact"/>
        <w:rPr>
          <w:sz w:val="20"/>
          <w:szCs w:val="20"/>
          <w:color w:val="auto"/>
        </w:rPr>
      </w:pPr>
    </w:p>
    <w:p>
      <w:pPr>
        <w:ind w:right="20" w:firstLine="492"/>
        <w:spacing w:after="0" w:line="255" w:lineRule="auto"/>
        <w:rPr>
          <w:sz w:val="20"/>
          <w:szCs w:val="20"/>
          <w:color w:val="auto"/>
        </w:rPr>
      </w:pP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xml:space="preserve"> During the second quarter of 2016, warrants representing 128,500 shares were exercised. The 128,500 shares of common stock had previously been registered for re-sale. However, the Company believes that these 128,500 warrant shares were sold by the holders in open market transactions in May 2016 at a time when the registration statement was ineffective. Accordingly, those sales were not made in accordance with Sections 5 and 10(a)(3) of the Securities Act of 1933, as amended,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89" w:lineRule="exact"/>
        <w:rPr>
          <w:sz w:val="20"/>
          <w:szCs w:val="20"/>
          <w:color w:val="auto"/>
        </w:rPr>
      </w:pPr>
    </w:p>
    <w:p>
      <w:pPr>
        <w:ind w:right="60" w:firstLine="492"/>
        <w:spacing w:after="0" w:line="255" w:lineRule="auto"/>
        <w:rPr>
          <w:sz w:val="20"/>
          <w:szCs w:val="20"/>
          <w:color w:val="auto"/>
        </w:rPr>
      </w:pPr>
      <w:r>
        <w:rPr>
          <w:rFonts w:ascii="Times New Roman" w:cs="Times New Roman" w:eastAsia="Times New Roman" w:hAnsi="Times New Roman"/>
          <w:sz w:val="18"/>
          <w:szCs w:val="18"/>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financial statements.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right="180" w:firstLine="495"/>
        <w:spacing w:after="0" w:line="256" w:lineRule="auto"/>
        <w:rPr>
          <w:sz w:val="20"/>
          <w:szCs w:val="20"/>
          <w:color w:val="auto"/>
        </w:rPr>
      </w:pPr>
      <w:r>
        <w:rPr>
          <w:rFonts w:ascii="Times New Roman" w:cs="Times New Roman" w:eastAsia="Times New Roman" w:hAnsi="Times New Roman"/>
          <w:sz w:val="18"/>
          <w:szCs w:val="18"/>
          <w:color w:val="auto"/>
        </w:rPr>
        <w:t>The Company may be involved, from time to time, in legal proceedings and claims arising in the ordinary course of our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our financial position, results of operations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QUARTERLY UNAUDITED RESULTS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results of operations by quarter for the years ended December 31, 2018 and 2017 are as follow: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11"/>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information)</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9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40" w:type="dxa"/>
            <w:vAlign w:val="bottom"/>
          </w:tcPr>
          <w:p>
            <w:pPr>
              <w:spacing w:after="0"/>
              <w:rPr>
                <w:sz w:val="13"/>
                <w:szCs w:val="13"/>
                <w:color w:val="auto"/>
              </w:rPr>
            </w:pPr>
          </w:p>
        </w:tc>
        <w:tc>
          <w:tcPr>
            <w:tcW w:w="74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160" w:type="dxa"/>
            <w:vAlign w:val="bottom"/>
          </w:tcPr>
          <w:p>
            <w:pPr>
              <w:spacing w:after="0"/>
              <w:rPr>
                <w:sz w:val="13"/>
                <w:szCs w:val="13"/>
                <w:color w:val="auto"/>
              </w:rPr>
            </w:pPr>
          </w:p>
        </w:tc>
        <w:tc>
          <w:tcPr>
            <w:tcW w:w="6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attributable to common stockholder</w:t>
            </w:r>
          </w:p>
        </w:tc>
        <w:tc>
          <w:tcPr>
            <w:tcW w:w="3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(26,515)</w:t>
            </w:r>
          </w:p>
        </w:tc>
        <w:tc>
          <w:tcPr>
            <w:tcW w:w="26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(30,660)</w:t>
            </w:r>
          </w:p>
        </w:tc>
        <w:tc>
          <w:tcPr>
            <w:tcW w:w="2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(33,830)</w:t>
            </w:r>
          </w:p>
        </w:tc>
        <w:tc>
          <w:tcPr>
            <w:tcW w:w="2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(32,575)</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(20,684)</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(23,377)</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(22,149)</w:t>
            </w: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(25,854)</w:t>
            </w: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30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26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2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24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(0.27)</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(0.33)</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(0.37)</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(0.35)</w:t>
            </w: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(0.36)</w:t>
            </w:r>
          </w:p>
        </w:tc>
        <w:tc>
          <w:tcPr>
            <w:tcW w:w="0" w:type="dxa"/>
            <w:vAlign w:val="bottom"/>
          </w:tcPr>
          <w:p>
            <w:pPr>
              <w:spacing w:after="0"/>
              <w:rPr>
                <w:sz w:val="1"/>
                <w:szCs w:val="1"/>
                <w:color w:val="auto"/>
              </w:rPr>
            </w:pPr>
          </w:p>
        </w:tc>
      </w:tr>
      <w:tr>
        <w:trPr>
          <w:trHeight w:val="126"/>
        </w:trPr>
        <w:tc>
          <w:tcPr>
            <w:tcW w:w="412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Weighted average share used in computing net loss per share, basic</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84,350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90,236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95,077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119,085</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62,286</w:t>
            </w:r>
          </w:p>
        </w:tc>
        <w:tc>
          <w:tcPr>
            <w:tcW w:w="14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62,457</w:t>
            </w:r>
          </w:p>
        </w:tc>
        <w:tc>
          <w:tcPr>
            <w:tcW w:w="16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63,332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72,794</w:t>
            </w:r>
          </w:p>
        </w:tc>
        <w:tc>
          <w:tcPr>
            <w:tcW w:w="0" w:type="dxa"/>
            <w:vAlign w:val="bottom"/>
          </w:tcPr>
          <w:p>
            <w:pPr>
              <w:spacing w:after="0"/>
              <w:rPr>
                <w:sz w:val="1"/>
                <w:szCs w:val="1"/>
                <w:color w:val="auto"/>
              </w:rPr>
            </w:pPr>
          </w:p>
        </w:tc>
      </w:tr>
      <w:tr>
        <w:trPr>
          <w:trHeight w:val="188"/>
        </w:trPr>
        <w:tc>
          <w:tcPr>
            <w:tcW w:w="4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diluted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RELATED PARTY TRANSACTIONS</w:t>
      </w:r>
    </w:p>
    <w:p>
      <w:pPr>
        <w:spacing w:after="0" w:line="229" w:lineRule="exact"/>
        <w:rPr>
          <w:sz w:val="20"/>
          <w:szCs w:val="20"/>
          <w:color w:val="auto"/>
        </w:rPr>
      </w:pPr>
    </w:p>
    <w:p>
      <w:pPr>
        <w:jc w:val="both"/>
        <w:ind w:right="420" w:firstLine="492"/>
        <w:spacing w:after="0" w:line="266" w:lineRule="auto"/>
        <w:rPr>
          <w:sz w:val="20"/>
          <w:szCs w:val="20"/>
          <w:color w:val="auto"/>
        </w:rPr>
      </w:pPr>
      <w:r>
        <w:rPr>
          <w:rFonts w:ascii="Times New Roman" w:cs="Times New Roman" w:eastAsia="Times New Roman" w:hAnsi="Times New Roman"/>
          <w:sz w:val="18"/>
          <w:szCs w:val="18"/>
          <w:color w:val="auto"/>
        </w:rPr>
        <w:t>A former member of the Company’s board of directors was an attorney at a law firm, TroyGould PC, that rendered legal services to the Company during the period of his directorship until June 6, 2018, but did not provide legal services to the Company himself during that period. The Company paid TroyGould PC $0.5 million, $0.7 million, and $0.8 million, during the years ended December 31, 2018, 2017 and 2016, respectively.</w:t>
      </w:r>
    </w:p>
    <w:p>
      <w:pPr>
        <w:spacing w:after="0" w:line="176" w:lineRule="exact"/>
        <w:rPr>
          <w:sz w:val="20"/>
          <w:szCs w:val="20"/>
          <w:color w:val="auto"/>
        </w:rPr>
      </w:pPr>
    </w:p>
    <w:p>
      <w:pPr>
        <w:ind w:firstLine="492"/>
        <w:spacing w:after="0" w:line="255" w:lineRule="auto"/>
        <w:rPr>
          <w:sz w:val="20"/>
          <w:szCs w:val="20"/>
          <w:color w:val="auto"/>
        </w:rPr>
      </w:pPr>
      <w:r>
        <w:rPr>
          <w:rFonts w:ascii="Times New Roman" w:cs="Times New Roman" w:eastAsia="Times New Roman" w:hAnsi="Times New Roman"/>
          <w:sz w:val="18"/>
          <w:szCs w:val="18"/>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$0.7 million and $0.2 million in stock-based compensation expense related to this consulting agreement during the years ended December 31, 2018 and 2017, respectively.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Iovance Biotherapeutics, Inc. on Form S-3 (File No. 333-212373), Form S-3 (File No. 333-214073), Form S-3 (File No. 333-227241), Form S-3MEF (File No. 333-227793), Form S-8 (File No. 333-217638), Form S-8 (File No. 333-214567), Form S-8 (File No. 333-205097), and Form S-8 (File No. 333-227242) of our report dated February 27, 2019, with respect to our audits of the consolidated financial statements of Iovance Biotherapeutics, Inc. as of December 31, 2018 and 2017 and for the three years ended December 31, 2018, 2017 and 2016 and our report dated February 27, 2019 with respect to our audit of the effectiveness of internal control over financial reporting of Iovance Biotherapeutics, Inc. as of December 31, 2018, which reports are included in this Annual Report on Form 10-K of Iovance Biotherapeutics, Inc. for the year ended December 31, 2018.</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32588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Marcum LLP</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Maria Fardis, certify that:</w:t>
      </w:r>
    </w:p>
    <w:p>
      <w:pPr>
        <w:spacing w:after="0" w:line="225" w:lineRule="exact"/>
        <w:rPr>
          <w:sz w:val="20"/>
          <w:szCs w:val="20"/>
          <w:color w:val="auto"/>
        </w:rPr>
      </w:pPr>
    </w:p>
    <w:p>
      <w:pPr>
        <w:ind w:left="360" w:hanging="230"/>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Iovance Biotherapeutics, Inc.</w:t>
      </w:r>
    </w:p>
    <w:p>
      <w:pPr>
        <w:spacing w:after="0" w:line="225" w:lineRule="exact"/>
        <w:rPr>
          <w:rFonts w:ascii="Times New Roman" w:cs="Times New Roman" w:eastAsia="Times New Roman" w:hAnsi="Times New Roman"/>
          <w:sz w:val="18"/>
          <w:szCs w:val="18"/>
          <w:color w:val="auto"/>
        </w:rPr>
      </w:pPr>
    </w:p>
    <w:p>
      <w:pPr>
        <w:ind w:left="360" w:right="100" w:hanging="230"/>
        <w:spacing w:after="0" w:line="313" w:lineRule="auto"/>
        <w:tabs>
          <w:tab w:leader="none" w:pos="3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60" w:right="560" w:hanging="230"/>
        <w:spacing w:after="0" w:line="282"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40" w:hanging="230"/>
        <w:spacing w:after="0" w:line="266" w:lineRule="auto"/>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60" w:right="220" w:hanging="330"/>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40" w:hanging="330"/>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60" w:right="100" w:hanging="330"/>
        <w:spacing w:after="0" w:line="28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140" w:hanging="330"/>
        <w:spacing w:after="0" w:line="266"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360" w:right="500" w:hanging="230"/>
        <w:spacing w:after="0" w:line="282" w:lineRule="auto"/>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60" w:hanging="330"/>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60" w:hanging="330"/>
        <w:spacing w:after="0" w:line="282"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Maria Fardis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E. Morris, certify that:</w:t>
      </w:r>
    </w:p>
    <w:p>
      <w:pPr>
        <w:spacing w:after="0" w:line="225" w:lineRule="exact"/>
        <w:rPr>
          <w:sz w:val="20"/>
          <w:szCs w:val="20"/>
          <w:color w:val="auto"/>
        </w:rPr>
      </w:pPr>
    </w:p>
    <w:p>
      <w:pPr>
        <w:ind w:left="360" w:hanging="230"/>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Iovance Biotherapeutics, Inc.</w:t>
      </w:r>
    </w:p>
    <w:p>
      <w:pPr>
        <w:spacing w:after="0" w:line="225" w:lineRule="exact"/>
        <w:rPr>
          <w:rFonts w:ascii="Times New Roman" w:cs="Times New Roman" w:eastAsia="Times New Roman" w:hAnsi="Times New Roman"/>
          <w:sz w:val="18"/>
          <w:szCs w:val="18"/>
          <w:color w:val="auto"/>
        </w:rPr>
      </w:pPr>
    </w:p>
    <w:p>
      <w:pPr>
        <w:ind w:left="360" w:right="100" w:hanging="230"/>
        <w:spacing w:after="0" w:line="313" w:lineRule="auto"/>
        <w:tabs>
          <w:tab w:leader="none" w:pos="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60" w:right="560" w:hanging="230"/>
        <w:spacing w:after="0" w:line="282" w:lineRule="auto"/>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60" w:right="40" w:hanging="230"/>
        <w:spacing w:after="0" w:line="266" w:lineRule="auto"/>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460" w:right="220" w:hanging="330"/>
        <w:spacing w:after="0" w:line="26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460" w:right="40" w:hanging="330"/>
        <w:spacing w:after="0" w:line="26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460" w:right="100" w:hanging="330"/>
        <w:spacing w:after="0" w:line="28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60" w:right="140" w:hanging="330"/>
        <w:spacing w:after="0" w:line="26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left="360" w:right="500" w:hanging="230"/>
        <w:spacing w:after="0" w:line="282"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460" w:hanging="330"/>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60" w:hanging="330"/>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Timothy E. Morris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Timothy E.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Maria Fardis, Chief Executive Officer of Iovance Biotherapeutics, Inc.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00" w:right="760" w:hanging="692"/>
        <w:spacing w:after="0" w:line="282"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2018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120" w:hanging="692"/>
        <w:spacing w:after="0" w:line="282" w:lineRule="auto"/>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Maria Fardis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Timothy E. Morris, Chief Financial Officer of Iovance Biotherapeutics, Inc.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700" w:right="760" w:hanging="692"/>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2018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700" w:right="120" w:hanging="692"/>
        <w:spacing w:after="0" w:line="282" w:lineRule="auto"/>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2019</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Timothy E. Morris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Timothy E.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lowerRoman"/>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0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136"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87" Type="http://schemas.openxmlformats.org/officeDocument/2006/relationships/hyperlink" Target="http://www.sec.gov/Archives/edgar/data/1425205/000114420417030892/v468249_ex2-1.htm" TargetMode="External"/><Relationship Id="rId88" Type="http://schemas.openxmlformats.org/officeDocument/2006/relationships/hyperlink" Target="http://www.sec.gov/Archives/edgar/data/1425205/000114420417030892/v468249_ex3-1.htm" TargetMode="External"/><Relationship Id="rId89" Type="http://schemas.openxmlformats.org/officeDocument/2006/relationships/hyperlink" Target="http://www.sec.gov/Archives/edgar/data/1425205/000114420417030892/v468249_ex3-2.htm" TargetMode="External"/><Relationship Id="rId90" Type="http://schemas.openxmlformats.org/officeDocument/2006/relationships/hyperlink" Target="http://www.sec.gov/Archives/edgar/data/1425205/000114420417030892/v468249_ex3-3.htm" TargetMode="External"/><Relationship Id="rId91" Type="http://schemas.openxmlformats.org/officeDocument/2006/relationships/hyperlink" Target="http://www.sec.gov/Archives/edgar/data/1425205/000114420417039309/v471615_ex3-4.htm" TargetMode="External"/><Relationship Id="rId92" Type="http://schemas.openxmlformats.org/officeDocument/2006/relationships/hyperlink" Target="http://www.sec.gov/Archives/edgar/data/1425205/000114420417039309/v471615_ex3-5.htm" TargetMode="External"/><Relationship Id="rId93" Type="http://schemas.openxmlformats.org/officeDocument/2006/relationships/hyperlink" Target="http://www.sec.gov/Archives/edgar/data/1425205/000114420417034350/v469760_ex3-1.htm" TargetMode="External"/><Relationship Id="rId94" Type="http://schemas.openxmlformats.org/officeDocument/2006/relationships/hyperlink" Target="http://www.sec.gov/Archives/edgar/data/1425205/000114420417030892/v468249_ex3-4.htm" TargetMode="External"/><Relationship Id="rId95" Type="http://schemas.openxmlformats.org/officeDocument/2006/relationships/hyperlink" Target="http://www.sec.gov/Archives/edgar/data/1425205/000114420417034350/v469760_ex3-2.htm" TargetMode="External"/><Relationship Id="rId96" Type="http://schemas.openxmlformats.org/officeDocument/2006/relationships/hyperlink" Target="http://www.sec.gov/Archives/edgar/data/1425205/000151316013000065/ex41.htm" TargetMode="External"/><Relationship Id="rId97" Type="http://schemas.openxmlformats.org/officeDocument/2006/relationships/hyperlink" Target="http://www.sec.gov/Archives/edgar/data/1425205/000114420418014151/tv485173_ex4-2.htm" TargetMode="External"/><Relationship Id="rId98" Type="http://schemas.openxmlformats.org/officeDocument/2006/relationships/hyperlink" Target="http://www.sec.gov/Archives/edgar/data/1425205/000114420410017594/v179506_ex4-1.htm" TargetMode="External"/><Relationship Id="rId99" Type="http://schemas.openxmlformats.org/officeDocument/2006/relationships/hyperlink" Target="http://www.sec.gov/Archives/edgar/data/1425205/000114420410017594/v179506_ex10-5.htm" TargetMode="External"/><Relationship Id="rId100" Type="http://schemas.openxmlformats.org/officeDocument/2006/relationships/hyperlink" Target="http://www.sec.gov/Archives/edgar/data/1425205/000114420411058601/v237591_ex10-3.htm" TargetMode="External"/><Relationship Id="rId101" Type="http://schemas.openxmlformats.org/officeDocument/2006/relationships/hyperlink" Target="http://www.sec.gov/Archives/edgar/data/1425205/000114420411058601/v237591_ex10-4.htm" TargetMode="External"/><Relationship Id="rId102" Type="http://schemas.openxmlformats.org/officeDocument/2006/relationships/hyperlink" Target="http://www.sec.gov/Archives/edgar/data/1425205/000114420411058601/v237591_ex10-5.htm" TargetMode="External"/><Relationship Id="rId103" Type="http://schemas.openxmlformats.org/officeDocument/2006/relationships/hyperlink" Target="http://www.sec.gov/Archives/edgar/data/1425205/000114420416111940/v443869_def14a.htm#a_012" TargetMode="External"/><Relationship Id="rId104" Type="http://schemas.openxmlformats.org/officeDocument/2006/relationships/hyperlink" Target="http://www.sec.gov/Archives/edgar/data/1425205/000114420415037987/v411581_ex4-9.htm" TargetMode="External"/><Relationship Id="rId105" Type="http://schemas.openxmlformats.org/officeDocument/2006/relationships/hyperlink" Target="http://www.sec.gov/Archives/edgar/data/1425205/000114420415037987/v411581_ex4-10.htm" TargetMode="External"/><Relationship Id="rId106" Type="http://schemas.openxmlformats.org/officeDocument/2006/relationships/hyperlink" Target="http://www.sec.gov/Archives/edgar/data/1425205/000114420418022424/tv491717_def14a.htm#a_012" TargetMode="External"/><Relationship Id="rId107" Type="http://schemas.openxmlformats.org/officeDocument/2006/relationships/hyperlink" Target="http://www.sec.gov/Archives/edgar/data/1425205/000114420418042241/tv499532_ex10-2.htm" TargetMode="External"/><Relationship Id="rId108" Type="http://schemas.openxmlformats.org/officeDocument/2006/relationships/hyperlink" Target="http://www.sec.gov/Archives/edgar/data/1425205/000114420418042241/tv499532_ex10-3.htm" TargetMode="External"/><Relationship Id="rId109" Type="http://schemas.openxmlformats.org/officeDocument/2006/relationships/hyperlink" Target="http://www.sec.gov/Archives/edgar/data/1425205/000114420411069602/v242935_ex10-1.htm" TargetMode="External"/><Relationship Id="rId110" Type="http://schemas.openxmlformats.org/officeDocument/2006/relationships/hyperlink" Target="http://www.sec.gov/Archives/edgar/data/1425205/000114420411067480/v241925_ex10-1.htm" TargetMode="External"/><Relationship Id="rId111" Type="http://schemas.openxmlformats.org/officeDocument/2006/relationships/hyperlink" Target="http://www.sec.gov/Archives/edgar/data/1425205/000151316013000040/ex102.htm" TargetMode="External"/><Relationship Id="rId112" Type="http://schemas.openxmlformats.org/officeDocument/2006/relationships/hyperlink" Target="http://www.sec.gov/Archives/edgar/data/1425205/000151316013000065/ex102.htm" TargetMode="External"/><Relationship Id="rId113" Type="http://schemas.openxmlformats.org/officeDocument/2006/relationships/hyperlink" Target="http://www.sec.gov/Archives/edgar/data/1425205/000114420415003901/v399590_ex10-1.htm" TargetMode="External"/><Relationship Id="rId114" Type="http://schemas.openxmlformats.org/officeDocument/2006/relationships/hyperlink" Target="http://www.sec.gov/Archives/edgar/data/1425205/000114420415016315/v403564_ex10-47.htm" TargetMode="External"/><Relationship Id="rId115" Type="http://schemas.openxmlformats.org/officeDocument/2006/relationships/hyperlink" Target="http://www.sec.gov/Archives/edgar/data/1425205/000114420415016315/v403564_ex10-46.htm" TargetMode="External"/><Relationship Id="rId116" Type="http://schemas.openxmlformats.org/officeDocument/2006/relationships/hyperlink" Target="http://www.sec.gov/Archives/edgar/data/1425205/000114420415063327/v423195_ex10-47.htm" TargetMode="External"/><Relationship Id="rId117" Type="http://schemas.openxmlformats.org/officeDocument/2006/relationships/hyperlink" Target="http://www.sec.gov/Archives/edgar/data/1425205/000114420416106835/v441731_ex10-1.htm" TargetMode="External"/><Relationship Id="rId118" Type="http://schemas.openxmlformats.org/officeDocument/2006/relationships/hyperlink" Target="http://www.sec.gov/Archives/edgar/data/1425205/000114420416106835/v441731_ex10-2.htm" TargetMode="External"/><Relationship Id="rId119" Type="http://schemas.openxmlformats.org/officeDocument/2006/relationships/hyperlink" Target="http://www.sec.gov/Archives/edgar/data/1425205/000114420416106835/v441731_ex10-5.htm" TargetMode="External"/><Relationship Id="rId120" Type="http://schemas.openxmlformats.org/officeDocument/2006/relationships/hyperlink" Target="http://www.sec.gov/Archives/edgar/data/1425205/000114420416122251/v448086_ex10-3.htm" TargetMode="External"/><Relationship Id="rId121" Type="http://schemas.openxmlformats.org/officeDocument/2006/relationships/hyperlink" Target="http://www.sec.gov/Archives/edgar/data/1425205/000114420416131686/v451596_ex10-3.htm" TargetMode="External"/><Relationship Id="rId122" Type="http://schemas.openxmlformats.org/officeDocument/2006/relationships/hyperlink" Target="http://www.sec.gov/Archives/edgar/data/1425205/000114420417013535/v460270_ex10-36.htm" TargetMode="External"/><Relationship Id="rId123" Type="http://schemas.openxmlformats.org/officeDocument/2006/relationships/hyperlink" Target="http://www.sec.gov/Archives/edgar/data/1425205/000114420418007319/tv485638_8k.htm" TargetMode="External"/><Relationship Id="rId124" Type="http://schemas.openxmlformats.org/officeDocument/2006/relationships/hyperlink" Target="http://www.sec.gov/Archives/edgar/data/1425205/000114420417040380/v471203_ex10-1.htm" TargetMode="External"/><Relationship Id="rId125" Type="http://schemas.openxmlformats.org/officeDocument/2006/relationships/hyperlink" Target="http://www.sec.gov/Archives/edgar/data/1425205/000114420416117596/v445492_ex10-3.htm" TargetMode="External"/><Relationship Id="rId126" Type="http://schemas.openxmlformats.org/officeDocument/2006/relationships/hyperlink" Target="http://www.sec.gov/Archives/edgar/data/1425205/000114420417055799/tv477548_ex10-1.htm" TargetMode="External"/><Relationship Id="rId127" Type="http://schemas.openxmlformats.org/officeDocument/2006/relationships/hyperlink" Target="http://www.sec.gov/Archives/edgar/data/1425205/000114420417048108/v475226_ex10-1.htm" TargetMode="External"/><Relationship Id="rId128" Type="http://schemas.openxmlformats.org/officeDocument/2006/relationships/hyperlink" Target="http://www.sec.gov/Archives/edgar/data/1425205/000114420418014151/tv485173_ex10-32.htm" TargetMode="External"/><Relationship Id="rId129" Type="http://schemas.openxmlformats.org/officeDocument/2006/relationships/hyperlink" Target="http://www.sec.gov/Archives/edgar/data/1425205/000114420418014151/tv485173_ex10-34.htm" TargetMode="External"/><Relationship Id="rId130" Type="http://schemas.openxmlformats.org/officeDocument/2006/relationships/hyperlink" Target="http://www.sec.gov/Archives/edgar/data/1425205/000114420418014151/tv485173_ex10-35.htm" TargetMode="External"/><Relationship Id="rId131" Type="http://schemas.openxmlformats.org/officeDocument/2006/relationships/hyperlink" Target="http://www.sec.gov/Archives/edgar/data/1425205/000114420416117275/v446243_ex10-1.htm" TargetMode="External"/><Relationship Id="rId132" Type="http://schemas.openxmlformats.org/officeDocument/2006/relationships/hyperlink" Target="http://www.sec.gov/Archives/edgar/data/1425205/000114420418055365/tv505364_ex10-1.htm" TargetMode="External"/><Relationship Id="rId133" Type="http://schemas.openxmlformats.org/officeDocument/2006/relationships/hyperlink" Target="http://www.sec.gov/Archives/edgar/data/1425205/000114420417013535/v460270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2019-12-28T15:31:45Z</dcterms:created>
  <dcterms:modified xsi:type="dcterms:W3CDTF">2019-12-28T15:31:45Z</dcterms:modified>
</cp:coreProperties>
</file>