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jc w:val="center"/>
        <w:spacing w:after="0" w:line="216" w:lineRule="auto"/>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5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ANNUAL REPORT PURSUANT TO SECTION 13 OR 15(d) OF THE SECURITIES EXCHANGE ACT OF 1934</w:t>
      </w:r>
    </w:p>
    <w:p>
      <w:pPr>
        <w:spacing w:after="0" w:line="285" w:lineRule="exact"/>
        <w:rPr>
          <w:sz w:val="24"/>
          <w:szCs w:val="24"/>
          <w:color w:val="auto"/>
        </w:rPr>
      </w:pPr>
    </w:p>
    <w:p>
      <w:pPr>
        <w:ind w:left="3460" w:right="3180" w:hanging="3452"/>
        <w:spacing w:after="0" w:line="429" w:lineRule="auto"/>
        <w:tabs>
          <w:tab w:leader="none" w:pos="665" w:val="left"/>
        </w:tabs>
        <w:numPr>
          <w:ilvl w:val="0"/>
          <w:numId w:val="2"/>
        </w:numPr>
        <w:rPr>
          <w:rFonts w:ascii="Arial" w:cs="Arial" w:eastAsia="Arial" w:hAnsi="Arial"/>
          <w:sz w:val="10"/>
          <w:szCs w:val="10"/>
          <w:color w:val="auto"/>
        </w:rPr>
      </w:pPr>
      <w:r>
        <w:rPr>
          <w:rFonts w:ascii="Arial" w:cs="Arial" w:eastAsia="Arial" w:hAnsi="Arial"/>
          <w:sz w:val="10"/>
          <w:szCs w:val="10"/>
          <w:color w:val="auto"/>
        </w:rPr>
        <w:t>TRANSITION REPORT PURSUANT TO SECTION 13 OR 15(d) OF THE SECURITIES EXCHANGE ACT OF 1934 For the transaction period from __________ to __________</w:t>
      </w:r>
    </w:p>
    <w:p>
      <w:pPr>
        <w:ind w:left="4040"/>
        <w:spacing w:after="0"/>
        <w:rPr>
          <w:rFonts w:ascii="Arial" w:cs="Arial" w:eastAsia="Arial" w:hAnsi="Arial"/>
          <w:sz w:val="10"/>
          <w:szCs w:val="10"/>
          <w:color w:val="auto"/>
        </w:rPr>
      </w:pPr>
      <w:r>
        <w:rPr>
          <w:rFonts w:ascii="Arial" w:cs="Arial" w:eastAsia="Arial" w:hAnsi="Arial"/>
          <w:sz w:val="13"/>
          <w:szCs w:val="13"/>
          <w:color w:val="auto"/>
        </w:rPr>
        <w:t>Commission file number: 001-36860</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IOVANCE BIOTHERAPEUTICS,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b w:val="1"/>
                <w:bCs w:val="1"/>
                <w:color w:val="auto"/>
                <w:w w:val="87"/>
              </w:rPr>
              <w:t>Delaware</w:t>
            </w:r>
          </w:p>
        </w:tc>
        <w:tc>
          <w:tcPr>
            <w:tcW w:w="3040" w:type="dxa"/>
            <w:vAlign w:val="bottom"/>
          </w:tcPr>
          <w:p>
            <w:pPr>
              <w:spacing w:after="0"/>
              <w:rPr>
                <w:sz w:val="13"/>
                <w:szCs w:val="13"/>
                <w:color w:val="auto"/>
              </w:rPr>
            </w:pPr>
          </w:p>
        </w:tc>
        <w:tc>
          <w:tcPr>
            <w:tcW w:w="3360" w:type="dxa"/>
            <w:vAlign w:val="bottom"/>
            <w:gridSpan w:val="2"/>
          </w:tcPr>
          <w:p>
            <w:pPr>
              <w:jc w:val="right"/>
              <w:ind w:right="2117"/>
              <w:spacing w:after="0"/>
              <w:rPr>
                <w:sz w:val="20"/>
                <w:szCs w:val="20"/>
                <w:color w:val="auto"/>
              </w:rPr>
            </w:pPr>
            <w:r>
              <w:rPr>
                <w:rFonts w:ascii="Arial" w:cs="Arial" w:eastAsia="Arial" w:hAnsi="Arial"/>
                <w:sz w:val="13"/>
                <w:szCs w:val="13"/>
                <w:b w:val="1"/>
                <w:bCs w:val="1"/>
                <w:color w:val="auto"/>
              </w:rPr>
              <w:t>75-3254381</w:t>
            </w:r>
          </w:p>
        </w:tc>
      </w:tr>
      <w:tr>
        <w:trPr>
          <w:trHeight w:val="135"/>
        </w:trPr>
        <w:tc>
          <w:tcPr>
            <w:tcW w:w="20" w:type="dxa"/>
            <w:vAlign w:val="bottom"/>
          </w:tcPr>
          <w:p>
            <w:pPr>
              <w:spacing w:after="0"/>
              <w:rPr>
                <w:sz w:val="11"/>
                <w:szCs w:val="11"/>
                <w:color w:val="auto"/>
              </w:rPr>
            </w:pPr>
          </w:p>
        </w:tc>
        <w:tc>
          <w:tcPr>
            <w:tcW w:w="3500" w:type="dxa"/>
            <w:vAlign w:val="bottom"/>
            <w:gridSpan w:val="3"/>
          </w:tcPr>
          <w:p>
            <w:pPr>
              <w:jc w:val="center"/>
              <w:ind w:left="1377"/>
              <w:spacing w:after="0" w:line="135" w:lineRule="exact"/>
              <w:rPr>
                <w:sz w:val="20"/>
                <w:szCs w:val="20"/>
                <w:color w:val="auto"/>
              </w:rPr>
            </w:pPr>
            <w:r>
              <w:rPr>
                <w:rFonts w:ascii="Arial" w:cs="Arial" w:eastAsia="Arial" w:hAnsi="Arial"/>
                <w:sz w:val="13"/>
                <w:szCs w:val="13"/>
                <w:color w:val="auto"/>
                <w:w w:val="88"/>
              </w:rPr>
              <w:t>(State or Other Jurisdiction of</w:t>
            </w: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jc w:val="center"/>
              <w:ind w:right="1737"/>
              <w:spacing w:after="0" w:line="135" w:lineRule="exact"/>
              <w:rPr>
                <w:sz w:val="20"/>
                <w:szCs w:val="20"/>
                <w:color w:val="auto"/>
              </w:rPr>
            </w:pPr>
            <w:r>
              <w:rPr>
                <w:rFonts w:ascii="Arial" w:cs="Arial" w:eastAsia="Arial" w:hAnsi="Arial"/>
                <w:sz w:val="13"/>
                <w:szCs w:val="13"/>
                <w:color w:val="auto"/>
                <w:w w:val="92"/>
              </w:rPr>
              <w:t>(I.R.S. Employer</w:t>
            </w:r>
          </w:p>
        </w:tc>
      </w:tr>
      <w:tr>
        <w:trPr>
          <w:trHeight w:val="160"/>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color w:val="auto"/>
                <w:w w:val="89"/>
              </w:rPr>
              <w:t>Incorporation or Organization)</w:t>
            </w: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ind w:right="1737"/>
              <w:spacing w:after="0"/>
              <w:rPr>
                <w:sz w:val="20"/>
                <w:szCs w:val="20"/>
                <w:color w:val="auto"/>
              </w:rPr>
            </w:pPr>
            <w:r>
              <w:rPr>
                <w:rFonts w:ascii="Arial" w:cs="Arial" w:eastAsia="Arial" w:hAnsi="Arial"/>
                <w:sz w:val="13"/>
                <w:szCs w:val="13"/>
                <w:color w:val="auto"/>
                <w:w w:val="90"/>
              </w:rPr>
              <w:t>Identification No.)</w:t>
            </w:r>
          </w:p>
        </w:tc>
      </w:tr>
      <w:tr>
        <w:trPr>
          <w:trHeight w:val="218"/>
        </w:trPr>
        <w:tc>
          <w:tcPr>
            <w:tcW w:w="20" w:type="dxa"/>
            <w:vAlign w:val="bottom"/>
          </w:tcPr>
          <w:p>
            <w:pPr>
              <w:spacing w:after="0"/>
              <w:rPr>
                <w:sz w:val="18"/>
                <w:szCs w:val="18"/>
                <w:color w:val="auto"/>
              </w:rPr>
            </w:pPr>
          </w:p>
        </w:tc>
        <w:tc>
          <w:tcPr>
            <w:tcW w:w="6540" w:type="dxa"/>
            <w:vAlign w:val="bottom"/>
            <w:gridSpan w:val="4"/>
          </w:tcPr>
          <w:p>
            <w:pPr>
              <w:jc w:val="center"/>
              <w:ind w:right="1537"/>
              <w:spacing w:after="0"/>
              <w:rPr>
                <w:sz w:val="20"/>
                <w:szCs w:val="20"/>
                <w:color w:val="auto"/>
              </w:rPr>
            </w:pPr>
            <w:r>
              <w:rPr>
                <w:rFonts w:ascii="Arial" w:cs="Arial" w:eastAsia="Arial" w:hAnsi="Arial"/>
                <w:sz w:val="13"/>
                <w:szCs w:val="13"/>
                <w:b w:val="1"/>
                <w:bCs w:val="1"/>
                <w:color w:val="auto"/>
                <w:w w:val="88"/>
              </w:rPr>
              <w:t>825 Industrial Road, Suite 400, San Carlos, California</w:t>
            </w:r>
          </w:p>
        </w:tc>
        <w:tc>
          <w:tcPr>
            <w:tcW w:w="3360" w:type="dxa"/>
            <w:vAlign w:val="bottom"/>
            <w:gridSpan w:val="2"/>
          </w:tcPr>
          <w:p>
            <w:pPr>
              <w:jc w:val="right"/>
              <w:ind w:right="2257"/>
              <w:spacing w:after="0"/>
              <w:rPr>
                <w:sz w:val="20"/>
                <w:szCs w:val="20"/>
                <w:color w:val="auto"/>
              </w:rPr>
            </w:pPr>
            <w:r>
              <w:rPr>
                <w:rFonts w:ascii="Arial" w:cs="Arial" w:eastAsia="Arial" w:hAnsi="Arial"/>
                <w:sz w:val="13"/>
                <w:szCs w:val="13"/>
                <w:b w:val="1"/>
                <w:bCs w:val="1"/>
                <w:color w:val="auto"/>
              </w:rPr>
              <w:t>94070</w:t>
            </w:r>
          </w:p>
        </w:tc>
      </w:tr>
      <w:tr>
        <w:trPr>
          <w:trHeight w:val="160"/>
        </w:trPr>
        <w:tc>
          <w:tcPr>
            <w:tcW w:w="20" w:type="dxa"/>
            <w:vAlign w:val="bottom"/>
          </w:tcPr>
          <w:p>
            <w:pPr>
              <w:spacing w:after="0"/>
              <w:rPr>
                <w:sz w:val="13"/>
                <w:szCs w:val="13"/>
                <w:color w:val="auto"/>
              </w:rPr>
            </w:pPr>
          </w:p>
        </w:tc>
        <w:tc>
          <w:tcPr>
            <w:tcW w:w="3500" w:type="dxa"/>
            <w:vAlign w:val="bottom"/>
            <w:gridSpan w:val="3"/>
          </w:tcPr>
          <w:p>
            <w:pPr>
              <w:jc w:val="center"/>
              <w:ind w:left="1377"/>
              <w:spacing w:after="0"/>
              <w:rPr>
                <w:sz w:val="20"/>
                <w:szCs w:val="20"/>
                <w:color w:val="auto"/>
              </w:rPr>
            </w:pPr>
            <w:r>
              <w:rPr>
                <w:rFonts w:ascii="Arial" w:cs="Arial" w:eastAsia="Arial" w:hAnsi="Arial"/>
                <w:sz w:val="13"/>
                <w:szCs w:val="13"/>
                <w:color w:val="auto"/>
                <w:w w:val="90"/>
              </w:rPr>
              <w:t>(Address of Principal Executive Offices)</w:t>
            </w: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ind w:right="1737"/>
              <w:spacing w:after="0"/>
              <w:rPr>
                <w:sz w:val="20"/>
                <w:szCs w:val="20"/>
                <w:color w:val="auto"/>
              </w:rPr>
            </w:pPr>
            <w:r>
              <w:rPr>
                <w:rFonts w:ascii="Arial" w:cs="Arial" w:eastAsia="Arial" w:hAnsi="Arial"/>
                <w:sz w:val="13"/>
                <w:szCs w:val="13"/>
                <w:color w:val="auto"/>
                <w:w w:val="91"/>
              </w:rPr>
              <w:t>(Zip Code)</w:t>
            </w: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(650) 260-7120</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tcPr>
          <w:p>
            <w:pPr>
              <w:jc w:val="center"/>
              <w:ind w:right="97"/>
              <w:spacing w:after="0"/>
              <w:rPr>
                <w:sz w:val="20"/>
                <w:szCs w:val="20"/>
                <w:color w:val="auto"/>
              </w:rPr>
            </w:pPr>
            <w:r>
              <w:rPr>
                <w:rFonts w:ascii="Arial" w:cs="Arial" w:eastAsia="Arial" w:hAnsi="Arial"/>
                <w:sz w:val="13"/>
                <w:szCs w:val="13"/>
                <w:color w:val="auto"/>
                <w:w w:val="88"/>
              </w:rPr>
              <w:t>(Registrant’s Telephone Number, Including Area Code)</w:t>
            </w:r>
          </w:p>
        </w:tc>
        <w:tc>
          <w:tcPr>
            <w:tcW w:w="20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w:t>
            </w:r>
          </w:p>
        </w:tc>
      </w:tr>
      <w:tr>
        <w:trPr>
          <w:trHeight w:val="153"/>
        </w:trPr>
        <w:tc>
          <w:tcPr>
            <w:tcW w:w="20" w:type="dxa"/>
            <w:vAlign w:val="bottom"/>
          </w:tcPr>
          <w:p>
            <w:pPr>
              <w:spacing w:after="0"/>
              <w:rPr>
                <w:sz w:val="13"/>
                <w:szCs w:val="13"/>
                <w:color w:val="auto"/>
              </w:rPr>
            </w:pPr>
          </w:p>
        </w:tc>
        <w:tc>
          <w:tcPr>
            <w:tcW w:w="35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Title of Each Class</w:t>
            </w:r>
          </w:p>
        </w:tc>
        <w:tc>
          <w:tcPr>
            <w:tcW w:w="304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Trading Symbol(s)</w:t>
            </w:r>
          </w:p>
        </w:tc>
        <w:tc>
          <w:tcPr>
            <w:tcW w:w="20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Arial" w:cs="Arial" w:eastAsia="Arial" w:hAnsi="Arial"/>
                <w:sz w:val="13"/>
                <w:szCs w:val="13"/>
                <w:b w:val="1"/>
                <w:bCs w:val="1"/>
                <w:color w:val="auto"/>
                <w:w w:val="88"/>
              </w:rPr>
              <w:t>On Which Registered</w:t>
            </w:r>
          </w:p>
        </w:tc>
      </w:tr>
      <w:tr>
        <w:trPr>
          <w:trHeight w:val="154"/>
        </w:trPr>
        <w:tc>
          <w:tcPr>
            <w:tcW w:w="2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$ 0.000041666 Par Value per Share</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tcPr>
          <w:p>
            <w:pPr>
              <w:jc w:val="center"/>
              <w:ind w:right="77"/>
              <w:spacing w:after="0"/>
              <w:rPr>
                <w:sz w:val="20"/>
                <w:szCs w:val="20"/>
                <w:color w:val="auto"/>
              </w:rPr>
            </w:pPr>
            <w:r>
              <w:rPr>
                <w:rFonts w:ascii="Arial" w:cs="Arial" w:eastAsia="Arial" w:hAnsi="Arial"/>
                <w:sz w:val="13"/>
                <w:szCs w:val="13"/>
                <w:color w:val="auto"/>
                <w:w w:val="96"/>
              </w:rPr>
              <w:t>IOVA</w:t>
            </w:r>
          </w:p>
        </w:tc>
        <w:tc>
          <w:tcPr>
            <w:tcW w:w="200" w:type="dxa"/>
            <w:vAlign w:val="bottom"/>
          </w:tcPr>
          <w:p>
            <w:pPr>
              <w:spacing w:after="0"/>
              <w:rPr>
                <w:sz w:val="13"/>
                <w:szCs w:val="13"/>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The Nasdaq Global Market</w:t>
            </w: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Pr>
          <w:p>
            <w:pPr>
              <w:jc w:val="center"/>
              <w:ind w:right="77"/>
              <w:spacing w:after="0"/>
              <w:rPr>
                <w:sz w:val="20"/>
                <w:szCs w:val="20"/>
                <w:color w:val="auto"/>
              </w:rPr>
            </w:pPr>
            <w:r>
              <w:rPr>
                <w:rFonts w:ascii="Arial" w:cs="Arial" w:eastAsia="Arial" w:hAnsi="Arial"/>
                <w:sz w:val="13"/>
                <w:szCs w:val="13"/>
                <w:color w:val="auto"/>
                <w:w w:val="87"/>
              </w:rPr>
              <w:t>Securities registered pursuant to Section 12(g) of the Act:</w:t>
            </w:r>
          </w:p>
        </w:tc>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None</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243"/>
        </w:trPr>
        <w:tc>
          <w:tcPr>
            <w:tcW w:w="6560" w:type="dxa"/>
            <w:vAlign w:val="bottom"/>
            <w:gridSpan w:val="5"/>
          </w:tcPr>
          <w:p>
            <w:pPr>
              <w:spacing w:after="0" w:line="175" w:lineRule="exact"/>
              <w:rPr>
                <w:sz w:val="20"/>
                <w:szCs w:val="20"/>
                <w:color w:val="auto"/>
              </w:rPr>
            </w:pPr>
            <w:r>
              <w:rPr>
                <w:rFonts w:ascii="Arial" w:cs="Arial" w:eastAsia="Arial" w:hAnsi="Arial"/>
                <w:sz w:val="13"/>
                <w:szCs w:val="13"/>
                <w:color w:val="auto"/>
                <w:w w:val="89"/>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w w:val="89"/>
              </w:rPr>
              <w:t>☐</w:t>
            </w:r>
            <w:r>
              <w:rPr>
                <w:rFonts w:ascii="Arial" w:cs="Arial" w:eastAsia="Arial" w:hAnsi="Arial"/>
                <w:sz w:val="13"/>
                <w:szCs w:val="13"/>
                <w:color w:val="auto"/>
                <w:w w:val="89"/>
              </w:rPr>
              <w:t xml:space="preserve"> No</w:t>
            </w:r>
          </w:p>
        </w:tc>
        <w:tc>
          <w:tcPr>
            <w:tcW w:w="3360" w:type="dxa"/>
            <w:vAlign w:val="bottom"/>
            <w:gridSpan w:val="2"/>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3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jc w:val="both"/>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42" w:lineRule="exact"/>
        <w:rPr>
          <w:sz w:val="24"/>
          <w:szCs w:val="24"/>
          <w:color w:val="auto"/>
        </w:rPr>
      </w:pPr>
    </w:p>
    <w:p>
      <w:pPr>
        <w:ind w:right="38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2" w:lineRule="exact"/>
        <w:rPr>
          <w:sz w:val="24"/>
          <w:szCs w:val="24"/>
          <w:color w:val="auto"/>
        </w:rPr>
      </w:pPr>
    </w:p>
    <w:p>
      <w:pPr>
        <w:ind w:right="460"/>
        <w:spacing w:after="0" w:line="27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51" w:lineRule="exact"/>
        <w:rPr>
          <w:sz w:val="24"/>
          <w:szCs w:val="24"/>
          <w:color w:val="auto"/>
        </w:rPr>
      </w:pPr>
    </w:p>
    <w:p>
      <w:pPr>
        <w:spacing w:after="0" w:line="404" w:lineRule="auto"/>
        <w:rPr>
          <w:sz w:val="20"/>
          <w:szCs w:val="20"/>
          <w:color w:val="auto"/>
        </w:rPr>
      </w:pPr>
      <w:r>
        <w:rPr>
          <w:rFonts w:ascii="Arial" w:cs="Arial" w:eastAsia="Arial" w:hAnsi="Arial"/>
          <w:sz w:val="10"/>
          <w:szCs w:val="10"/>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9"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Smaller reporting company </w:t>
      </w:r>
      <w:r>
        <w:rPr>
          <w:rFonts w:ascii="Arial Unicode MS" w:cs="Arial Unicode MS" w:eastAsia="Arial Unicode MS" w:hAnsi="Arial Unicode MS"/>
          <w:sz w:val="10"/>
          <w:szCs w:val="10"/>
          <w:color w:val="auto"/>
        </w:rPr>
        <w:t>☐</w:t>
      </w:r>
    </w:p>
    <w:p>
      <w:pPr>
        <w:spacing w:after="0" w:line="15"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72" w:lineRule="exact"/>
        <w:rPr>
          <w:sz w:val="24"/>
          <w:szCs w:val="24"/>
          <w:color w:val="auto"/>
        </w:rPr>
      </w:pPr>
    </w:p>
    <w:p>
      <w:pPr>
        <w:sectPr>
          <w:pgSz w:w="11900" w:h="16838" w:orient="portrait"/>
          <w:cols w:equalWidth="0" w:num="3">
            <w:col w:w="1140" w:space="100"/>
            <w:col w:w="3000" w:space="720"/>
            <w:col w:w="4960"/>
          </w:cols>
          <w:pgMar w:left="980" w:top="665" w:right="999" w:bottom="1440" w:gutter="0" w:footer="0" w:header="0"/>
          <w:type w:val="continuous"/>
        </w:sectPr>
      </w:pPr>
    </w:p>
    <w:p>
      <w:pPr>
        <w:ind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ind w:right="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6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2" w:lineRule="exact"/>
        <w:rPr>
          <w:sz w:val="24"/>
          <w:szCs w:val="24"/>
          <w:color w:val="auto"/>
        </w:rPr>
      </w:pPr>
    </w:p>
    <w:p>
      <w:pPr>
        <w:ind w:left="66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800" w:type="dxa"/>
            <w:vAlign w:val="bottom"/>
            <w:gridSpan w:val="3"/>
          </w:tcPr>
          <w:p>
            <w:pPr>
              <w:ind w:left="140"/>
              <w:spacing w:after="0"/>
              <w:rPr>
                <w:sz w:val="20"/>
                <w:szCs w:val="20"/>
                <w:color w:val="auto"/>
              </w:rPr>
            </w:pPr>
            <w:r>
              <w:rPr>
                <w:rFonts w:ascii="Arial" w:cs="Arial" w:eastAsia="Arial" w:hAnsi="Arial"/>
                <w:sz w:val="13"/>
                <w:szCs w:val="13"/>
                <w:b w:val="1"/>
                <w:bCs w:val="1"/>
                <w:color w:val="auto"/>
              </w:rPr>
              <w:t>Trading Symbol(s)</w:t>
            </w:r>
          </w:p>
        </w:tc>
        <w:tc>
          <w:tcPr>
            <w:tcW w:w="3420" w:type="dxa"/>
            <w:vAlign w:val="bottom"/>
          </w:tcPr>
          <w:p>
            <w:pP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54"/>
        </w:trPr>
        <w:tc>
          <w:tcPr>
            <w:tcW w:w="20" w:type="dxa"/>
            <w:vAlign w:val="bottom"/>
          </w:tcPr>
          <w:p>
            <w:pPr>
              <w:spacing w:after="0"/>
              <w:rPr>
                <w:sz w:val="13"/>
                <w:szCs w:val="13"/>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Common stock, par value $0.000041666 per value</w:t>
            </w:r>
          </w:p>
        </w:tc>
        <w:tc>
          <w:tcPr>
            <w:tcW w:w="140" w:type="dxa"/>
            <w:vAlign w:val="bottom"/>
          </w:tcPr>
          <w:p>
            <w:pPr>
              <w:spacing w:after="0"/>
              <w:rPr>
                <w:sz w:val="13"/>
                <w:szCs w:val="13"/>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IOVA</w:t>
            </w:r>
          </w:p>
        </w:tc>
        <w:tc>
          <w:tcPr>
            <w:tcW w:w="140" w:type="dxa"/>
            <w:vAlign w:val="bottom"/>
          </w:tcPr>
          <w:p>
            <w:pPr>
              <w:spacing w:after="0"/>
              <w:rPr>
                <w:sz w:val="13"/>
                <w:szCs w:val="13"/>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The Nasdaq Stock Market, LLC</w:t>
            </w:r>
          </w:p>
        </w:tc>
      </w:tr>
    </w:tbl>
    <w:p>
      <w:pPr>
        <w:spacing w:after="0" w:line="42" w:lineRule="exact"/>
        <w:rPr>
          <w:sz w:val="24"/>
          <w:szCs w:val="24"/>
          <w:color w:val="auto"/>
        </w:rPr>
      </w:pPr>
    </w:p>
    <w:p>
      <w:pPr>
        <w:ind w:right="20"/>
        <w:spacing w:after="0" w:line="226" w:lineRule="auto"/>
        <w:rPr>
          <w:sz w:val="20"/>
          <w:szCs w:val="20"/>
          <w:color w:val="auto"/>
        </w:rPr>
      </w:pPr>
      <w:r>
        <w:rPr>
          <w:rFonts w:ascii="Arial" w:cs="Arial" w:eastAsia="Arial" w:hAnsi="Arial"/>
          <w:sz w:val="13"/>
          <w:szCs w:val="13"/>
          <w:color w:val="auto"/>
        </w:rPr>
        <w:t>The aggregate market value of the registrant’s common stock held by non-affiliates on June 30, 2021, the last business day of the registrant’s most recently completed second fiscal quarter, was approximately $3.8. billion.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February 17, 2022, there were 157,168,321 shares of the registrant’s common stock outstanding.</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jc w:val="both"/>
        <w:ind w:right="120" w:firstLine="492"/>
        <w:spacing w:after="0" w:line="318" w:lineRule="auto"/>
        <w:rPr>
          <w:sz w:val="20"/>
          <w:szCs w:val="20"/>
          <w:color w:val="auto"/>
        </w:rPr>
      </w:pPr>
      <w:r>
        <w:rPr>
          <w:rFonts w:ascii="Arial" w:cs="Arial" w:eastAsia="Arial" w:hAnsi="Arial"/>
          <w:sz w:val="10"/>
          <w:szCs w:val="10"/>
          <w:color w:val="auto"/>
        </w:rPr>
        <w:t>Portions of registrant’s proxy statement relating to registrant’s 2022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-29845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3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60" w:type="dxa"/>
            <w:vAlign w:val="bottom"/>
            <w:tcBorders>
              <w:top w:val="single" w:sz="8" w:color="CCEEFF"/>
            </w:tcBorders>
            <w:gridSpan w:val="3"/>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20" w:type="dxa"/>
            <w:vAlign w:val="bottom"/>
            <w:tcBorders>
              <w:top w:val="single" w:sz="8" w:color="CCEEFF"/>
            </w:tcBorders>
            <w:gridSpan w:val="24"/>
          </w:tcPr>
          <w:p>
            <w:pPr>
              <w:ind w:left="2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Item 1A.</w:t>
              </w:r>
            </w:hyperlink>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tcPr>
          <w:p>
            <w:pPr>
              <w:spacing w:after="0" w:line="17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Item 1B.</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940" w:type="dxa"/>
            <w:vAlign w:val="bottom"/>
            <w:gridSpan w:val="23"/>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Unresolved Staff Comments</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Item 2.</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Properties</w:t>
              </w:r>
            </w:hyperlink>
          </w:p>
        </w:tc>
        <w:tc>
          <w:tcPr>
            <w:tcW w:w="7200" w:type="dxa"/>
            <w:vAlign w:val="bottom"/>
            <w:tcBorders>
              <w:bottom w:val="single" w:sz="8" w:color="CCEEFF"/>
            </w:tcBorders>
            <w:gridSpan w:val="2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3.</w:t>
              </w:r>
            </w:hyperlink>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Legal Proceedings</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4.</w:t>
              </w:r>
            </w:hyperlink>
          </w:p>
        </w:tc>
        <w:tc>
          <w:tcPr>
            <w:tcW w:w="20" w:type="dxa"/>
            <w:vAlign w:val="bottom"/>
            <w:shd w:val="clear" w:color="auto" w:fill="CCEEFF"/>
          </w:tcPr>
          <w:p>
            <w:pPr>
              <w:spacing w:after="0"/>
              <w:rPr>
                <w:sz w:val="17"/>
                <w:szCs w:val="17"/>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PART II</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5.</w:t>
              </w:r>
            </w:hyperlink>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Market for Common Equity, Related Stockholder Matters and Issuer Purchases of Equity Securities</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Item 6.</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[Reserved]</w:t>
              </w:r>
            </w:hyperlink>
          </w:p>
        </w:tc>
        <w:tc>
          <w:tcPr>
            <w:tcW w:w="7140" w:type="dxa"/>
            <w:vAlign w:val="bottom"/>
            <w:tcBorders>
              <w:bottom w:val="single" w:sz="8" w:color="CCEEFF"/>
            </w:tcBorders>
            <w:gridSpan w:val="18"/>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7.</w:t>
              </w:r>
            </w:hyperlink>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Item 7A.</w:t>
              </w:r>
            </w:hyperlink>
          </w:p>
        </w:tc>
        <w:tc>
          <w:tcPr>
            <w:tcW w:w="20" w:type="dxa"/>
            <w:vAlign w:val="bottom"/>
            <w:shd w:val="clear" w:color="auto" w:fill="CCEEFF"/>
          </w:tcPr>
          <w:p>
            <w:pPr>
              <w:spacing w:after="0"/>
              <w:rPr>
                <w:sz w:val="17"/>
                <w:szCs w:val="17"/>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Quantitative and Qualitative Disclosures About Market Risk</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8.</w:t>
              </w:r>
            </w:hyperlink>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Financial Statements and Supplementary Data</w:t>
              </w:r>
            </w:hyperlink>
          </w:p>
        </w:tc>
        <w:tc>
          <w:tcPr>
            <w:tcW w:w="3580" w:type="dxa"/>
            <w:vAlign w:val="bottom"/>
            <w:tcBorders>
              <w:top w:val="single" w:sz="8" w:color="CCEEFF"/>
            </w:tcBorders>
            <w:gridSpan w:val="6"/>
          </w:tcPr>
          <w:p>
            <w:pPr>
              <w:spacing w:after="0"/>
              <w:rPr>
                <w:sz w:val="15"/>
                <w:szCs w:val="15"/>
                <w:color w:val="auto"/>
              </w:rPr>
            </w:pPr>
          </w:p>
        </w:tc>
        <w:tc>
          <w:tcPr>
            <w:tcW w:w="9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Item 9.</w:t>
              </w:r>
            </w:hyperlink>
          </w:p>
        </w:tc>
        <w:tc>
          <w:tcPr>
            <w:tcW w:w="180" w:type="dxa"/>
            <w:vAlign w:val="bottom"/>
            <w:gridSpan w:val="4"/>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940" w:type="dxa"/>
            <w:vAlign w:val="bottom"/>
            <w:gridSpan w:val="23"/>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Item 9A.</w:t>
              </w:r>
            </w:hyperlink>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Item 9B.</w:t>
              </w:r>
            </w:hyperlink>
          </w:p>
        </w:tc>
        <w:tc>
          <w:tcPr>
            <w:tcW w:w="20" w:type="dxa"/>
            <w:vAlign w:val="bottom"/>
            <w:shd w:val="clear" w:color="auto" w:fill="CCEEFF"/>
          </w:tcPr>
          <w:p>
            <w:pPr>
              <w:spacing w:after="0"/>
              <w:rPr>
                <w:sz w:val="17"/>
                <w:szCs w:val="17"/>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PART III</w:t>
              </w:r>
            </w:hyperlink>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tcBorders>
              <w:top w:val="single" w:sz="8" w:color="CCEEFF"/>
            </w:tcBorders>
            <w:gridSpan w:val="5"/>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10.</w:t>
              </w:r>
            </w:hyperlink>
          </w:p>
        </w:tc>
        <w:tc>
          <w:tcPr>
            <w:tcW w:w="20" w:type="dxa"/>
            <w:vAlign w:val="bottom"/>
            <w:tcBorders>
              <w:top w:val="single" w:sz="8" w:color="CCEEFF"/>
            </w:tcBorders>
          </w:tcPr>
          <w:p>
            <w:pPr>
              <w:spacing w:after="0"/>
              <w:rPr>
                <w:sz w:val="15"/>
                <w:szCs w:val="15"/>
                <w:color w:val="auto"/>
              </w:rPr>
            </w:pPr>
          </w:p>
        </w:tc>
        <w:tc>
          <w:tcPr>
            <w:tcW w:w="8220" w:type="dxa"/>
            <w:vAlign w:val="bottom"/>
            <w:tcBorders>
              <w:top w:val="single" w:sz="8" w:color="CCEEFF"/>
            </w:tcBorders>
            <w:gridSpan w:val="24"/>
          </w:tcPr>
          <w:p>
            <w:pPr>
              <w:ind w:left="28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9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11.</w:t>
              </w:r>
            </w:hyperlink>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12.</w:t>
              </w:r>
            </w:hyperlink>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Security Ownership of Certain Beneficial Owners and Management and Related Stockholder Matters</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13.</w:t>
              </w:r>
            </w:hyperlink>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14.</w:t>
              </w:r>
            </w:hyperlink>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Principal Accounting Fees and Services</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tcBorders>
              <w:bottom w:val="single" w:sz="8" w:color="0000EE"/>
            </w:tcBorders>
            <w:gridSpan w:val="5"/>
          </w:tcPr>
          <w:p>
            <w:pPr>
              <w:spacing w:after="0" w:line="176" w:lineRule="exact"/>
              <w:rPr>
                <w:rFonts w:ascii="Arial" w:cs="Arial" w:eastAsia="Arial" w:hAnsi="Arial"/>
                <w:sz w:val="18"/>
                <w:szCs w:val="18"/>
                <w:color w:val="0000EE"/>
                <w:w w:val="94"/>
              </w:rPr>
            </w:pPr>
            <w:hyperlink w:anchor="page101">
              <w:r>
                <w:rPr>
                  <w:rFonts w:ascii="Arial" w:cs="Arial" w:eastAsia="Arial" w:hAnsi="Arial"/>
                  <w:sz w:val="18"/>
                  <w:szCs w:val="18"/>
                  <w:color w:val="0000EE"/>
                  <w:w w:val="94"/>
                </w:rPr>
                <w:t>PART IV</w:t>
              </w:r>
            </w:hyperlink>
          </w:p>
        </w:tc>
        <w:tc>
          <w:tcPr>
            <w:tcW w:w="20" w:type="dxa"/>
            <w:vAlign w:val="bottom"/>
            <w:tcBorders>
              <w:bottom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80" w:type="dxa"/>
            <w:vAlign w:val="bottom"/>
            <w:gridSpan w:val="5"/>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Statements Schedules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5"/>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Item 16.</w:t>
              </w:r>
            </w:hyperlink>
          </w:p>
        </w:tc>
        <w:tc>
          <w:tcPr>
            <w:tcW w:w="20" w:type="dxa"/>
            <w:vAlign w:val="bottom"/>
          </w:tcPr>
          <w:p>
            <w:pPr>
              <w:spacing w:after="0"/>
              <w:rPr>
                <w:sz w:val="15"/>
                <w:szCs w:val="15"/>
                <w:color w:val="auto"/>
              </w:rPr>
            </w:pPr>
          </w:p>
        </w:tc>
        <w:tc>
          <w:tcPr>
            <w:tcW w:w="8220" w:type="dxa"/>
            <w:vAlign w:val="bottom"/>
            <w:gridSpan w:val="24"/>
          </w:tcPr>
          <w:p>
            <w:pPr>
              <w:ind w:left="28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10-K Summary</w:t>
              </w:r>
            </w:hyperlink>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20" w:type="dxa"/>
            <w:vAlign w:val="bottom"/>
            <w:gridSpan w:val="24"/>
            <w:shd w:val="clear" w:color="auto" w:fill="CCEEFF"/>
          </w:tcPr>
          <w:p>
            <w:pPr>
              <w:ind w:left="28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Signatures</w:t>
              </w:r>
            </w:hyperlink>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on Form 10-K include, but are not limited to, statements about:</w:t>
      </w:r>
    </w:p>
    <w:p>
      <w:pPr>
        <w:spacing w:after="0" w:line="16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enrollment, and timing of our clinical trials;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us or our third-party contract manufacturers to continue to manufacture tumor infiltrating lymphocytes, or TIL, in accordance with our selected process;</w:t>
      </w:r>
    </w:p>
    <w:p>
      <w:pPr>
        <w:ind w:left="680" w:hanging="32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design, construct and staff our own manufacturing facility on a timely basis and within the estimated expenses;</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of America, or U.S., and foreign countries;</w:t>
      </w:r>
    </w:p>
    <w:p>
      <w:pPr>
        <w:spacing w:after="0" w:line="9" w:lineRule="exact"/>
        <w:rPr>
          <w:rFonts w:ascii="Arial" w:cs="Arial" w:eastAsia="Arial" w:hAnsi="Arial"/>
          <w:sz w:val="18"/>
          <w:szCs w:val="18"/>
          <w:color w:val="auto"/>
        </w:rPr>
      </w:pPr>
    </w:p>
    <w:p>
      <w:pPr>
        <w:ind w:left="680" w:right="5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U.S. Food and Drug Administration, or the FDA, or other regulatory authority approval of, or other action with respect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 w:lineRule="exact"/>
        <w:rPr>
          <w:rFonts w:ascii="Arial" w:cs="Arial" w:eastAsia="Arial" w:hAnsi="Arial"/>
          <w:sz w:val="17"/>
          <w:szCs w:val="17"/>
          <w:color w:val="auto"/>
        </w:rPr>
      </w:pPr>
    </w:p>
    <w:p>
      <w:pPr>
        <w:ind w:left="680" w:right="106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ind w:left="680" w:right="1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other research and development and strategic collaborations;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manufacturing methods and product candidates;</w:t>
      </w: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trading price of our common stock;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Actual results may differ from those set forth in this Annual Report on Form 10-K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may not be reflected in the final analyses of these trials including new cohorts within these trials; the results obtained in our ongoing clinical trials, such as the studies and trials referred to in this Annual Report on Form 10-K,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Annual Report on Form 10-K speaks only as of the date of this Annual Report on Form 10-K or as of the date on which it is made. Except as required by law, we undertake no obligation to publicly update any forward-looking statements, whether because of new information, future events or otherwise, after the date of this Annual Report on Form 10-K.</w:t>
      </w:r>
    </w:p>
    <w:p>
      <w:pPr>
        <w:spacing w:after="0" w:line="16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Unless the context requires otherwise, in this report the terms “Iovance,” the “Company,” “we,” “us” and “our” refer to Iovance Biotherapeutics, Inc.</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We are a clinical-stage biopharmaceutical company pioneering a transformational approach to cure cancer by harnessing the human immune system’s ability to recognize and destroy diverse cancer cells in each patient. TIL therapy is an autologous, polyclonal cell therapy platform technology that was originally developed by the National Cancer Institute, or NCI, which conducted initial clinical trials of this therapy in diseases such as metastatic melanoma and cervical cancer. Our mission is to be the global leader in innovating, developing and delivering TIL therapies for patients with cancer. We have developed a new, shorter TIL manufacturing process known as Gen 2, which yields a cryopreserved TIL product. This centralized, proprietary, and scalable manufacturing method is being investigated in multiple indications. Our lead product candidates include lifileucel for metastatic melanoma and metastatic cervical cancer, as well as LN-145 for metastatic non-small cell lung cancer, or NSCLC. In addition, we are investigating the effectiveness and safety of combinations of TIL therapy with immune checkpoint inhibitors, or ICIs, in metastatic melanoma, cervical cancer, NSCLC, and head and neck squamous cell carcinoma, or HNSCC. We are investigating peripheral blood lymphocyte, or PBL, therapy for patients with relapsed or refractory chronic lymphocytic leukemia, or CLL, and small lymphocytic lymphoma, or SLL, through our sponsored trials. We are developing first-in-class genetically edited TIL products based on the inactivation of genes that encode immune checkpoint proteins and other proteins, as well as the insertion of genes that encode immunomodulatory proteins. We are also developing an alternative interleukin-2, or IL-2, co-therapy for use with TIL therapies. Finally, we are investigating the potential for TIL therapy in other oncology indications and treatment settings through academic collaborations with leading cancer research centers.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product candidate pipeline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14605</wp:posOffset>
            </wp:positionV>
            <wp:extent cx="6069330" cy="3000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933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Monotherapy in Metastatic Solid Tumor Cancers</w:t>
      </w:r>
    </w:p>
    <w:p>
      <w:pPr>
        <w:spacing w:after="0" w:line="225"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 xml:space="preserve">We have investigated TIL monotherapy in metastatic melanoma, cervical cancer, NSCLC and HNSCC. We are conducting a Phase 2 clinical trial, C-144-01, of our lead TIL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the submission of a Biologics License Application, or BLA, to the FDA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annual meeting, or ASCO, in June 2019 and most recently updated at ASCO in June 2021. As of the data extract in April 2021, in 66 patients with metastatic melanoma in Cohort 2, treatment with lifileucel resulted in an objective response rate, or ORR, of 36%, as assessed by investigator, with 3 complete responses and 21 partial responses. The disease control rate, or DCR, was 80.3%. Median duration of response, or DOR, in Cohort 2 had not been reached after 33.1 months of median study follow up. Results from Cohort 2 presented at ASCO in June 2021 also suggest that early intervention with lifileucel at the time of initial progression on anti-PD-1 therapy may maximize benefit. Patients in Cohort 2 were heavily pretreated and had a mean of 3.3 prior therapies. We have previously reported durable responses across a wide age range of metastatic melanoma patients, among those who have received prior anti-CTLA-4 and BRAF targeted treatments, regardless of BRAF mutation status, and in patients with PD-L1 high and low status. The adverse event profile was generally consistent with the underlying advanced disease and the profile of the lymphodepletion and IL-2 regimens. In addition, detailed Cohort 2 data was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May 2021.</w:t>
      </w:r>
    </w:p>
    <w:p>
      <w:pPr>
        <w:spacing w:after="0" w:line="174" w:lineRule="exact"/>
        <w:rPr>
          <w:sz w:val="20"/>
          <w:szCs w:val="20"/>
          <w:color w:val="auto"/>
        </w:rPr>
      </w:pPr>
    </w:p>
    <w:p>
      <w:pPr>
        <w:ind w:right="40" w:firstLine="492"/>
        <w:spacing w:after="0" w:line="272" w:lineRule="auto"/>
        <w:rPr>
          <w:sz w:val="20"/>
          <w:szCs w:val="20"/>
          <w:color w:val="auto"/>
        </w:rPr>
      </w:pPr>
      <w:r>
        <w:rPr>
          <w:rFonts w:ascii="Arial" w:cs="Arial" w:eastAsia="Arial" w:hAnsi="Arial"/>
          <w:sz w:val="17"/>
          <w:szCs w:val="17"/>
          <w:color w:val="auto"/>
        </w:rPr>
        <w:t>Pivotal Cohort 4 of the C-144-01 trial was enrolled to evaluate ORR as read out by an Independent Review Committee, or IRC, as the primary endpoint based on our interpretation of discussions with the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 A total of 87 patients were dosed with Gen 2 product released for Cohort 4. In May 2020, we disclosed initial results from Cohort 4 for 68 patients with two radiological assessments, as determined by investigator.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Previously,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have continued our ongoing work developing and validating our potency assays and have engaged in discussions with the FDA during the second half of 2021. Our BLA submission for lifileucel in metastatic melanoma is expected to occur during the first half of 2022. In connection with this BLA submission, the IRC is expected to independently assess responses for Cohort 4 patients through the data cut date, which must be completed prior to BLA submission or disclosure of IRC-read data.</w:t>
      </w:r>
    </w:p>
    <w:p>
      <w:pPr>
        <w:spacing w:after="0" w:line="192" w:lineRule="exact"/>
        <w:rPr>
          <w:sz w:val="20"/>
          <w:szCs w:val="20"/>
          <w:color w:val="auto"/>
        </w:rPr>
      </w:pPr>
    </w:p>
    <w:p>
      <w:pPr>
        <w:ind w:right="20" w:firstLine="492"/>
        <w:spacing w:after="0" w:line="267" w:lineRule="auto"/>
        <w:rPr>
          <w:sz w:val="20"/>
          <w:szCs w:val="20"/>
          <w:color w:val="auto"/>
        </w:rPr>
      </w:pPr>
      <w:r>
        <w:rPr>
          <w:rFonts w:ascii="Arial" w:cs="Arial" w:eastAsia="Arial" w:hAnsi="Arial"/>
          <w:sz w:val="17"/>
          <w:szCs w:val="17"/>
          <w:color w:val="auto"/>
        </w:rPr>
        <w:t>We are also conducting a Phase 2 clinical trial, C-145-04, which is a multicenter pivotal trial to assess the safety and efficacy of our lead product candidate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development in the treatment of cervical cancer. Results from the C-145-04 clinical trial were reported at ASCO in June 2019. In 27 patients with metastatic cervical cancer, treatment with lifileucel resulted in an ORR of 44%. At the time of the study data cut, there were 3 complete responses and 9 partial responses. The DCR was 85%. Patients were heavily pretreated and had a mean of 2.4 prior therapies. The median DOR had not been reached. The adverse event profile was generally consistent with the underlying advanced disease and the profile of the lymphodepletion and IL-2 regimens. In November 2019, we amended the C-145-04 trial to collect additional data on early-line patients as well as late-line patients by adding additional cohorts, in anticipation of a changing landscape in this indication, including Cohort 2 for patients that had previously received chemotherapy and anti-PD-1/anti-PD-L1 therapy. In January 2021, we announced that Cohort 2 of the C-145-04 trial had completed enrollment and that data from this cohort may be supportive of registration because of the expected changing landscape of care for cervical cancer patients. For example, because of recent regulatory approvals for pembrolizumab, there may be a potential shift from chemotherapy in front-line cervical cancer followed by pembrolizumab in second-line cervical cancer to the use of pembrolizumab in combination with chemotherapy in first-line cervical cancer. We intend to execute our registrational strategy based on dialog and feedback from the FDA on these cohorts and continue to plan for a potential BLA submission for lifileucel in cervical cancer.</w:t>
      </w:r>
    </w:p>
    <w:p>
      <w:pPr>
        <w:spacing w:after="0" w:line="190"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In November 2020, we announced that we had finalized the protocol for our potential registrational clinical trial in NSCLC, IOV-LUN-202, to investigate LN-145 in patients with metastatic NSCLC, without driver mutations, who previously received a single line of approved systemic therapy of combined checkpoint inhibitor and chemotherapy. The IOV-LUN-202 clinical trial includes three cohorts. Cohorts 1 and 3 of the IOV-LUN-202 clinical trial are enrolling patients with a PD-L1 TPS of less than one percent at the time they started front-line therapy, and Cohort 2 will enroll patients with a PD-L1 TPS of greater than or equal to one percent at the time they started front-line therapy. Cohort 3 will also explore manufacturing TIL extracted from core biopsies using our third-generation, or Gen 3, manufacturing process. In June 2021, we reported that the first patient was dosed in the IOV-LUN-202 clinical trial. We intend to continue to enroll patients in the IOV-LUN-202 clinical trial throughout 2022. We are engaged in regulatory discussions with the FDA on IOV-LUN-202 and intend to incorporate FDA feedback to optimize this clinical trial to support further registration in NSCLC.</w:t>
      </w:r>
    </w:p>
    <w:p>
      <w:pPr>
        <w:spacing w:after="0" w:line="166"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In June 2021, we reported initial data for LN-145 in Cohort 3B of our IOV-COM-202 clinical trial in metastatic NSCLC. IOV-COM-202 is a Phase 2, multicenter trial that is composed of seven cohorts. Cohort 3B of IOV-COM-202 enrolled patients with metastatic NSCLC that had progressed on prior ICI therapy, including patients with oncogene-driven tumors who received prior tyrosine kinase inhibitor therapy. Patients were treated with LN-145 monotherapy. We reported results from Cohort 3B of the IOV-COM-202 trial in June 2021. The ORR was 21.4% for the 28 patients in the analysis population, including one complete response and five partial responses, and the DCR was 64.3%, including two responders with PD-L1 negative tumors, and 3 responders who had primary refractory disease to checkpoint inhibitors. The treatment emergent adverse event, or TEAE, profile was consistent with the underlying disease and known adverse event profiles of non-myeloablative lymphodepletion and IL-2. All patients treated in Cohort 3B of the IOV-COM-202 trial received prior anti-PD-1/L1 therapy and all six responding patients also received prior chemotherapy. Historically, ORRs of approximately 20% were reported with ICIs as second-line therapy in ICI-naïve patients who progressed on front-line chemotherapy. We also provided an update on Cohort 3B at the Society for Immunotherapy in Cancer Annual Meeting, or SITC, in November 2021. As of the data extract in August 2021, following one-time treatment with LN-145 monotherapy, the ORR remained at 21.4% for the 28 patients in the analysis population, and was 25% in the efficacy-evaluable set of 24 patients, including one complete response and five partial responses. One complete response and one partial response were ongoing at 20.7 months and 3.0 months, respectively, at a median study follow up of 9.8 months.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C-145-03 is our Phase 2, multicenter trial to assess the safety and efficacy of our product candidate LN-145 for the treatment of patients with metastatic HNSCC. In October 2018, we reported that preliminary data for 13 patients in the C-145-03 clinical trial yielded an ORR of 31% with a DOR ranging from 2.8 to 7.6 months. The adverse event profile remained consistent with previous reports.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will close the C-145-03 clinical trial after the trial reached its pre-specified enrollment target.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Combinations in Earlier Treatment Settings for Solid Tumors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are investigating the potential of our TIL therapies in earlier lines of treatment in combination with pembrolizumab or other ICIs in cancer patients who are naïve to anti-PD-1 therapy. ICIs are a class of immunotherapy drugs that seek to overcome one of cancer’s main escape mechanisms against an immune system attack. PD-1 is a checkpoint protein found on immune cells called T cells that normally acts as a type of “off switch” which helps prevent T cells from attacking other cells in the body. It is activated by binding to PD-L1, a protein found on both normal and cancerous cells, which thereby may shut down an attack by a T cell. Some cancer cells have large amounts of PD-L1 expressed on their surfaces, which helps them evade T cell attack.</w:t>
      </w:r>
    </w:p>
    <w:p>
      <w:pPr>
        <w:spacing w:after="0" w:line="178"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color w:val="auto"/>
        </w:rPr>
        <w:t>We are investigating the potential for our TIL therapy mechanism, together with checkpoint inhibition provided by ICIs, to improve response rates compared to ICIs alone in several sold tumor types, including in four cohorts in our IOV-COM-202 study in solid tumors as well as in one cohort in our C-145-04 clinical study in cervical cancer. In addition to its ongoing enrollment in the U.S., the IOV-COM-202 trial has also received regulatory approval in Canada and in certain European countries.</w:t>
      </w:r>
    </w:p>
    <w:p>
      <w:pPr>
        <w:spacing w:after="0" w:line="171"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Cohort 1A of the IOV-COM-202 trial, we are enrolling advanced unresectable or metastatic melanoma patients who are naïve to anti-PD-1 therapy. We reported results from ongoing Cohort 1A of the IOV-COM-202 trial at ASCO in June 2021, as follows, from the initial seven patients. Seven patients received lifileucel in combination with pembrolizumab. Six of the seven patients had a confirmed objective response, with an ORR of 86%, including two complete responses, one unconfirmed complete response who had not yet reached the confirmatory complete response assessment, and three partial responses, with one best response of stable disease. The complete response rate, including the unconfirmed complete response, was 43%. The median follow up was 8.2 months. The Cohort 1A results also demonstrated that lifileucel can be safely combined with pembrolizumab. In November 2021, we provided updated results from 10 patients in an oral presentation at SITC in which there was a demonstrated ORR of 60%. Six out of the 10 patients had a confirmed objective response, including three complete responses and three partial responses. Historically, ORRs of 33% and a CR rate of 6% have been reported for pembrolizumab monotherapy in metastatic melanoma. Based on these results, we plan to expand enrollment in this cohort in early line melanoma in 2022.</w:t>
      </w:r>
    </w:p>
    <w:p>
      <w:pPr>
        <w:spacing w:after="0" w:line="182"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Cohort 2A of the IOV-COM-202 trial, we are enrolling advanced, recurrent, or metastatic HNSCC patients who are naïve to prior immunotherapy including anti-PD-1/anti-PD-L1 therapy. The patients receive LN-145 in combination with pembrolizumab. We reported results from ongoing Cohort 2A of the IOV-COM-202 trial at the SITC meeting in November 2020, as follows. As of October 16, 2020, nine HNSCC patients have received LN-145 plus pembrolizumab with a median duration of follow up of 8.6 months. Four patients had a confirmed, objective response with an ORR of 44% including one complete response and three partial responses. Median DOR was not reached. The DCR at data cutoff was 89% in nine patients, and seven of the eight evaluable patients, or 87.5%, had a reduction in target lesions. The median number of prior therapies was 1.0 with 89% of the patients having received prior chemotherapy. Four patients were positive for Human Papilloma Virus, or HPV, three patients were HPV negative, and two patients had unknown HPV status. In November 2021, we provided updated results from 18 patients in an oral presentation at SITC in which there was a demonstrated ORR of 38.9%. Seven out of the 18 patients had an objective response, including one complete response, one unconfirmed complete response, four partial responses and one unconfirmed partial response. Historically, ORRs of 17% have been reported for pembrolizumab monotherapy in patients with HNSCC.</w:t>
      </w:r>
    </w:p>
    <w:p>
      <w:pPr>
        <w:spacing w:after="0" w:line="179"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Our oral presentation at SITC in November 2021 also included initial results from 14 patients treated with a combination of TIL therapy plus pembrolizumab in Cohort 3 of our C-145-04 cervical cancer study. The ORR was 57.1%, and eight out of 14 patients had an objective response, including one complete response, six partial responses and one unconfirmed partial response. Cervical cancer patients previously treated with standard of care systemic therapy achieve an ORR of 11%-14% with pembrolizumab monotherapy.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92"/>
        <w:spacing w:after="0" w:line="311" w:lineRule="auto"/>
        <w:rPr>
          <w:sz w:val="20"/>
          <w:szCs w:val="20"/>
          <w:color w:val="auto"/>
        </w:rPr>
      </w:pPr>
      <w:r>
        <w:rPr>
          <w:rFonts w:ascii="Arial" w:cs="Arial" w:eastAsia="Arial" w:hAnsi="Arial"/>
          <w:sz w:val="16"/>
          <w:szCs w:val="16"/>
          <w:color w:val="auto"/>
        </w:rPr>
        <w:t>The Cohort 1A and Cohort 2A results from the IOV-COM-202 study as well as Cohort 3 from the C-145-04 study demonstrated that lifileucel or LN-145 can be safely combined with pembrolizumab. The TEAE profile in all Cohorts was consistent with the underlying advanced disease and the known adverse event profiles of pembrolizumab, lymphodepletion, and IL-2 regimens.</w:t>
      </w:r>
    </w:p>
    <w:p>
      <w:pPr>
        <w:spacing w:after="0" w:line="149"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Two additional cohorts, Cohort 3A and 3C in the IOV-COM-202 study, explore LN-145/ICI combination therapies in NSCLC patients. Cohort 3A is evaluating LN-145 in combination with pembrolizumab in patients with recurrent or metastatic NSCLC who have not received prior immunotherapy, including checkpoint inhibitors. Cohort 3C is investigating LN-145 therapy in combination with ipilimumab and nivolumab in patients with recurrent or metastatic NSCLC who have previously received one line of approved checkpoint inhibitor monotherapy as the only prior line of systemic therapy.</w:t>
      </w:r>
    </w:p>
    <w:p>
      <w:pPr>
        <w:spacing w:after="0" w:line="188"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 xml:space="preserve">In September 2021, we announced that our Iovance Cell Therapy Center, or the </w:t>
      </w:r>
      <w:r>
        <w:rPr>
          <w:rFonts w:ascii="Arial" w:cs="Arial" w:eastAsia="Arial" w:hAnsi="Arial"/>
          <w:sz w:val="18"/>
          <w:szCs w:val="18"/>
          <w:i w:val="1"/>
          <w:iCs w:val="1"/>
          <w:color w:val="auto"/>
        </w:rPr>
        <w:t>i</w:t>
      </w:r>
      <w:r>
        <w:rPr>
          <w:rFonts w:ascii="Arial" w:cs="Arial" w:eastAsia="Arial" w:hAnsi="Arial"/>
          <w:sz w:val="18"/>
          <w:szCs w:val="18"/>
          <w:color w:val="auto"/>
        </w:rPr>
        <w:t>CTC, had successfully manufactured and delivered its first clinical batch of LN-145 for the IOV-COM-202 trial, representing our first internally manufactured TIL product. We continue to supply the IOV-COM-202 trial, and other ongoing trials, with both internally manufactured and externally manufactured TIL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and Genetically Modified Product Candidates</w:t>
      </w:r>
    </w:p>
    <w:p>
      <w:pPr>
        <w:spacing w:after="0" w:line="225"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color w:val="auto"/>
        </w:rPr>
        <w:t>Our clinical pipeline also includes next generation TIL product candidates and manufacturing processes, as well as a cytokine-engrafted protein. Our TIL candidate LN-145-S1, in which TIL are selected for PD-1 expression, is being investigated in post-anti-PD-1 melanoma in Cohort 1B of our IOV-COM-202 basket study as well as in post-anti-PD-1 HNSCC in Cohort 4 of our C-145-03 trial.</w:t>
      </w:r>
    </w:p>
    <w:p>
      <w:pPr>
        <w:spacing w:after="0" w:line="149"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We are using our Gen 3 manufacturing process in Cohort 1C of the IOV-COM-202 clinical trial in melanoma and in Cohort 3 of the IOV-LUN-202 clinical trial in NSCLC and have previously used it in the C-145-03 clinical trial in HNSCC.</w:t>
      </w:r>
    </w:p>
    <w:p>
      <w:pPr>
        <w:spacing w:after="0" w:line="170"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In November 2019, we announced that our Investigational New Drug, or IND, application for our PBL therapy, IOV-2001, was authorized by the FDA. Our sponsored clinical trial using this therapy, IOV-CLL-01, was cleared to proceed and patient dosing began in 2020. IOV-2001 is a non-genetically modified, polyclonal T cell product that is manufactured using a nine-day process starting from 50 mL of patient's blood. IOV-CLL-01 is a Phase 1/2 clinical trial evaluating the safety and efficacy of IOV-2001 in patients with relapsed or refractory CLL or SLL.</w:t>
      </w:r>
    </w:p>
    <w:p>
      <w:pPr>
        <w:spacing w:after="0" w:line="188"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The worldwide exclusive license enables us to use certain TALEN® technology addressing multiple gene targets to develop TIL that have been genetically modified to create potentially more potent cancer therapies for use in several cancer indications. We are nearing completion of IND-enabling studies under this agreement and expect to initiate our first clinical study in 2022 of a genetically modified TIL product candidate, IOV-4001, in which the gene coding for the PD-1 protein is inactivated. Financial terms of the license include development, regulatory and sales milestone payments from us to Cellectis, as well as royalty payments based on net sales of TALEN-modified TIL products. In addition to IOV-4001, we are currently developing additional targets for genetic modification using the TALEN technology, including double-knock out programs in preclinical development.</w:t>
      </w:r>
    </w:p>
    <w:p>
      <w:pPr>
        <w:spacing w:after="0" w:line="166"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We continue to explore additional transient and permanent genetic modifications of TILs. For example, under the amended and restated patent license agreement we entered into in May 2021 with National Institutes of Health, or NIH, an agency of the U.S. Public Health Service within the Department of Health and Human Services, we license a patent family related to cytokine-tethered TILs, which are intended to potentially expand and activate TILs to achieve better efficacy while avoiding systemic side effects of cytokines. We are currently developing cytokine-tethered TIL products in preclinical studies.</w:t>
      </w:r>
    </w:p>
    <w:p>
      <w:pPr>
        <w:spacing w:after="0" w:line="176" w:lineRule="exact"/>
        <w:rPr>
          <w:sz w:val="20"/>
          <w:szCs w:val="20"/>
          <w:color w:val="auto"/>
        </w:rPr>
      </w:pPr>
    </w:p>
    <w:p>
      <w:pPr>
        <w:ind w:right="140" w:firstLine="492"/>
        <w:spacing w:after="0" w:line="275" w:lineRule="auto"/>
        <w:rPr>
          <w:sz w:val="20"/>
          <w:szCs w:val="20"/>
          <w:color w:val="auto"/>
        </w:rPr>
      </w:pPr>
      <w:r>
        <w:rPr>
          <w:rFonts w:ascii="Arial" w:cs="Arial" w:eastAsia="Arial" w:hAnsi="Arial"/>
          <w:sz w:val="17"/>
          <w:szCs w:val="17"/>
          <w:color w:val="auto"/>
        </w:rPr>
        <w:t>In addition, in January 2020, we obtained a license from Novartis Pharma AG, or Novartis, to develop and commercialize an antibody cytokine 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We are currently conducting IND-enabling studies of this novel IL-2 analog. Novartis is also entitled to low-to-mid single digit percentage royalties from commercial sales of IOV-3001.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Investigator-Sponsored Trials</w:t>
      </w:r>
    </w:p>
    <w:p>
      <w:pPr>
        <w:spacing w:after="0" w:line="22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Through our academic collaborators, we are also exploring the potential for TIL therapies in additional indications. As part of our collaboration program with The University of Texas M.D. Anderson Cancer Center, or MDACC, two Phase 2 trials were initiated in 2018. Both trials are sponsored by MDACC. The first trial, NCT03449108, investigates LN-145 manufactured by us, using our manufacturing processes, to treat patients with soft tissue sarcoma, osteosarcoma, platinum resistant ovarian cancer, and thyroid cancer. A second trial under the collaboration with MDACC, NCT03610490, was previously active. This trial treated patients with platinum resistant ovarian cancer, pancreatic and colorectal cancer with TIL manufactured by MDACC. The data obtained using this manufacturing process may not be representative of our data using our Gen 2 manufacturing process. We also collaborate with many other academic institutions using our TIL therapies. For example, a trial in collaboration with The Ohio State University, NCT05176470, is expected to start recruiting in 2022, and explores the use of lifileucel in high-risk melanoma in the neoadjuvant setting.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229"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color w:val="auto"/>
        </w:rPr>
        <w:t>We aim to be the global leader in innovating, developing and delivering TIL therapy for patients with cancer. We are pioneering a transformational approach to cure cancer by harnessing the human immune system’s ability to recognize and destroy diverse cancer cells in each patient. We are committed to continuous innovation in developing TIL cell therapy, including gene-edited cell therapy, shorter manufacturing processes, and alternatives to IL-2 across a spectrum of tumor types including but not limited to melanoma, cervical cancer, NSCLC and HNSCC that may extend and improve life for patients with cancer. Key elements of our strategy include:</w:t>
      </w:r>
    </w:p>
    <w:p>
      <w:pPr>
        <w:spacing w:after="0" w:line="161"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b w:val="1"/>
          <w:bCs w:val="1"/>
          <w:i w:val="1"/>
          <w:iCs w:val="1"/>
          <w:color w:val="auto"/>
        </w:rPr>
        <w:t>Expedite clinical development, regulatory approval, and commercialization of our lead product candidate lifileucel for the treatment of metastatic melanoma as well as Iovance TIL and additional polyclonal cell therapies for cancer.</w:t>
      </w:r>
    </w:p>
    <w:p>
      <w:pPr>
        <w:spacing w:after="0" w:line="12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Based on results of TIL therapy from our own clinical trials in metastatic melanoma as well as trials sponsored by the NCI, we are focused on expediting the development, regulatory approval and commercialization of our lead product candidate, lifileucel, for the treatment of patients with metastatic melanoma. We intend to file a BLA for lifileucel in metastatic melanoma in the first half of 2022. We are also investigating TIL monotherapy as a one-time treatment for advanced cervical cancer and NSCLC patients who have progressed following standard of care treatments, TIL in combination with ICIs for melanoma, cervical, NSCLC and HNSCC as treatment in earlier disease settings, and a PBL therapy intended to address hematologic malignancies.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Continue to expand manufacturing capacity for TIL products.</w:t>
      </w:r>
    </w:p>
    <w:p>
      <w:pPr>
        <w:spacing w:after="0" w:line="225"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We continue to invest in improving the process and efficiency of manufacturing our product candidates in the U.S. and Europe for TIL manufacturing.</w:t>
      </w:r>
    </w:p>
    <w:p>
      <w:pPr>
        <w:spacing w:after="0" w:line="170"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 xml:space="preserve">We began construction of the </w:t>
      </w:r>
      <w:r>
        <w:rPr>
          <w:rFonts w:ascii="Arial" w:cs="Arial" w:eastAsia="Arial" w:hAnsi="Arial"/>
          <w:sz w:val="17"/>
          <w:szCs w:val="17"/>
          <w:i w:val="1"/>
          <w:iCs w:val="1"/>
          <w:color w:val="auto"/>
        </w:rPr>
        <w:t>i</w:t>
      </w:r>
      <w:r>
        <w:rPr>
          <w:rFonts w:ascii="Arial" w:cs="Arial" w:eastAsia="Arial" w:hAnsi="Arial"/>
          <w:sz w:val="17"/>
          <w:szCs w:val="17"/>
          <w:color w:val="auto"/>
        </w:rPr>
        <w:t xml:space="preserve">CTC, our own manufacturing facility, in 2019, in Philadelphia, Pennsylvania, in order to provide for better margins and rapid implementation of innovative changes for TIL therapies that we may develop or commercialize. We intend to carefully manage our cost structure, and reduce the long-term cost of manufacturing our products, although there can be no assurance that we will be able to reduce our manufacturing costs to commercially attractive levels. As of the end of 2021, we have completed commissioning activities and the </w:t>
      </w:r>
      <w:r>
        <w:rPr>
          <w:rFonts w:ascii="Arial" w:cs="Arial" w:eastAsia="Arial" w:hAnsi="Arial"/>
          <w:sz w:val="17"/>
          <w:szCs w:val="17"/>
          <w:i w:val="1"/>
          <w:iCs w:val="1"/>
          <w:color w:val="auto"/>
        </w:rPr>
        <w:t>i</w:t>
      </w:r>
      <w:r>
        <w:rPr>
          <w:rFonts w:ascii="Arial" w:cs="Arial" w:eastAsia="Arial" w:hAnsi="Arial"/>
          <w:sz w:val="17"/>
          <w:szCs w:val="17"/>
          <w:color w:val="auto"/>
        </w:rPr>
        <w:t>CTC had successfully manufactured and delivered first clinical batch of LN-145 for the IOV-COM-202 trial, representing our first internally manufactured TIL product.</w:t>
      </w:r>
    </w:p>
    <w:p>
      <w:pPr>
        <w:spacing w:after="0" w:line="178"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 xml:space="preserve">Currently we use the </w:t>
      </w:r>
      <w:r>
        <w:rPr>
          <w:rFonts w:ascii="Arial" w:cs="Arial" w:eastAsia="Arial" w:hAnsi="Arial"/>
          <w:sz w:val="18"/>
          <w:szCs w:val="18"/>
          <w:i w:val="1"/>
          <w:iCs w:val="1"/>
          <w:color w:val="auto"/>
        </w:rPr>
        <w:t>i</w:t>
      </w:r>
      <w:r>
        <w:rPr>
          <w:rFonts w:ascii="Arial" w:cs="Arial" w:eastAsia="Arial" w:hAnsi="Arial"/>
          <w:sz w:val="18"/>
          <w:szCs w:val="18"/>
          <w:color w:val="auto"/>
        </w:rPr>
        <w:t xml:space="preserve">CTC as well as several contract manufacturing organizations, or CMOs, to supply our TIL-based products for our clinical trials under various manufacturing services agreements, or MSAs. The use of CMOs is intended to supplement the manufacturing capacity at the </w:t>
      </w:r>
      <w:r>
        <w:rPr>
          <w:rFonts w:ascii="Arial" w:cs="Arial" w:eastAsia="Arial" w:hAnsi="Arial"/>
          <w:sz w:val="18"/>
          <w:szCs w:val="18"/>
          <w:i w:val="1"/>
          <w:iCs w:val="1"/>
          <w:color w:val="auto"/>
        </w:rPr>
        <w:t>i</w:t>
      </w:r>
      <w:r>
        <w:rPr>
          <w:rFonts w:ascii="Arial" w:cs="Arial" w:eastAsia="Arial" w:hAnsi="Arial"/>
          <w:sz w:val="18"/>
          <w:szCs w:val="18"/>
          <w:color w:val="auto"/>
        </w:rPr>
        <w:t>CTC.</w:t>
      </w:r>
    </w:p>
    <w:p>
      <w:pPr>
        <w:spacing w:after="0" w:line="184"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In 2016, we entered into a three-year MSA and related statements of work with WuXi Advanced Therapies, Inc., or WuXi, for two current Good Manufacturing Practices, or cGMP, manufacturing suites to be established and operated by WuXi for us in order to increase our TIL manufacturing capacity in facilities with both clinical and commercial capability for two suites. We have since extended our MSA with WuXi until February 2022 for the first suite and December 2022 for the second suite.</w:t>
      </w:r>
    </w:p>
    <w:p>
      <w:pPr>
        <w:spacing w:after="0" w:line="171" w:lineRule="exact"/>
        <w:rPr>
          <w:sz w:val="20"/>
          <w:szCs w:val="20"/>
          <w:color w:val="auto"/>
        </w:rPr>
      </w:pPr>
    </w:p>
    <w:p>
      <w:pPr>
        <w:ind w:right="520" w:firstLine="492"/>
        <w:spacing w:after="0" w:line="342" w:lineRule="auto"/>
        <w:rPr>
          <w:sz w:val="20"/>
          <w:szCs w:val="20"/>
          <w:color w:val="auto"/>
        </w:rPr>
      </w:pPr>
      <w:r>
        <w:rPr>
          <w:rFonts w:ascii="Arial" w:cs="Arial" w:eastAsia="Arial" w:hAnsi="Arial"/>
          <w:sz w:val="16"/>
          <w:szCs w:val="16"/>
          <w:color w:val="auto"/>
        </w:rPr>
        <w:t>In 2017, we entered into a three-year MSA and related statements of work with PharmaCell B.V., or PharmaCell, a contract manufacturing services company based in the Netherlands, to manufacture our autologous cell therapy products for use in our</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European clinical trials. PharmaCell was subsequently acquired by Lonza Group Ltd., or Lonza. Lonza continues to manufacture TIL products for our European clinical trials in its clinical and commercial facility in Geleen, the Netherlands. We have since extended our agreements with Lonza until April 2022.</w:t>
      </w:r>
    </w:p>
    <w:p>
      <w:pPr>
        <w:spacing w:after="0" w:line="184"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Also in 2017, we entered into a two-year MSA and related statements of work with Moffitt, to manufacture our autologous cell therapy products for use in clinical trials, which has since been extended until March 2025. Moffitt continues to manufacture TIL products for our clinical trials in the U.S.</w:t>
      </w:r>
    </w:p>
    <w:p>
      <w:pPr>
        <w:spacing w:after="0" w:line="184" w:lineRule="exact"/>
        <w:rPr>
          <w:sz w:val="20"/>
          <w:szCs w:val="20"/>
          <w:color w:val="auto"/>
        </w:rPr>
      </w:pPr>
    </w:p>
    <w:p>
      <w:pPr>
        <w:ind w:right="660" w:firstLine="492"/>
        <w:spacing w:after="0" w:line="277" w:lineRule="auto"/>
        <w:rPr>
          <w:sz w:val="20"/>
          <w:szCs w:val="20"/>
          <w:color w:val="auto"/>
        </w:rPr>
      </w:pPr>
      <w:r>
        <w:rPr>
          <w:rFonts w:ascii="Arial" w:cs="Arial" w:eastAsia="Arial" w:hAnsi="Arial"/>
          <w:sz w:val="18"/>
          <w:szCs w:val="18"/>
          <w:b w:val="1"/>
          <w:bCs w:val="1"/>
          <w:i w:val="1"/>
          <w:iCs w:val="1"/>
          <w:color w:val="auto"/>
        </w:rPr>
        <w:t>Continue to improve our TIL manufacturing processes and develop new TIL manufacturing technology to become the preferred provider of TIL therapy in the U.S. and the rest of the world.</w:t>
      </w:r>
    </w:p>
    <w:p>
      <w:pPr>
        <w:spacing w:after="0" w:line="170" w:lineRule="exact"/>
        <w:rPr>
          <w:sz w:val="20"/>
          <w:szCs w:val="20"/>
          <w:color w:val="auto"/>
        </w:rPr>
      </w:pPr>
    </w:p>
    <w:p>
      <w:pPr>
        <w:ind w:right="100" w:firstLine="492"/>
        <w:spacing w:after="0" w:line="269" w:lineRule="auto"/>
        <w:rPr>
          <w:sz w:val="20"/>
          <w:szCs w:val="20"/>
          <w:color w:val="auto"/>
        </w:rPr>
      </w:pPr>
      <w:r>
        <w:rPr>
          <w:rFonts w:ascii="Arial" w:cs="Arial" w:eastAsia="Arial" w:hAnsi="Arial"/>
          <w:sz w:val="17"/>
          <w:szCs w:val="17"/>
          <w:color w:val="auto"/>
        </w:rPr>
        <w:t xml:space="preserve">We are currently manufacturing TIL for our ongoing clinical studies at the </w:t>
      </w:r>
      <w:r>
        <w:rPr>
          <w:rFonts w:ascii="Arial" w:cs="Arial" w:eastAsia="Arial" w:hAnsi="Arial"/>
          <w:sz w:val="17"/>
          <w:szCs w:val="17"/>
          <w:i w:val="1"/>
          <w:iCs w:val="1"/>
          <w:color w:val="auto"/>
        </w:rPr>
        <w:t>i</w:t>
      </w:r>
      <w:r>
        <w:rPr>
          <w:rFonts w:ascii="Arial" w:cs="Arial" w:eastAsia="Arial" w:hAnsi="Arial"/>
          <w:sz w:val="17"/>
          <w:szCs w:val="17"/>
          <w:color w:val="auto"/>
        </w:rPr>
        <w:t>CTC and remain on track to provide commercial supply from this facility upon potential BLA approval. We believe that we are the only company in the U.S. to have a centralized, demonstrated, and commercially viable TIL manufacturing process. In 2018, we first utilized our Gen 2 TIL manufacturing process, which reduced TIL manufacturing time from 5-6 weeks to 22 days, allowing for a commercially viable product candidate. The Gen 2 process also produces a cryopreserved TIL product for ease of administration and handling. The Gen 2 manufacturing process was utilized in Cohort 2 and Cohort 4 of our C-144-01 trial and has also been selected for use in most of our ongoing TIL clinical development program. We have included Gen 2 as the manufacturing process for registration for our discussions with the FDA and the anticipated BLA filing for lifileucel. Our strategy is to establish our Gen 2 process as a commercial manufacturing process for TIL therapies, including lifileucel. We also continue to develop and evaluate potential future TIL manufacturing processes, including our 16-day Gen 3 process and genetically modified TIL and other next generation TIL products and processes.</w:t>
      </w:r>
    </w:p>
    <w:p>
      <w:pPr>
        <w:spacing w:after="0" w:line="185" w:lineRule="exact"/>
        <w:rPr>
          <w:sz w:val="20"/>
          <w:szCs w:val="20"/>
          <w:color w:val="auto"/>
        </w:rPr>
      </w:pPr>
    </w:p>
    <w:p>
      <w:pPr>
        <w:ind w:right="440" w:firstLine="492"/>
        <w:spacing w:after="0" w:line="342" w:lineRule="auto"/>
        <w:rPr>
          <w:sz w:val="20"/>
          <w:szCs w:val="20"/>
          <w:color w:val="auto"/>
        </w:rPr>
      </w:pPr>
      <w:r>
        <w:rPr>
          <w:rFonts w:ascii="Arial" w:cs="Arial" w:eastAsia="Arial" w:hAnsi="Arial"/>
          <w:sz w:val="16"/>
          <w:szCs w:val="16"/>
          <w:b w:val="1"/>
          <w:bCs w:val="1"/>
          <w:i w:val="1"/>
          <w:iCs w:val="1"/>
          <w:color w:val="auto"/>
        </w:rPr>
        <w:t>Collaborate with governmental, academic and corporate partners to improve and develop TIL and PBL therapies for new indications or for use in combination with other therapies, and to evaluate new manufacturing methods.</w:t>
      </w:r>
    </w:p>
    <w:p>
      <w:pPr>
        <w:spacing w:after="0" w:line="124" w:lineRule="exact"/>
        <w:rPr>
          <w:sz w:val="20"/>
          <w:szCs w:val="20"/>
          <w:color w:val="auto"/>
        </w:rPr>
      </w:pPr>
    </w:p>
    <w:p>
      <w:pPr>
        <w:ind w:right="40" w:firstLine="492"/>
        <w:spacing w:after="0" w:line="268" w:lineRule="auto"/>
        <w:rPr>
          <w:sz w:val="20"/>
          <w:szCs w:val="20"/>
          <w:color w:val="auto"/>
        </w:rPr>
      </w:pPr>
      <w:r>
        <w:rPr>
          <w:rFonts w:ascii="Arial" w:cs="Arial" w:eastAsia="Arial" w:hAnsi="Arial"/>
          <w:sz w:val="17"/>
          <w:szCs w:val="17"/>
          <w:color w:val="auto"/>
        </w:rPr>
        <w:t xml:space="preserve">In addition to our own research and process development efforts, we seek to collaborate with government, academic research institutions, and corporate partners to improve TIL manufacturing and to develop and explore TIL therapies for new indications. For example, we have ongoing licensing agreements and collaborations with Moffitt, MDACC, Yale University, Cellectis, Novartis, Melanoma Institute Australia, or MIA, and Beth-Israel Deaconess Medical Center, or BIDMC, to evaluate several new solid tumor and hematologic indications for TIL and PBL therapy in clinical and preclinical studies as well as, in some cases, new TIL manufacturing approaches. In August 2021, we extended our Cooperative Research and Development Agreement, or CRADA, with the NCI for another 3-year term. This collaboration with the NCI is directed at research on unmodified TIL therapy and also addresses HPV-associated cancers (cervical and head and neck), lung, bladder, and breast cancers. This collaboration also focuses on Strategies to expand TIL with less differentiated and more stem-like attributes which may result in improved persistence, functionality, and better anti-tumor activity. For example, in December 2021 we presented data at ESMO Immuno-oncology 2021 that demonstrated temporally inhibiting AKT signaling during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TIL expansion enhances cytokine production and function while increasing the population of less differentiated (CD39/CD69) CD8+T-Cells. A description of certain of these collaborations and related agreements is provided in the following sections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Iovance-Sponsored Clinical Trials</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currently have six ongoing Phase 2 clinical studies. The ongoing studies include C-144-01, of our lead product candidate, lifileucel, for the treatment of metastatic melanoma; C-145-04, of our product candidate lifileucel for recurrent, metastatic or persistent cervical cancer; IOV-LUN-202, a potentially registration-supporting study of our product candidate LN-145 in NSCLC; IOV-COM-202, a basket trial that will treat three cohorts of checkpoint naïve patients with TIL therapy in combination with pembrolizumab for metastatic melanoma, HNSCC and NSCLC, a cohort that will treat relapsed and refractory NSCLC patients with TIL monotherapy, as well as a cohort for NSCLC for TIL therapy in combination with ipilimumab and nivolumab. Additional melanoma cohorts are offered in this trial as well to investigate Gen 3 manufacturing and PD-1 selected TIL. In 2021, we completed enrollment in an additional study, C-145-03, of LN-145, for recurrent and/or metastatic HNSCC.</w:t>
      </w:r>
    </w:p>
    <w:p>
      <w:pPr>
        <w:spacing w:after="0" w:line="178"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We are also investigating polyclonal T cell therapy in blood cancers. Our Phase 1/2 clinical trial, IOV-CLL-01, is enrolling patients with CLL/SLL to receive our PBL therapy, IOV-2001. Additional information about our clinical trials is presented as follows: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Lifileucel for Metastatic Melanoma</w:t>
      </w:r>
    </w:p>
    <w:p>
      <w:pPr>
        <w:spacing w:after="0" w:line="225"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We are developing lifileucel to treat metastatic melanoma. Melanoma is a common type of skin cancer, accounting for approximately 106,110 patients diagnosed and 7,180 deaths each year in the U.S. according to the NCI’s Surveillance, Epidemiology and End Results program, or SEER, program. Our Phase 2 trial, C-144-01, is a prospective, registrational, four-cohort interventional study evaluating lifileucel in metastatic melanoma patients who have progressed after prior anti-PD-1 therapy and if BRAF mutant, after BRAF or BRAF/MEK inhibitor therapy. Patients enrolled in this trial to date have failed several prior treatment regimens. Lifileucel has received a RMAT designation from the FDA in metastatic melanoma.</w:t>
      </w:r>
    </w:p>
    <w:p>
      <w:pPr>
        <w:spacing w:after="0" w:line="192"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Patients with metastatic melanoma who have failed at least one treatment under the current standards of care have an unfavorable prognosis with very few curative treatment options. The National Comprehensive Cancer Network, or NCCN, makes recommendations for the treatment of patients with unresectable or metastatic melanoma. Initial therapy can include checkpoint inhibitors either alone or in combination (ipilimumab, nivolumab, pembrolizumab), targeted therapies for patients with BRAF mutations (dabrafenib/trametinib, vemurafenib/cobimetinib, or other combinations). For patients not responding or progressing and who have an adequate clinical status, agents selected from the previous list or of a different therapeutic class can be used as well as high dose IL-2. NCCN experts also recommend participating in a clinical trial at any stage of disease. Patients who do not respond to the current second-line therapies have very few treatment options and typically have a very poor prognosis, with limited median survival measured in months. According to estimates from the SEER program, there were approximately 7,180 deaths due to melanoma. If approved, we believe lifileucel may be able to treat a portion of the patients that have received all other approved treatment options.</w:t>
      </w:r>
    </w:p>
    <w:p>
      <w:pPr>
        <w:spacing w:after="0" w:line="168"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C-144-01 is investigating lifileucel in advanced melanoma patients who have been treated with at least one systemic therapy including an anti-PD-1 antibody, and if BRAF mutation positive, a BRAF inhibitor or BRAF inhibitor with MEK inhibitor. We are using our Gen 2 manufacturing process for most of our ongoing Phase 2 trials, and as a result, Cohort 1 of C-144-01, using our Generation 1, or Gen 1, manufacturing process, was closed to enrollment in 2017 and subsequent patients were enrolled in Cohorts 2-4, both of which use our Gen 2 process. The planned enrollment in C-144-01 was reached in late 2018 and Cohort 2 is closed to enrollment. Cohort 3 is a retreatment cohort. Cohort 4, a pivotal cohort, was added in 2019 and completed dosing in January 2020.</w:t>
      </w:r>
    </w:p>
    <w:p>
      <w:pPr>
        <w:spacing w:after="0" w:line="164"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Clinical results from Cohort 2 in the C-144-01 clinical study have been presented at several medical meetings. Initial results from Cohort 2 were initially reported at ASCO in June 2019 and most recently updated at ASCO in June 2021. In 66 patients with metastatic melanoma, treatment with lifileucel resulted in an ORR of 36%, with 2 complete responses and 22 partial responses. The DCR was 80%. Patients were heavily pretreated and had a mean of 3.3 prior therapies. In June 2021, we announced that median DOR in Cohort 2 had still not been reached after 33.1 months of median study follow up, as assessed by investigator. The adverse event profile was generally consistent with the underlying advanced disease and the profile of the lymphodepletion and IL-2 regimens.</w:t>
      </w:r>
    </w:p>
    <w:p>
      <w:pPr>
        <w:spacing w:after="0" w:line="16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Pivotal Cohort 4 of the C-144-01 trial was enrolled to evaluate ORR as read out by an Independent Review Committee, or IRC, as the primary endpoint based on our interpretation of discussions with the U.S. Food and Drug Administration, or the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 A total of 87 patients were dosed with Gen 2 product released for Cohort 4. In May 2020, we disclosed initial results from Cohort 4 for 68 patients with two radiological assessments, as determined by investigator.</w:t>
      </w:r>
    </w:p>
    <w:p>
      <w:pPr>
        <w:spacing w:after="0" w:line="17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Previously,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have continued our ongoing work developing and validating our potency assays and have engaged in discussions with the FDA during the second half of 2021. Our BLA submission for lifileucel in metastatic melanoma is expected to occur during the first half of 2022. In connection with this BLA submission, the IRC is expected to independently assess responses for Cohort 4 patients through the data cut date, which must be completed prior to BLA submission or disclosure of IRC-read data.</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Lifileucel for Cervical Cancer</w:t>
      </w:r>
    </w:p>
    <w:p>
      <w:pPr>
        <w:spacing w:after="0" w:line="225"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We are also developing lifileucel for the treatment of cervical cancer. Lifileucel for metastatic cervical cancer was formerly known as LN-145. According to estimates from the SEER program, approximately 14,480 women were diagnosed with cervical cancer, and approximately 4,290 cervical cancer-related deaths occurred in the U.S.</w:t>
      </w:r>
    </w:p>
    <w:p>
      <w:pPr>
        <w:spacing w:after="0" w:line="184"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C-145-04 is an ongoing Phase 2, multicenter pivotal trial that will assess the safety and efficacy of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BTD from the FDA for development in the treatment of cervical cancer. Results from the C-145-04 clinical trial were reported at ASCO in June 2019. In 27 patients with metastatic cervical cancer, treatment with lifileucel resulted in an ORR of 44%. In the study there were 3 complete responses and 9 partial responses. The DCR was 85%. Patients were heavily pretreated and had a mean of 2.4 prior therapies. The median DOR had not been reached. The median follow-up was 7.4 months. The adverse event profile was generally consistent with the underlying advanced disease and the profile of the lymphodepletion and IL-2 regimens.</w:t>
      </w:r>
    </w:p>
    <w:p>
      <w:pPr>
        <w:spacing w:after="0" w:line="16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Based on an EOP2 meeting held with the FDA in June 2019, the FDA has acknowledged that results from the C-145-04 clinical trial may be sufficient to support registration of lifileucel in the treatment of patients with metastatic cervical cancer. In accordance with the FDA’s recommendations, the protocol was amended, to further define the patient population in Cohort 1 as outlined below. In November 2019, in order to evaluate lifileucel in additional lines of therapy in cervical cancer and to address the emerging treatment landscape, we amended the C-145-04 trial to collect additional data on combination therapy in early-line patients as well as TIL alone in late-line patients. These additional cohorts also allowed access to TIL therapy when the pivotal Cohort 1 was completed. The C-145-04 trial currently consists of the following cohorts of cervical cancer patients with recurrent, persistent, or metastatic disease:</w:t>
      </w:r>
    </w:p>
    <w:p>
      <w:pPr>
        <w:spacing w:after="0" w:line="166" w:lineRule="exact"/>
        <w:rPr>
          <w:sz w:val="20"/>
          <w:szCs w:val="20"/>
          <w:color w:val="auto"/>
        </w:rPr>
      </w:pPr>
    </w:p>
    <w:p>
      <w:pPr>
        <w:ind w:left="840" w:hanging="319"/>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1 has completed enrollment in patients who have progressed during or after systematic chemotherapy;</w:t>
      </w:r>
    </w:p>
    <w:p>
      <w:pPr>
        <w:spacing w:after="0" w:line="23" w:lineRule="exact"/>
        <w:rPr>
          <w:rFonts w:ascii="Arial" w:cs="Arial" w:eastAsia="Arial" w:hAnsi="Arial"/>
          <w:sz w:val="18"/>
          <w:szCs w:val="18"/>
          <w:color w:val="auto"/>
        </w:rPr>
      </w:pPr>
    </w:p>
    <w:p>
      <w:pPr>
        <w:ind w:left="840" w:right="260" w:hanging="319"/>
        <w:spacing w:after="0" w:line="250"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2 has closed enrollment to patients for treatment with lifileucel who have progressed during or after treatment with anti-PD-1/anti-PD-L1 checkpoint inhibitor in addition to systematic chemotherapy;</w:t>
      </w:r>
    </w:p>
    <w:p>
      <w:pPr>
        <w:ind w:left="840" w:right="280" w:hanging="319"/>
        <w:spacing w:after="0" w:line="265"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Cohort 3 is enrolling patients who have not received prior systemic therapy for recurrent, metastatic, or persistent disease, and will explore safety and efficacy of the combination of the lifileucel regimen with pembrolizumab;</w:t>
      </w:r>
    </w:p>
    <w:p>
      <w:pPr>
        <w:ind w:left="840" w:hanging="319"/>
        <w:spacing w:after="0" w:line="250"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4 includes patients who have been previously enrolled but do not fit Cohort 1-3, including patients dosed with product produced by our Gen 1 TIL manufacturing process; and</w:t>
      </w:r>
    </w:p>
    <w:p>
      <w:pPr>
        <w:ind w:left="840" w:right="500" w:hanging="319"/>
        <w:spacing w:after="0" w:line="260"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5 is enrolling patients for retreatment with LN-145 for patients who have progressed after initial treatment with lifileucel.</w:t>
      </w:r>
    </w:p>
    <w:p>
      <w:pPr>
        <w:spacing w:after="0" w:line="185"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Given the emerging treatment landscape in cervical cancer, including the approval of pembrolizumab in combination with chemotherapy as a first-line treatment, we are engaging with the FDA to discuss our planned BLA submission and intend to execute our strategy based on feedback from the FDA for the BLA.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LN-145 for NSCLC</w:t>
      </w:r>
    </w:p>
    <w:p>
      <w:pPr>
        <w:spacing w:after="0" w:line="225"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We are developing LN-145 alone and in combination with approved therapies to treat NSCLC. According to estimates from the SEER program, approximately 235,760 people were diagnosed with lung and bronchus cancers, and approximately 131,880 deaths occurred related to these cancers in the U.S. in 2021.</w:t>
      </w:r>
    </w:p>
    <w:p>
      <w:pPr>
        <w:spacing w:after="0" w:line="18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In November 2020, we announced that we had finalized the protocol for our potential registrational clinical trial in NSCLC, IOV-LUN-202, to investigate LN-145 in patients with recurrent or metastatic NSCLC, without driver mutations, who previously received a single line of approved systemic therapy of combined checkpoint inhibitor and chemotherapy. The IOV-LUN-202 clinical trial, which continues to enroll patients, includes three cohorts. Cohorts 1 and 3 of the IOV-LUN-202 clinical trial are enrolling patients who presented with a PD-L1 tumor proportion score, or TPS, of less than one percent at the time they started front-line therapy. Cohort 2 is enrolling patients with a PD-L1 TPS of greater than or equal to one percent at the time they started front-line therapy. In Cohort 3 we are exploring LN-145 manufactured from core biopsy using our Gen 3 manufacturing process. Patient dosing commenced in IOV-LUN-202 in the second quarter of 2021 and we intend to continue to enroll patients in the IOV-LUN-202 clinical trial throughout 2022.</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LN-145 for Head and Neck Cancer</w:t>
      </w:r>
    </w:p>
    <w:p>
      <w:pPr>
        <w:spacing w:after="0" w:line="225" w:lineRule="exact"/>
        <w:rPr>
          <w:sz w:val="20"/>
          <w:szCs w:val="20"/>
          <w:color w:val="auto"/>
        </w:rPr>
      </w:pPr>
    </w:p>
    <w:p>
      <w:pPr>
        <w:jc w:val="both"/>
        <w:ind w:right="240" w:firstLine="492"/>
        <w:spacing w:after="0" w:line="286" w:lineRule="auto"/>
        <w:rPr>
          <w:sz w:val="20"/>
          <w:szCs w:val="20"/>
          <w:color w:val="auto"/>
        </w:rPr>
      </w:pPr>
      <w:r>
        <w:rPr>
          <w:rFonts w:ascii="Arial" w:cs="Arial" w:eastAsia="Arial" w:hAnsi="Arial"/>
          <w:sz w:val="17"/>
          <w:szCs w:val="17"/>
          <w:color w:val="auto"/>
        </w:rPr>
        <w:t>We are also developing LN-145 to treat head and neck cancer. According to estimates from the SEER program, approximately 66,630 people were diagnosed with head and neck-related cancers, which are referred to by the SEER program as oral cavity, pharynx and larynx cancers, and approximately 14,620 head and neck-related cancer deaths occurred in the U.S.</w:t>
      </w:r>
    </w:p>
    <w:p>
      <w:pPr>
        <w:spacing w:after="0" w:line="16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June 2017, we enrolled our first patient in our ongoing Phase 2 trial, C-145-03, for the treatment of patients with recurrent and/or metastatic squamous cell carcinoma of the head and neck, who have failed one prior therapy. In 2018, preliminary data for 13 patients who were administered a mix of Gen 1 and Gen 2 products, was released showing an ORR of 31%, with 4 partial responses, with the DOR ranging from 2.8 to 7.6 months. Patients in the study had a median of three prior therapies. The safety findings from this study were also consistent with previous reports. The most common TEAEs observed at the time of that data cut included chills, hypotension, pyrexia, hyponatremia, and anemia. As additional results are reported for the C-145-03 study, the safety profile of LN-145 may change. We changed the design of our C-145-03 trial in 2020 so that enrolled patients would also be treated using either LN-145 produced from the Gen 3 manufacturing process or PD-1 selected TIL, known as LN-145-S1, from the PD-1 selected TIL manufacturing process in two separate cohorts. In January 2021, we announced that we are closing the C-145-03 clinical trial after the trial reached its pre-specified enrollment target.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Lifileucel and LN-145 in Combination with Pembrolizumab and Other Immunotherapies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to the trials for lifileucel and LN-145 mentioned above, we are developing these products alone or in combination with pembrolizumab or other ICIs for melanoma, head and neck and NSCLC in our clinical trial IOV-COM-202, a Phase 2, multicenter trial that is composed of seven cohorts. In May 2019, we reported that the first patient was dosed in the IOV-COM-202 trial. In addition to the U.S., the IOV-COM-202 trial has active sites in Canada and in certain European countries. The IOV-COM-202 trial now consists of the following cohorts of patients:</w:t>
      </w:r>
    </w:p>
    <w:p>
      <w:pPr>
        <w:spacing w:after="0" w:line="188" w:lineRule="exact"/>
        <w:rPr>
          <w:sz w:val="20"/>
          <w:szCs w:val="20"/>
          <w:color w:val="auto"/>
        </w:rPr>
      </w:pPr>
    </w:p>
    <w:p>
      <w:pPr>
        <w:ind w:left="840" w:right="460" w:hanging="319"/>
        <w:spacing w:after="0" w:line="255"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1A: patients with advanced unresectable or metastatic melanoma who have not received prior immunotherapy, including checkpoint inhibitors such as anti-PD-1/anti-PD-L1 therapy, for treatment with lifileucel in combination with pembrolizumab;</w:t>
      </w:r>
    </w:p>
    <w:p>
      <w:pPr>
        <w:spacing w:after="0" w:line="2" w:lineRule="exact"/>
        <w:rPr>
          <w:rFonts w:ascii="Arial" w:cs="Arial" w:eastAsia="Arial" w:hAnsi="Arial"/>
          <w:sz w:val="18"/>
          <w:szCs w:val="18"/>
          <w:color w:val="auto"/>
        </w:rPr>
      </w:pPr>
    </w:p>
    <w:p>
      <w:pPr>
        <w:ind w:left="840" w:hanging="319"/>
        <w:spacing w:after="0" w:line="265"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Cohort 1B: melanoma patients who have progressed during or after treatment with anti-PD-1/anti-PD-L1 checkpoint inhibitor and if BRAF mutant, after BRAF or BRAF/MEK inhibitor therapy for treatment with LN-145-S1;</w:t>
      </w:r>
    </w:p>
    <w:p>
      <w:pPr>
        <w:jc w:val="both"/>
        <w:ind w:left="840" w:hanging="319"/>
        <w:spacing w:after="0" w:line="25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1C: melanoma patients who have progressed during or after treatment with anti-PD-1/anti-PD-L1 checkpoint inhibitor and if BRAF mutant, after BRAF or BRAF/MEK inhibitor therapy, for treatment with LN-145 manufactured using our Gen 3 process;</w:t>
      </w:r>
    </w:p>
    <w:p>
      <w:pPr>
        <w:spacing w:after="0" w:line="1" w:lineRule="exact"/>
        <w:rPr>
          <w:rFonts w:ascii="Arial" w:cs="Arial" w:eastAsia="Arial" w:hAnsi="Arial"/>
          <w:sz w:val="18"/>
          <w:szCs w:val="18"/>
          <w:color w:val="auto"/>
        </w:rPr>
      </w:pPr>
    </w:p>
    <w:p>
      <w:pPr>
        <w:ind w:left="840" w:right="240" w:hanging="319"/>
        <w:spacing w:after="0" w:line="25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2A: patients with advanced, recurrent, or metastatic HNSCC who are naïve to prior immunotherapy including anti-PD-1/anti-PD-L1 therapy, for treatment with LN-145 in combination with pembrolizumab;</w:t>
      </w:r>
    </w:p>
    <w:p>
      <w:pPr>
        <w:ind w:left="840" w:right="600" w:hanging="319"/>
        <w:spacing w:after="0" w:line="25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3A: patients with NSCLC who are naïve to prior immunotherapy including anti-PD-1/anti-PD-L1 therapy, for treatment with LN-145 in combination with pembrolizumab;</w:t>
      </w:r>
    </w:p>
    <w:p>
      <w:pPr>
        <w:ind w:left="840" w:right="100" w:hanging="319"/>
        <w:spacing w:after="0" w:line="25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3B: patients with NSCLC who have previously received systemic therapy, which could include checkpoint inhibitors or tyrosine kinase inhibitors, for treatment with LN-145 alone; and</w:t>
      </w:r>
    </w:p>
    <w:p>
      <w:pPr>
        <w:ind w:left="840" w:right="620" w:hanging="319"/>
        <w:spacing w:after="0" w:line="26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3C: patients with NSCLC who have progressed after one prior systemic therapy for treatment with LN-145 in combination with ipilimumab/nivolumab.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IOV-2001 PBL for CLL or SLL</w:t>
      </w:r>
    </w:p>
    <w:p>
      <w:pPr>
        <w:spacing w:after="0" w:line="22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In November 2019, we announced that our IND for IOV-2001 was approved by the FDA and that our sponsored clinical trial using this therapy, IOV-CLL-01, was cleared to proceed. IOV-2001 is a non-genetically modified, polyclonal T cell product that is manufactured using a nine-day process from 50 mL of a patient's blood sample. IOV-2001 is under investigation in a Phase 1/2 clinical trial for the treatment of CLL or SLL. Patients experiencing disease relapse during ibrutinib or acalabrutinib therapy treatment are eligible for this clinical trial. Preclinical studies of IOV-2001 have shown activity against autologous leukemia cancer cells, while treatment with ibrutinib and acalabrutinib has been demonstrated to improve the proliferation and effector functions of the IOV-2001 manufactured product.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Clinical Trials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TIL Therapy in Other Solid Tumor Indications</w:t>
      </w:r>
    </w:p>
    <w:p>
      <w:pPr>
        <w:spacing w:after="0" w:line="225" w:lineRule="exact"/>
        <w:rPr>
          <w:sz w:val="20"/>
          <w:szCs w:val="20"/>
          <w:color w:val="auto"/>
        </w:rPr>
      </w:pPr>
    </w:p>
    <w:p>
      <w:pPr>
        <w:jc w:val="both"/>
        <w:ind w:right="300" w:firstLine="492"/>
        <w:spacing w:after="0" w:line="263" w:lineRule="auto"/>
        <w:rPr>
          <w:sz w:val="20"/>
          <w:szCs w:val="20"/>
          <w:color w:val="auto"/>
        </w:rPr>
      </w:pPr>
      <w:r>
        <w:rPr>
          <w:rFonts w:ascii="Arial" w:cs="Arial" w:eastAsia="Arial" w:hAnsi="Arial"/>
          <w:sz w:val="18"/>
          <w:szCs w:val="18"/>
          <w:color w:val="auto"/>
        </w:rPr>
        <w:t>We are collaborating with MDACC on a clinical trial to evaluate TIL therapy in sarcomas, ovarian, and thyroid cancers. These trials, including NCT03449108, began enrolling patients in 2018. Patients in these trials are being treated with LN-145 or LN-145-S1 manufactured by us.</w:t>
      </w:r>
    </w:p>
    <w:p>
      <w:pPr>
        <w:spacing w:after="0" w:line="184"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We are also collaborating with Yale University on a clinical trial to evaluate TIL therapy in triple-negative breast cancer, or TNBC, NCT04111510, which opened for enrollment in 2020. Patients in this trial will be treated with LN-145 manufactured by us. We are also collaborating with Moffitt on a clinical trial, NCT04052334, to explore MCC TIL in adolescent and young adult patients with soft tissue sarcoma.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TIL Therapy in Combination with Other Immunotherapy Drugs and/or in Earlier Lines of Therapy</w:t>
      </w:r>
    </w:p>
    <w:p>
      <w:pPr>
        <w:spacing w:after="0" w:line="225"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We provide funding for a clinical trial, NCT03215810, conducted by Moffitt, which seeks to evaluate TIL therapy in combination with the checkpoint inhibitor nivolumab in NSCLC. This study is closed to enrollment. An additional clinical trial, NCT02652455, is being conducted by Moffitt to evaluate TIL therapy in combination with nivolumab in metastatic melanoma. We have also previously collaborated with Moffitt on a clinical trial, NCT01701674, to evaluate TIL therapy in combination with the CTLA-4 checkpoint inhibitor ipilimumab.</w:t>
      </w:r>
    </w:p>
    <w:p>
      <w:pPr>
        <w:spacing w:after="0" w:line="188"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In 2019, we entered into a collaboration with Moffitt to fund a Phase 1 trial of lymphodepletion plus TIL therapy with high-dose IL-2 in adolescent and young adult patients with soft tissue sarcoma in clinical trial NCT04052334.</w:t>
      </w:r>
    </w:p>
    <w:p>
      <w:pPr>
        <w:spacing w:after="0" w:line="170"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Under our CRADA, we are collaborating with the NCI on a clinical trial, NCT02621021, to evaluate TIL therapy in combination with the checkpoint inhibitor pembrolizumab in a 170-patient clinical trial in patients with advanced melanoma.</w:t>
      </w:r>
    </w:p>
    <w:p>
      <w:pPr>
        <w:spacing w:after="0" w:line="170"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We are collaborating with The Ohio State University to evaluate TIL therapy in high-risk melanoma in the neoadjuvant setting. This trial, NCT05176470, is expected to begin recruiting patients in 2022 who are diagnosed with stage IIIB-D melanoma that has spread to nearby tissue or lymph nodes (locally advanced). Patients in this trial will be treated with lifileucel manufactured by Iovance. The purpose of the study is to assess the feasibility of TIL expansion from all screened eligible patients who have had tumor-involved lymph nodes removed.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 Therapy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w:t>
      </w:r>
    </w:p>
    <w:p>
      <w:pPr>
        <w:spacing w:after="0" w:line="2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The immune system recognizes danger signals and responds to threats at a cellular level. The most significant components of the cellular aspect of the adaptive immune response are T cells, or T lymphocytes, so called because they mature in the thymus and are distinguished from B cells which mature in the bone marrow. T cells can be distinguished from other white blood cells by T cell receptors present on their cell surface. These receptors contribute to tumor surveillance by helping T cells recognize infected cells as well as cancerous cells. T cells are involved in both sensing and killing infected or cancerous cells, as well as coordinating the activation of other cells in an immune response.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Immunotherapy</w:t>
      </w:r>
    </w:p>
    <w:p>
      <w:pPr>
        <w:spacing w:after="0" w:line="225"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Despite the progress that has been made over the past several decades, effective treatment of cancer, especially solid tumors, continues to be challenging. Some reasons solid tumors are so difficult to treat are: (i) in many solid tumors, there are multiple genomic mutations, as well as intratumoral heterogeneity, (ii) there are numerous tumor neoantigens, with &lt;1% of them being shared across patients with the same tumor histology and it is not always clear which particular mutations are critical, and (iii) solid tumors can adapt and find a way to evade treatments that target a single mutation. In addition, the tumor itself and the tumor microenvironment can suppress the patient’s natural immune response. When T cells with cancer-specific receptors are absent, present in low numbers, of poor quality, or rendered inactive by suppressive mechanisms employed by tumor tissue, the cancer can grow and spread to various organs. In addition, standard of care treatments for cancer can be deleterious to T cells’ ability to kill cancer.</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We believe that adoptive cell therapy, specifically with the use of human polyclonal TIL cells as therapeutic entities to reengage the immune system, may be a significant advancement in the treatment of cancer. These one-time cellular therapies may avoid the long-term side effects associated with current treatments and have the potential to be effective. TIL therapy has the potential to treat solid tumors by increasing the effectiveness and number of a patient’s cancer-specific T cells. TIL therapy is polyclonal, and we believe that it is capable of targeting multiple tumor antigens on cancer cells. Furthermore, the non-myeloablative, or NMA, lymphodepleting chemotherapy administered prior to TIL infusion is capable of suppressing the hostile tumor microenvironment, which we believe will enhance the efficacy of TIL therapy.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Tumor-Infiltrating Lymphocytes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Gen 2 TIL therapy involves the following steps:</w:t>
      </w:r>
    </w:p>
    <w:p>
      <w:pPr>
        <w:spacing w:after="0" w:line="225" w:lineRule="exact"/>
        <w:rPr>
          <w:sz w:val="20"/>
          <w:szCs w:val="20"/>
          <w:color w:val="auto"/>
        </w:rPr>
      </w:pPr>
    </w:p>
    <w:p>
      <w:pPr>
        <w:ind w:left="920" w:hanging="318"/>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Remove tumor sample: A surgical biopsy is conducted to remove about 1.5 cm of the tumor.</w:t>
      </w:r>
    </w:p>
    <w:p>
      <w:pPr>
        <w:spacing w:after="0" w:line="225" w:lineRule="exact"/>
        <w:rPr>
          <w:rFonts w:ascii="Arial" w:cs="Arial" w:eastAsia="Arial" w:hAnsi="Arial"/>
          <w:sz w:val="18"/>
          <w:szCs w:val="18"/>
          <w:color w:val="auto"/>
        </w:rPr>
      </w:pPr>
    </w:p>
    <w:p>
      <w:pPr>
        <w:ind w:left="920" w:hanging="318"/>
        <w:spacing w:after="0" w:line="275"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 and rejuvenate patient-specific T cells using proprietary process: The tumor is fragmented to facilitate a clear path for TIL to leave the tumor tissue and placed in media. The ingredients and conditions in the culture media optimize the growth of TIL rather than other cell types. TIL are expanded exponentially ex vivo to yield billions (10</w:t>
      </w:r>
      <w:r>
        <w:rPr>
          <w:rFonts w:ascii="Arial" w:cs="Arial" w:eastAsia="Arial" w:hAnsi="Arial"/>
          <w:sz w:val="23"/>
          <w:szCs w:val="23"/>
          <w:color w:val="auto"/>
          <w:vertAlign w:val="superscript"/>
        </w:rPr>
        <w:t>9</w:t>
      </w:r>
      <w:r>
        <w:rPr>
          <w:rFonts w:ascii="Arial" w:cs="Arial" w:eastAsia="Arial" w:hAnsi="Arial"/>
          <w:sz w:val="16"/>
          <w:szCs w:val="16"/>
          <w:color w:val="auto"/>
        </w:rPr>
        <w:t xml:space="preserve"> – 10</w:t>
      </w:r>
      <w:r>
        <w:rPr>
          <w:rFonts w:ascii="Arial" w:cs="Arial" w:eastAsia="Arial" w:hAnsi="Arial"/>
          <w:sz w:val="23"/>
          <w:szCs w:val="23"/>
          <w:color w:val="auto"/>
          <w:vertAlign w:val="superscript"/>
        </w:rPr>
        <w:t>11</w:t>
      </w:r>
      <w:r>
        <w:rPr>
          <w:rFonts w:ascii="Arial" w:cs="Arial" w:eastAsia="Arial" w:hAnsi="Arial"/>
          <w:sz w:val="16"/>
          <w:szCs w:val="16"/>
          <w:color w:val="auto"/>
        </w:rPr>
        <w:t>) of TIL using our Gen 2 process. Our Gen 2 manufacturing process takes 22 days from receipt of the patient’s tumor at the manufacturing facility until cryopreservation of a product ready for shipping of the final TIL product to the institution for infusion of the TIL back into the patient. Initially cells grow slowly during the pre-rapid expansion, or pre-rep, phase (day 0-11) followed by a rapid expansion, or REP phase (day 11-22). Following the pre-rep phase, the cells are transferred to a larger bioreactor and feeder cells are introduced to further activate the TIL to proliferate during the REP phase. On Day 16 the TIL are harvested while maintaining a closed system before they are counted and placed into multiple bioreactors which are incubated one last time until Day 22. TIL are filtered, washed, concentrated and finally formulated with cryopreservation media on Day 22. Up to four final product bags are then prepared on Day 22, depending on total cell count.</w:t>
      </w:r>
    </w:p>
    <w:p>
      <w:pPr>
        <w:spacing w:after="0" w:line="180" w:lineRule="exact"/>
        <w:rPr>
          <w:rFonts w:ascii="Arial" w:cs="Arial" w:eastAsia="Arial" w:hAnsi="Arial"/>
          <w:sz w:val="16"/>
          <w:szCs w:val="16"/>
          <w:color w:val="auto"/>
        </w:rPr>
      </w:pPr>
    </w:p>
    <w:p>
      <w:pPr>
        <w:jc w:val="both"/>
        <w:ind w:left="920" w:right="20" w:hanging="318"/>
        <w:spacing w:after="0" w:line="311"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Lymphodepletion and infusion: To prepare for TIL infusion, patient receives NMA lymphodepletion to eliminate potentially suppressive tumor microenvironment and maximize engraftment and potential potency of TIL therapy; the patient is infused with their expanded TIL and subsequently administered up to 6 doses of IL 2 to promote T-cell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103505</wp:posOffset>
            </wp:positionV>
            <wp:extent cx="5349240" cy="2983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color w:val="auto"/>
        </w:rPr>
        <w:t>We currently treat patients with a single infusion of TIL product, although our protocols allow for more than one administration of TIL product. After infusion, TIL can potentially infiltrate the tumor microenvironment to eliminate large numbers of cancer cells. TIL can also further proliferate in the body. TIL therapy can potentially overcome several mechanisms of tumor escape to which endogenous T cells may be susceptible due to the hostile tumor microenvironment. In September 2020, we reported data at the European Society for Medical Oncology conference highlighting the reinvigoration of TIL during the Gen 2 manufacturing process.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Clinical Results with TIL in Metastatic Melanoma</w:t>
      </w:r>
    </w:p>
    <w:p>
      <w:pPr>
        <w:spacing w:after="0" w:line="225" w:lineRule="exact"/>
        <w:rPr>
          <w:sz w:val="20"/>
          <w:szCs w:val="20"/>
          <w:color w:val="auto"/>
        </w:rPr>
      </w:pPr>
    </w:p>
    <w:p>
      <w:pPr>
        <w:ind w:right="120" w:firstLine="492"/>
        <w:spacing w:after="0" w:line="254" w:lineRule="auto"/>
        <w:rPr>
          <w:sz w:val="20"/>
          <w:szCs w:val="20"/>
          <w:color w:val="auto"/>
        </w:rPr>
      </w:pPr>
      <w:r>
        <w:rPr>
          <w:rFonts w:ascii="Arial" w:cs="Arial" w:eastAsia="Arial" w:hAnsi="Arial"/>
          <w:sz w:val="18"/>
          <w:szCs w:val="18"/>
          <w:color w:val="auto"/>
        </w:rPr>
        <w:t>To date, hundreds of metastatic melanoma patients have already been treated with TIL therapy produced locally using different manufacturing methods at different academic institutions and hospitals in the U.S., Europe, Canada, and Israel. At the NCI, clinical responses have been relatively consistent in several trials that were conducted prior to anti-PD-1 treatment becoming the available standard of care for melanoma patients: over 50% of the melanoma patients treated with TIL achieved an objective response (i.e., tumor regression of 30% or more, as defined by RECIST criteria) and approximately 22-24% of patients have a complete response (tumor regression of 100%) with no evidence of disease remaining after only one administration. Most patients who have had a complete response remained in response in 3-7 years of follow up. Furthermore, patients can respond to TIL therapy regardless of their prior therapies.</w:t>
      </w:r>
    </w:p>
    <w:p>
      <w:pPr>
        <w:spacing w:after="0" w:line="192" w:lineRule="exact"/>
        <w:rPr>
          <w:sz w:val="20"/>
          <w:szCs w:val="20"/>
          <w:color w:val="auto"/>
        </w:rPr>
      </w:pPr>
    </w:p>
    <w:p>
      <w:pPr>
        <w:ind w:right="40" w:firstLine="492"/>
        <w:spacing w:after="0" w:line="284" w:lineRule="auto"/>
        <w:rPr>
          <w:sz w:val="20"/>
          <w:szCs w:val="20"/>
          <w:color w:val="auto"/>
        </w:rPr>
      </w:pPr>
      <w:r>
        <w:rPr>
          <w:rFonts w:ascii="Arial" w:cs="Arial" w:eastAsia="Arial" w:hAnsi="Arial"/>
          <w:sz w:val="16"/>
          <w:szCs w:val="16"/>
          <w:color w:val="auto"/>
        </w:rPr>
        <w:t>In September 2015, Dr. Steven Rosenberg, a recognized pioneer in immuno-oncology and adoptive cell therapy using TIL, presented updated findings from a Phase 2 clinical trial of TIL therapy in metastatic melanoma at the American Association for Cancer Research Inaugural International Cancer Immunotherapy Conference. Data was presented from a 101 patient, Phase 2 clinical trial conducted at the NCI. In the trial, patients with advanced metastatic melanoma were equally divided in two groups. Both groups were treated according to a standard TIL protocol using NMA chemotherapy, with the second group also receiving total body irradiation, or TBI. 54% of the patients treated with TIL therapy achieved an objective response. Out of the 101 patients, 24, or 24%, had experienced a complete response and 23 of the 24, or 96%, showed ongoing durability of this response at 30 to 47 months following treatment, at the time of publication. Median follow-up time was approximately 40.9 months. Overall survival, or OS, was approximately 80% at</w:t>
      </w:r>
    </w:p>
    <w:p>
      <w:pPr>
        <w:spacing w:after="0" w:line="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12 months, and median OS had not yet been achieved. Median progression-free survival was approximately 8-10 months. This observation was also presented by Dr. Stephanie Goff at the 2016 ASCO meeting and published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xml:space="preserve"> in June 2016. At the ASCO 2018 meeting, Dr. Goff presented updated findings from the trial. Notably, patients that had prior anti PD-1 treatment had an ORR of 20-25%.</w:t>
      </w:r>
    </w:p>
    <w:p>
      <w:pPr>
        <w:spacing w:after="0" w:line="193"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 xml:space="preserve">In August 2021, Seitter, et al., in a collaboration led by Dr. Rosenberg from the Surgery Branch of the NCI, published in </w:t>
      </w:r>
      <w:r>
        <w:rPr>
          <w:rFonts w:ascii="Arial" w:cs="Arial" w:eastAsia="Arial" w:hAnsi="Arial"/>
          <w:sz w:val="16"/>
          <w:szCs w:val="16"/>
          <w:i w:val="1"/>
          <w:iCs w:val="1"/>
          <w:color w:val="auto"/>
        </w:rPr>
        <w:t>Clinical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Cancer Research </w:t>
      </w:r>
      <w:r>
        <w:rPr>
          <w:rFonts w:ascii="Arial" w:cs="Arial" w:eastAsia="Arial" w:hAnsi="Arial"/>
          <w:sz w:val="16"/>
          <w:szCs w:val="16"/>
          <w:color w:val="auto"/>
        </w:rPr>
        <w:t>the patient outcomes based on two decades of experience with TIL therapy in metastatic melanoma. The ORR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cohort of 226 patients was 51%, with a complete response rate of 22%. The median overall survival and median melanoma-specific survival were 20.6 months and 22.2 months, respectively. The patients achieving a complete response (n=49) had a 10-year melanoma-specific survival of 96%. The ORR in the 192 patients who had not received anti-PD-1 therapy as a prior line of therapy was 56% with a median melanoma-specific survival of 28.5 months. Of the 43 patients who were refractory to anti-CTLA-4 therapy without exposure to anti-PD-1, there was no difference in the response rate (60%), when compared to those naïve to any immune checkpoint therapy (55%). Baseline demographic features, including BRAF status did not influence outcome. Prior therapies including refractoriness to anti-PD-1 and BRAF/MEK inhibitors affected outcome compared to patients who had no exposure to these agents. Out of the 226 patients reported, 34 were refractory to anti-PD-1 therapy and had an ORR of 24%, with a median melanoma-specific survival of 11.6 months. Decreased melanoma-specific survival was seen in patients refractory to BRAF/MEK inhibitors regardless of prior anti-PD-1 exposure with a median survival of 8.7 months (refractory to both anti-PD-1) and 12.1 months (naïve to anti-PD-1).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with TIL in Other Solid Tumor Indications</w:t>
      </w:r>
    </w:p>
    <w:p>
      <w:pPr>
        <w:spacing w:after="0" w:line="22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Under our CRADA with the NCI, we are providing research, development and clinical funding for the development of unmodified TIL therapy for a variety of solid tumor indications, including HPV-associated cancers (cervical, head and neck), melanoma, bladder, breast, lung cancers, glioblastoma multiforme, colorectal cancer, gastric cancer, pancreatic cancer, hepatocellular carcinoma and cholangiocarcinoma. Depending on results from the research and development and clinical trials conducted at the NCI under our CRADA, we may pursue the development and regulatory approval of TIL therapy for additional indications.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 xml:space="preserve">We continue to enroll patients in our ongoing clinical programs and we closely monitor our studies to learn about all safety events occurring, as described elsewhere in this Annual Report on Form 10-K. Some of these events may be associated with TIL therapy. Historically, the largest set of data for TIL therapy was generated by the NCI as part of their multiple clinical studies. Per publications from the NCI, toxicities or adverse events during TIL therapy have been mostly associated with either the lymphodepletion regimen or the IL-2 therapy given after TIL infusion as described by Goff et al.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xml:space="preserve"> in June 2016. The historical approach to the administration of IL-2 is to continue dosing until intolerance. Our trials, however, have limited administration of IL-2 to up to 6 doses.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Generation TIL Product Strategies</w:t>
      </w:r>
    </w:p>
    <w:p>
      <w:pPr>
        <w:spacing w:after="0" w:line="229" w:lineRule="exact"/>
        <w:rPr>
          <w:sz w:val="20"/>
          <w:szCs w:val="20"/>
          <w:color w:val="auto"/>
        </w:rPr>
      </w:pPr>
    </w:p>
    <w:p>
      <w:pPr>
        <w:ind w:right="20" w:firstLine="492"/>
        <w:spacing w:after="0" w:line="311" w:lineRule="auto"/>
        <w:rPr>
          <w:sz w:val="20"/>
          <w:szCs w:val="20"/>
          <w:color w:val="auto"/>
        </w:rPr>
      </w:pPr>
      <w:r>
        <w:rPr>
          <w:rFonts w:ascii="Arial" w:cs="Arial" w:eastAsia="Arial" w:hAnsi="Arial"/>
          <w:sz w:val="16"/>
          <w:szCs w:val="16"/>
          <w:color w:val="auto"/>
        </w:rPr>
        <w:t>We are developing next generation TIL products using owned and licensed intellectual property rights, in some cases in combination with collaborators such as Cellectis, as described elsewhere in this Annual Report on Form 10-K. These products include selected TIL therapies, genetically-modified and cytokine-tethered TIL therapies. We are also developing PBL therapy for CLL and SLL.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Development, Manufacturing, and Manufacturing Agreements</w:t>
      </w:r>
    </w:p>
    <w:p>
      <w:pPr>
        <w:spacing w:after="0" w:line="22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Our first generation TIL manufacturing process was based on the NCI’s original manufacturing and processing of TIL, which we modified so that it could be reproduced in a cGMP environment. This first-generation process expanded the number of TIL over a 5-to-6-week period and produced a non-cryopreserved product for administration to the patient. Our Gen 2 TIL manufacturing process, which was developed by our internal research and process development team, shortens the manufacturing process to 22 days while allowing for a cryopreserved product. The Gen 2 process is currently in use in almost all of our trials in which we manufacture TIL products, including lifileucel and LN-145. We have selected Gen 2 for product registration and ongoing and future TIL clinical development, although we continue to develop new TIL manufacturing processes. For example, at the SITC meeting in November 2021, we presented a poster on the expansion of TIL demonstrating the use of static bags for the clinical TIL manufacturing process. Furthermore, we have developed a third-generation manufacturing process, known as Gen 3 which has a shorter manufacturing process than Gen 2. We are testing Gen 3 in multiple clinical trials, as described elsewhere in this Annual Report on Form 10-K. We have also developed next generation manufacturing processes to genetically modify TIL using the TALEN technology licensed from Cellectis, including our lead preclinical program IOV-4001, as well as selections for TIL that are PD-1 positive, such as our product known as LN-145-S1.</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The Gen 2 manufacturing process begins with the collection of the patient’s tumor, which is then sent to a central manufacturing facility, where the T cells are isolated. These cells are stimulated to proliferate, then propagated in cell culture flasks until sufficient cells are available for infusion back into the patient. The TIL is then washed and put in media suitable for cryopreservation and infusion. The final product is shipped back to the clinical center where it can be administered to the patient. The following diagram illustrates our Gen 2 TIL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128270</wp:posOffset>
            </wp:positionV>
            <wp:extent cx="5795010" cy="3471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 xml:space="preserve">To meet projected needs for commercial quantities of TIL products, we have built our own commercial manufacturing facility, the </w:t>
      </w:r>
      <w:r>
        <w:rPr>
          <w:rFonts w:ascii="Arial" w:cs="Arial" w:eastAsia="Arial" w:hAnsi="Arial"/>
          <w:sz w:val="16"/>
          <w:szCs w:val="16"/>
          <w:i w:val="1"/>
          <w:iCs w:val="1"/>
          <w:color w:val="auto"/>
        </w:rPr>
        <w:t>i</w:t>
      </w:r>
      <w:r>
        <w:rPr>
          <w:rFonts w:ascii="Arial" w:cs="Arial" w:eastAsia="Arial" w:hAnsi="Arial"/>
          <w:sz w:val="16"/>
          <w:szCs w:val="16"/>
          <w:color w:val="auto"/>
        </w:rPr>
        <w:t>CTC, to manufacture TIL product using the Gen 2 manufacturing process. As of the end of 2021, we had completed the commissioning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activities at the </w:t>
      </w:r>
      <w:r>
        <w:rPr>
          <w:rFonts w:ascii="Arial" w:cs="Arial" w:eastAsia="Arial" w:hAnsi="Arial"/>
          <w:sz w:val="16"/>
          <w:szCs w:val="16"/>
          <w:i w:val="1"/>
          <w:iCs w:val="1"/>
          <w:color w:val="auto"/>
        </w:rPr>
        <w:t>i</w:t>
      </w:r>
      <w:r>
        <w:rPr>
          <w:rFonts w:ascii="Arial" w:cs="Arial" w:eastAsia="Arial" w:hAnsi="Arial"/>
          <w:sz w:val="16"/>
          <w:szCs w:val="16"/>
          <w:color w:val="auto"/>
        </w:rPr>
        <w:t>CTC and successfully manufactured and delivered the first clinical batch of LN-145 for the IOV-COM-202 trial, representing our first internally manufactured TIL product, as we continue our launch readiness activities to supply commercial TIL upon potential BLA approval. In addition, we have entered into MSAs with WuXi, Moffitt, and PharmaCell, which was acquired by Lonza, pursuant to which they have agreed to manufacture, package, ship and handle quality assurance and quality control of certain clinical trials for our TIL products working closely with our employees. We have two suites for clinical manufacturing at WuXi, and one of two suites is also available to manufacture TIL for commercial use. Cell processing activities are conducted at all facilities under cGMP, using qualified equipment and materials. We believe that all materials and components utilized in the production of the final TIL product are readily available from qualified suppliers. We expect to rely on our own manufacturing facility and these CMOs to meet anticipated clinical trial and if approved, commercial demands. In the future, we may rely on them or other third parties, or our own manufacturing capabilities for the manufacturing and processing of TIL-based product candidates for our clinical trials.</w:t>
      </w:r>
    </w:p>
    <w:p>
      <w:pPr>
        <w:spacing w:after="0" w:line="168" w:lineRule="exact"/>
        <w:rPr>
          <w:sz w:val="20"/>
          <w:szCs w:val="20"/>
          <w:color w:val="auto"/>
        </w:rPr>
      </w:pPr>
    </w:p>
    <w:p>
      <w:pPr>
        <w:ind w:right="220" w:firstLine="492"/>
        <w:spacing w:after="0" w:line="342" w:lineRule="auto"/>
        <w:rPr>
          <w:sz w:val="20"/>
          <w:szCs w:val="20"/>
          <w:color w:val="auto"/>
        </w:rPr>
      </w:pPr>
      <w:r>
        <w:rPr>
          <w:rFonts w:ascii="Arial" w:cs="Arial" w:eastAsia="Arial" w:hAnsi="Arial"/>
          <w:sz w:val="16"/>
          <w:szCs w:val="16"/>
          <w:color w:val="auto"/>
        </w:rPr>
        <w:t>If we are unable to meet manufacturing capabilities and demand at our own commercial manufacturing facility, we may need to rely on CMOs, including both current and alternate suppliers, to ensure sufficient capacity is available for commercial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Designations</w:t>
      </w:r>
    </w:p>
    <w:p>
      <w:pPr>
        <w:spacing w:after="0" w:line="229" w:lineRule="exact"/>
        <w:rPr>
          <w:sz w:val="20"/>
          <w:szCs w:val="20"/>
          <w:color w:val="auto"/>
        </w:rPr>
      </w:pPr>
    </w:p>
    <w:p>
      <w:pPr>
        <w:ind w:right="20" w:firstLine="492"/>
        <w:spacing w:after="0" w:line="308" w:lineRule="auto"/>
        <w:rPr>
          <w:sz w:val="20"/>
          <w:szCs w:val="20"/>
          <w:color w:val="auto"/>
        </w:rPr>
      </w:pPr>
      <w:r>
        <w:rPr>
          <w:rFonts w:ascii="Arial" w:cs="Arial" w:eastAsia="Arial" w:hAnsi="Arial"/>
          <w:sz w:val="17"/>
          <w:szCs w:val="17"/>
          <w:color w:val="auto"/>
        </w:rPr>
        <w:t>During 2015, we received an Orphan Drug Designation, or ODD, for lifileucel in the U.S. to treat malignant melanoma stages IIB-IV. If approved, an ODD provides seven years of market exclusivity in the U.S., subject to certain limited exceptions. However,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 ODD does not convey any advantage in, or shorten the duration of, the regulatory review or approval process. The benefits and limitations of ODD are described in more detail elsewhere in this Annual Report on Form 10-K.</w:t>
      </w:r>
    </w:p>
    <w:p>
      <w:pPr>
        <w:spacing w:after="0" w:line="170"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During 2018, we received an ODD from the FDA for lifileucel for the treatment of cervical cancer with a tumor size of greater than 2 cm in diameter.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Designations</w:t>
      </w:r>
    </w:p>
    <w:p>
      <w:pPr>
        <w:spacing w:after="0" w:line="229"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In August 2017, we announced that the FDA had granted Fast Track designation for lifileucel for the treatment of advanced metastatic melanoma. In February 2019, we announced that the FDA had granted Fast Track designation for lifileucel in the treatment of metastatic cervical cancer. Additionally, in November 2021, we announced that the FDA granted Fast Track designation for lifileucel in combination with pembrolizumab for the treatment of ICI naïve metastatic melanoma based on the unmet medical need and potential advantages for this combination over available care. The FDA’s Fast Track process is designed to facilitate the development and expedite the review of drugs that treat serious conditions and fill an unmet medical need. Fast Track designation allows more frequent meetings and communications with the FDA to discuss the drug’s development plans and review process. The Fast Track designation also allows for the possibility for rolling review of a BLA by FDA, and also potential eligibility if certain criteria are met for accelerated approval.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 Advanced Therapy Designation</w:t>
      </w:r>
    </w:p>
    <w:p>
      <w:pPr>
        <w:spacing w:after="0" w:line="229" w:lineRule="exact"/>
        <w:rPr>
          <w:sz w:val="20"/>
          <w:szCs w:val="20"/>
          <w:color w:val="auto"/>
        </w:rPr>
      </w:pPr>
    </w:p>
    <w:p>
      <w:pPr>
        <w:ind w:right="180" w:firstLine="492"/>
        <w:spacing w:after="0" w:line="257" w:lineRule="auto"/>
        <w:rPr>
          <w:sz w:val="20"/>
          <w:szCs w:val="20"/>
          <w:color w:val="auto"/>
        </w:rPr>
      </w:pPr>
      <w:r>
        <w:rPr>
          <w:rFonts w:ascii="Arial" w:cs="Arial" w:eastAsia="Arial" w:hAnsi="Arial"/>
          <w:sz w:val="18"/>
          <w:szCs w:val="18"/>
          <w:color w:val="auto"/>
        </w:rPr>
        <w:t>In October 2018, we announced that the FDA had granted RMAT designation for lifileucel for the treatment of patients with metastatic melanoma. The RMAT designation is based on data provided to the FDA from our C-144-01 trial. RMAT designation is granted for regenerative medicine drugs and allows for increased access to FDA during development. Under this designation, surrogate endpoints can be used to receive approval for a product, accelerated approval may be granted, and a rolling review of a BLA may be permitted by FDA.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Breakthrough Therapy Designation</w:t>
      </w:r>
    </w:p>
    <w:p>
      <w:pPr>
        <w:spacing w:after="0" w:line="22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May 2019, we announced that the FDA had granted Breakthrough Therapy Designation, or BTD, for lifileucel for the treatment of patients with metastatic cervical cancer. The BTD was granted based on data provided to the FDA from our C-145-04 trial. Under a BTD, the FDA may take actions that help expedite the development and review of the application for a product candidate, including seeking to provide timely advice and interactive communications to the sponsor with intensive guidance during development, to help the sponsor design and conduct a more efficient development program. Product candidates with BTD may be suitable for alternative clinical trial designs when scientifically appropriate, which may result in smaller trials or more efficient trials that require less time to complete. BTD also allows the sponsor to file sections of the BLA on an ongoing basis for rolling review where the FDA may consider beginning review portions of a marketing application before the full submission is complete. In addition, BTD status allows for the potential to request priority review of our BLA at the time of BLA submission if supported by clinical data. The clinical evidence needed to support breakthrough designation is preliminary, and the FDA has authority to rescind a BTD if a product candidate no longer meets the qualifying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We currently have limited sales, marketing or commercial product distribution capabilities and as a company we have no experience in commercializing cell therapy products. We are continuing to build our U.S. commercial and medical affairs infrastructure and intend to build our own global commercialization capabilities over time in certain geographies for our TIL product candidates including lifileucel for metastatic melanoma and cervical cancer. If any of our TIL product candidates are approved, we expect to commercialize those products in the U.S. with an experienced sales, marketing, payer access and distribution organization including a national specialty oncology sales force. We have started and continue to build a dedicated team of medical affairs professionals to help educate health professionals about our TIL therapy and to assist in any training necessary for individual centers to administer our therapy. Outside the U.S., we are in the process of defining our regulatory and commercial strategy. As additional product candidates advance through our pipeline, our commercial plans will evolve as we consider elements such as the market potential.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five primary areas of our pre-launch efforts include:</w:t>
      </w:r>
    </w:p>
    <w:p>
      <w:pPr>
        <w:spacing w:after="0" w:line="225" w:lineRule="exact"/>
        <w:rPr>
          <w:sz w:val="20"/>
          <w:szCs w:val="20"/>
          <w:color w:val="auto"/>
        </w:rPr>
      </w:pP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engagement with potential authorized treatment centers, or ATCs, for commercial launch;</w:t>
      </w:r>
    </w:p>
    <w:p>
      <w:pPr>
        <w:spacing w:after="0" w:line="23" w:lineRule="exact"/>
        <w:rPr>
          <w:rFonts w:ascii="Arial" w:cs="Arial" w:eastAsia="Arial" w:hAnsi="Arial"/>
          <w:sz w:val="18"/>
          <w:szCs w:val="18"/>
          <w:color w:val="auto"/>
        </w:rPr>
      </w:pPr>
    </w:p>
    <w:p>
      <w:pPr>
        <w:ind w:left="840" w:right="440" w:hanging="319"/>
        <w:spacing w:after="0" w:line="250"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of a close collaboration with healthcare professionals, or HCPs, who will be handling or administering our product;</w:t>
      </w: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excellence by us in provision of our product;</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communication with payors;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a patient-centric organization.</w:t>
      </w:r>
    </w:p>
    <w:p>
      <w:pPr>
        <w:spacing w:after="0" w:line="211"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To date, in the U.S., lifileucel has been administered in 19 clinical trial centers for melanoma. We anticipate that these clinical trial centers will be among the initial 40 ATCs at launch upon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20" w:firstLine="492"/>
        <w:spacing w:after="0" w:line="254" w:lineRule="auto"/>
        <w:rPr>
          <w:sz w:val="20"/>
          <w:szCs w:val="20"/>
          <w:color w:val="auto"/>
        </w:rPr>
      </w:pPr>
      <w:r>
        <w:rPr>
          <w:rFonts w:ascii="Arial" w:cs="Arial" w:eastAsia="Arial" w:hAnsi="Arial"/>
          <w:sz w:val="18"/>
          <w:szCs w:val="18"/>
          <w:color w:val="auto"/>
        </w:rPr>
        <w:t>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also plan to rely on regulatory protection afforded through ODDs, available regulatory exclusivities and patent term extensions where available. To achieve this objective, a strategic focus for us has been to develop our own intellectual property, while also identifying and licensing patents that provide protection and serve as an optimal platform to enhance our intellectual property and technology base. We expect to further develop our patent portfolio as a strategic focus in 2021.</w:t>
      </w:r>
    </w:p>
    <w:p>
      <w:pPr>
        <w:spacing w:after="0" w:line="195" w:lineRule="exact"/>
        <w:rPr>
          <w:sz w:val="20"/>
          <w:szCs w:val="20"/>
          <w:color w:val="auto"/>
        </w:rPr>
      </w:pPr>
    </w:p>
    <w:p>
      <w:pPr>
        <w:jc w:val="both"/>
        <w:ind w:right="240" w:firstLine="492"/>
        <w:spacing w:after="0" w:line="286" w:lineRule="auto"/>
        <w:rPr>
          <w:sz w:val="20"/>
          <w:szCs w:val="20"/>
          <w:color w:val="auto"/>
        </w:rPr>
      </w:pPr>
      <w:r>
        <w:rPr>
          <w:rFonts w:ascii="Arial" w:cs="Arial" w:eastAsia="Arial" w:hAnsi="Arial"/>
          <w:sz w:val="16"/>
          <w:szCs w:val="16"/>
          <w:color w:val="auto"/>
        </w:rPr>
        <w:t>We have developed our own patent portfolio based on internal research and development activities. As a result, we now own a number of pending patent applications and granted patents in the fields of TIL therapy, MIL therapy, and PBL therapy, TIL, MIL, and PBL manufacturing processes, and TIL, MIL, and PBL expansion methods. For example, we currently own more than 35 U.S. patents related to TIL therapy, including patents directed to compositions and methods of treatment in a broad range of cancers, such as U.S.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and 11,241,456. More than 30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 applications relating to TIL,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ICIs in combination with TIL therapies; TIL selection technologies; and methods of treating patient subpopulations.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License Agreements</w:t>
      </w:r>
    </w:p>
    <w:p>
      <w:pPr>
        <w:spacing w:after="0" w:line="229"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Currently, preclinical research and development is conducted primarily at our own internal research and development laboratory in Tampa, Florida, and additionally with the NCI, Moffitt, and MDACC, as described below. We sponsor our own clinical trials and also collaborate on investigator-sponsored clinical trials with the NCI, Moffitt, and MDACC.</w:t>
      </w:r>
    </w:p>
    <w:p>
      <w:pPr>
        <w:spacing w:after="0" w:line="184" w:lineRule="exact"/>
        <w:rPr>
          <w:sz w:val="20"/>
          <w:szCs w:val="20"/>
          <w:color w:val="auto"/>
        </w:rPr>
      </w:pPr>
    </w:p>
    <w:p>
      <w:pPr>
        <w:jc w:val="both"/>
        <w:ind w:right="360" w:firstLine="492"/>
        <w:spacing w:after="0" w:line="263" w:lineRule="auto"/>
        <w:rPr>
          <w:sz w:val="20"/>
          <w:szCs w:val="20"/>
          <w:color w:val="auto"/>
        </w:rPr>
      </w:pPr>
      <w:r>
        <w:rPr>
          <w:rFonts w:ascii="Arial" w:cs="Arial" w:eastAsia="Arial" w:hAnsi="Arial"/>
          <w:sz w:val="18"/>
          <w:szCs w:val="18"/>
          <w:color w:val="auto"/>
        </w:rPr>
        <w:t>In addition, we hold exclusive, co-exclusive, and non-exclusive licenses to certain patent and other intellectual property rights with the NIH, an agency of the U.S. Public Health Service within the Department of Health and Human Services, Moffitt, MDACC, Novartis, and Cellectis as described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w:t>
      </w:r>
    </w:p>
    <w:p>
      <w:pPr>
        <w:spacing w:after="0" w:line="225" w:lineRule="exact"/>
        <w:rPr>
          <w:sz w:val="20"/>
          <w:szCs w:val="20"/>
          <w:color w:val="auto"/>
        </w:rPr>
      </w:pPr>
    </w:p>
    <w:p>
      <w:pPr>
        <w:jc w:val="both"/>
        <w:ind w:right="340" w:firstLine="492"/>
        <w:spacing w:after="0" w:line="277" w:lineRule="auto"/>
        <w:rPr>
          <w:sz w:val="20"/>
          <w:szCs w:val="20"/>
          <w:color w:val="auto"/>
        </w:rPr>
      </w:pPr>
      <w:r>
        <w:rPr>
          <w:rFonts w:ascii="Arial" w:cs="Arial" w:eastAsia="Arial" w:hAnsi="Arial"/>
          <w:sz w:val="18"/>
          <w:szCs w:val="18"/>
          <w:color w:val="auto"/>
        </w:rPr>
        <w:t>In August 2011, we signed a five-year CRADA with the NCI, to work with Dr. Steven Rosenberg on developing adoptive cell immunotherapies that are designed to destroy metastatic melanoma cells.</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492"/>
        <w:spacing w:after="0" w:line="263" w:lineRule="auto"/>
        <w:rPr>
          <w:sz w:val="20"/>
          <w:szCs w:val="20"/>
          <w:color w:val="auto"/>
        </w:rPr>
      </w:pPr>
      <w:r>
        <w:rPr>
          <w:rFonts w:ascii="Arial" w:cs="Arial" w:eastAsia="Arial" w:hAnsi="Arial"/>
          <w:sz w:val="18"/>
          <w:szCs w:val="18"/>
          <w:color w:val="auto"/>
        </w:rPr>
        <w:t>In January 2015, we executed an amendment to the CRADA to include four new indications. As amended, in addition to metastatic melanoma, the CRADA included the development of TIL therapy for the treatment of patients with bladder, lung, triple-negative breast, and cancers associated with HPV.</w:t>
      </w:r>
    </w:p>
    <w:p>
      <w:pPr>
        <w:spacing w:after="0" w:line="184" w:lineRule="exact"/>
        <w:rPr>
          <w:sz w:val="20"/>
          <w:szCs w:val="20"/>
          <w:color w:val="auto"/>
        </w:rPr>
      </w:pPr>
    </w:p>
    <w:p>
      <w:pPr>
        <w:ind w:right="120" w:firstLine="492"/>
        <w:spacing w:after="0" w:line="296" w:lineRule="auto"/>
        <w:rPr>
          <w:sz w:val="20"/>
          <w:szCs w:val="20"/>
          <w:color w:val="auto"/>
        </w:rPr>
      </w:pPr>
      <w:r>
        <w:rPr>
          <w:rFonts w:ascii="Arial" w:cs="Arial" w:eastAsia="Arial" w:hAnsi="Arial"/>
          <w:sz w:val="16"/>
          <w:szCs w:val="16"/>
          <w:color w:val="auto"/>
        </w:rPr>
        <w:t>In August 2016, the NCI and we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products licensed by the FDA, and commercially available reagents routinely used for adoptive cell therapy. The parties have continued the development of improved methods for the generation and selection of TIL with anti-tumor reactivity in metastatic melanoma, bladder, lung, breast, and HPV-associated cancers.</w:t>
      </w:r>
    </w:p>
    <w:p>
      <w:pPr>
        <w:spacing w:after="0" w:line="161"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In August 2021, the NCI and we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pacing w:after="0" w:line="187"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Pursuant to the terms of the CRADA, as amended, we are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may be required to supply certain test articles, including TIL, grown and processed under cGMP conditions, suitable for use in clinical trials. We or the NCI may unilaterally terminate the CRADA for any reason or for no reason at any time by providing written notice at least 60 days before the desired termination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ind w:right="120" w:firstLine="492"/>
        <w:spacing w:after="0" w:line="285" w:lineRule="auto"/>
        <w:rPr>
          <w:sz w:val="20"/>
          <w:szCs w:val="20"/>
          <w:color w:val="auto"/>
        </w:rPr>
      </w:pPr>
      <w:r>
        <w:rPr>
          <w:rFonts w:ascii="Arial" w:cs="Arial" w:eastAsia="Arial" w:hAnsi="Arial"/>
          <w:sz w:val="16"/>
          <w:szCs w:val="16"/>
          <w:color w:val="auto"/>
        </w:rPr>
        <w:t>Effective October 5, 2011, we entered into an Exclusive Patent License Agreement, or the Patent License Agreement, with the NIH, which was subsequently amended on February 9, 2015 and October 2, 2015. Pursuant to the Patent License Agreement as amended, the NIH granted us licenses, including exclusive, co-exclusive, and non-exclusive licenses, to certain technologies relating to autologous tumor infiltrating lymphocyte adoptive cell therapy products for the treatment of metastatic melanoma, lung, breast, bladder and HPV-positive cancers, or collectively the Indications. The Patent License Agreement requires us to pay royalties based on</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percentage of net sales (which percentage is in the mid-single digits), a percentage of revenues from sublicensing arrangements, and lump sum benchmark royalty payments on the achievement of certain clinical and regulatory milestones for each of the Indications and other direct costs incurred by the NIH pursuant to the agreement.</w:t>
      </w:r>
    </w:p>
    <w:p>
      <w:pPr>
        <w:spacing w:after="0" w:line="19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Effective May 6, 2021, we entered into an Amended and Restated Patent License Agreement with NIH, or the Amended and Restated Patent License Agreement, which includes the grant of additional exclusive, worldwide patent rights in the Indications to cytokine-tethered TIL technology, and expands the non-exclusive, worldwide field of use to all cancers. The Amended and Restated Patent License Agreement requires us to pay royalties based on a percentage of net sales in jurisdictions where patent rights exist, which percentage can fall into a tier that may be less than one percent to mid-single digits depending upon certain events, including the exclusivity of the rights, and we expect lower overall royalty payments as a result. We also agreed to pay potential milestone payments on the achievement of certain clinical, regulatory, and commercial sales milestones for each of the Indications and other direct costs incurred by the NIH pursuant to the Amended and Restated Patent License Agreement, as well as a percentage of revenues from sublicensing arrangements. We anticipate making milestone payments, including a payment in the low single-digit millions of dollars, in conjunction with the approval of a BLA for any of our product candidates covered by the Amended and Restated Patent License Agreement. The term of the Amended and Restated Patent License Agreement continues until the expiry of the last-to-expire patent rights licensed thereunder, and the agreement contains standard termination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ind w:right="120" w:firstLine="492"/>
        <w:spacing w:after="0" w:line="293" w:lineRule="auto"/>
        <w:rPr>
          <w:sz w:val="20"/>
          <w:szCs w:val="20"/>
          <w:color w:val="auto"/>
        </w:rPr>
      </w:pPr>
      <w:r>
        <w:rPr>
          <w:rFonts w:ascii="Arial" w:cs="Arial" w:eastAsia="Arial" w:hAnsi="Arial"/>
          <w:sz w:val="16"/>
          <w:szCs w:val="16"/>
          <w:color w:val="auto"/>
        </w:rPr>
        <w:t>On February 10, 2015, we entered into an exclusive patent license agreement, or the Exclusive Patent License Agreement, with the NIH under which we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we agreed to pay customary royalties based on a percentage of net sales of a licensed product (which percentage is in the mid-single digits), a percentage of revenues from sublicensing</w:t>
      </w:r>
    </w:p>
    <w:p>
      <w:pPr>
        <w:sectPr>
          <w:pgSz w:w="11900" w:h="16838" w:orient="portrait"/>
          <w:cols w:equalWidth="0" w:num="1">
            <w:col w:w="9880"/>
          </w:cols>
          <w:pgMar w:left="980" w:top="665" w:right="1039" w:bottom="1440" w:gutter="0" w:footer="0" w:header="0"/>
        </w:sect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Lee Moffitt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In December 2016, we entered into a three-year Sponsored Research Agreement with Moffitt, which expired in December 2019. In June 2020, we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In December 2016, we entered into a clinical grant agreement with Moffitt to support an ongoing clinical trial at Moffitt that combines TIL therapy with nivolumab for the treatment of patients with metastatic melanoma. In June 2017, we entered into a second clinical grant agreement with Moffitt to support a new clinical trial at Moffitt that combines TIL therapy with nivolumab for the treatment of patients with non-small cell lung cancer, under which we obtained a non-exclusive, royalty-free license to any new Moffitt inventions made in the performance of the agreement. Under both clinical grant agreements with Moffit, we have non-exclusive rights to clinical data arising from the respective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225"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We entered into a license agreement with Moffitt, or the First Moffitt License, effective as of June 28, 2014, under which we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71"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Pursuant to the First Moffitt License, we paid an upfront licensing fee in the amount of $0.1 million. A patent issuance fee will also be payable under the First Moffitt License, upon the issuance of the first U.S. patent covering the subject technology. In addition, we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us in agreement with Moffitt.</w:t>
      </w:r>
    </w:p>
    <w:p>
      <w:pPr>
        <w:spacing w:after="0" w:line="165" w:lineRule="exact"/>
        <w:rPr>
          <w:sz w:val="20"/>
          <w:szCs w:val="20"/>
          <w:color w:val="auto"/>
        </w:rPr>
      </w:pPr>
    </w:p>
    <w:p>
      <w:pPr>
        <w:ind w:right="80" w:firstLine="492"/>
        <w:spacing w:after="0" w:line="269" w:lineRule="auto"/>
        <w:rPr>
          <w:sz w:val="20"/>
          <w:szCs w:val="20"/>
          <w:color w:val="auto"/>
        </w:rPr>
      </w:pPr>
      <w:r>
        <w:rPr>
          <w:rFonts w:ascii="Arial" w:cs="Arial" w:eastAsia="Arial" w:hAnsi="Arial"/>
          <w:sz w:val="17"/>
          <w:szCs w:val="17"/>
          <w:color w:val="auto"/>
        </w:rPr>
        <w:t>We entered into a second license agreement with Moffitt effective as of May 7, 2018, or the Second Moffitt License, under which we received an exclusive license to Moffitt’s rights to patent-pending technologies related to the use of 4-1BB agonists in conjunction with TIL manufacturing processes and therapies. Pursuant to the Second Moffitt License, we paid an upfront licensing fee in the amount of $0.1 million in 2018. An annual license maintenance fee is also payable commencing on the first anniversary of the effective date. In addition, we agreed to pay an annual commercial use payment for each indication for which a first sale has occurred. We subsequently exercised an option to exclusively license Moffitt’s rights to patent pending technologies related to the use of tumor digests in conjunction with TIL manufacturing processes and therapies, and we and Moffitt amended and restated the Second Moffitt License in October 2021, or the Amended &amp; Restated Second Moffit License, to include these rights. Pursuant to the Amended &amp; Restated Second Moffitt License, we paid an upfront licensing fee in the amount of $0.2 million in 2021. In addition, we agreed to pay an annual commercial use payment for each indication for which a first sale has occurred for products relating to the use of 4-1BB antagonists and for products relating to the use of tumor digests covered by the license.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Texas M.D. Anderson Cancer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In April 2017, we entered into a Strategic Alliance Agreement, or the SAA, with MDACC agreed to conduct clinical and preclinical research studies. We agreed in the SAA to provide total funding not to exceed approximately $14.2 million for the performance of the multi-year studies under the SAA. In return, we acquired all rights to inventions resulting from the studies and have been granted a non-exclusive, sub-licensable, royalty-free, and perpetual license to specified background intellectual property of</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MDACC reasonably necessary to exploit, including the commercialization thereof. We have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us of all deliverables due from MDACC thereunder. In May 2017, we made a prepayment of $1.4 million under this agreement. In light of the disease caused by the novel coronavirus, SARS-CoV-2, which was declared a public health emergency on January 31, 2020, under section 319 of the Public Health Service Act (42 U.S.C. 247d) by the Secretary of Health and Human Services, and which we refer to herein as the COVID-19 pandemic, MDACC temporarily suspended their research programs and decommissioned their research labs, and as a result, enrollment in our MDACC-sponsored studies under the SAA was temporarily paused in the first half 2020, but has since been restarted.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WuXi Advanced Therapies, Inc.</w:t>
      </w:r>
    </w:p>
    <w:p>
      <w:pPr>
        <w:spacing w:after="0" w:line="225" w:lineRule="exact"/>
        <w:rPr>
          <w:sz w:val="20"/>
          <w:szCs w:val="20"/>
          <w:color w:val="auto"/>
        </w:rPr>
      </w:pPr>
    </w:p>
    <w:p>
      <w:pPr>
        <w:ind w:right="80" w:firstLine="492"/>
        <w:spacing w:after="0" w:line="270" w:lineRule="auto"/>
        <w:rPr>
          <w:sz w:val="20"/>
          <w:szCs w:val="20"/>
          <w:color w:val="auto"/>
        </w:rPr>
      </w:pPr>
      <w:r>
        <w:rPr>
          <w:rFonts w:ascii="Arial" w:cs="Arial" w:eastAsia="Arial" w:hAnsi="Arial"/>
          <w:sz w:val="17"/>
          <w:szCs w:val="17"/>
          <w:color w:val="auto"/>
        </w:rPr>
        <w:t>In November 2016, we entered into a three-year manufacturing and services agreement, or MSA, with WuXi, pursuant to which WuXi agreed to provide manufacturing and other services, which has since been amended and assigned to our subsidiary Iovance Biotherapeutics Manufacturing LLC. Under the agreement, we entered into two statements of work for two cGMP manufacturing suites to be established and operated by WuXi for us, and both of the suites are expected to be capable of being used for the commercial manufacture of our products. The first statement of work was amended in June 2019, September 2020, and February 2021, and the second statement of work was amended in July 2019 and July 2021. Both statements of work provide for adjustments to the targeted production capacity levels and the corresponding fixed fees upon written notice from us of 30 days and 90 days for the first and second suites, respectively. The terms of the related statements of work currently extend to February 2022 for the first statement of work and were extended to December 2022 for the second statement of work.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Cellectis S.A.</w:t>
      </w:r>
    </w:p>
    <w:p>
      <w:pPr>
        <w:spacing w:after="0" w:line="225" w:lineRule="exact"/>
        <w:rPr>
          <w:sz w:val="20"/>
          <w:szCs w:val="20"/>
          <w:color w:val="auto"/>
        </w:rPr>
      </w:pPr>
    </w:p>
    <w:p>
      <w:pPr>
        <w:ind w:right="160" w:firstLine="492"/>
        <w:spacing w:after="0" w:line="286" w:lineRule="auto"/>
        <w:rPr>
          <w:sz w:val="20"/>
          <w:szCs w:val="20"/>
          <w:color w:val="auto"/>
        </w:rPr>
      </w:pPr>
      <w:r>
        <w:rPr>
          <w:rFonts w:ascii="Arial" w:cs="Arial" w:eastAsia="Arial" w:hAnsi="Arial"/>
          <w:sz w:val="17"/>
          <w:szCs w:val="17"/>
          <w:color w:val="auto"/>
        </w:rPr>
        <w:t>In December 2019, we entered into a research collaboration and exclusive worldwide license agreement under which we license gene-editing technology from Cellectis. Financial terms of the license include development, regulatory and sales milestone payments from us to Cellectis, as well as royalty payments based on net sales of TALEN-modified TIL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Pharma AG</w:t>
      </w:r>
    </w:p>
    <w:p>
      <w:pPr>
        <w:spacing w:after="0" w:line="22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January 2020, we obtained a license from Novartis Pharma AG, or Novartis, to develop and commercialize an antibody cytokine engrafted protein, which we refer to as IOV-3001. Under the agreement, we have paid an upfront payment to Novartis and may pay future milestones related to initiation of patient dosing in various phases of clinical development for IOV-3001 and approval of the product in the U.S., the European Union, or EU, and Japan. Novartis is also entitled to low-to-mid single digit percentage royalties from commercial sales of the product.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biotechnology and pharmaceutical industries put significant resources in developing novel and proprietary therapies for the treatment of cancer. We compete with multiple entities who have developed and are developing immuno-oncology therapies,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University Hospital at Herlev, and the University of Manchester. While these universities and public and private research institutions primarily have educational objectives, they may develop proprietary technologies that lead to other FDA-approved therapies or that secure patent protection. We anticipate that we will face possibly increasing competition as new drugs and therapies enter the market and advanced technologies become available.</w:t>
      </w:r>
    </w:p>
    <w:p>
      <w:pPr>
        <w:spacing w:after="0" w:line="185"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Due to the promising clinical therapeutic effect of their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Agenus, BeyondSpring, Bristol-Myers Squibb, Merck, Nektar Therapeutics, Idera Pharmaceuticals, Checkmate Pharmaceuticals, Daiichi Sankyo, Eisai, Exelixis, Mirati Therapeutics, OncoSec Medical, Replimune, Regeneron Pharmaceuticals, Seagen, and Genmab. We also may compete with other TIL therapies in development by companies such as Instil Bio, Achilles Therapeutics, KSQ</w:t>
      </w:r>
    </w:p>
    <w:p>
      <w:pPr>
        <w:sectPr>
          <w:pgSz w:w="11900" w:h="16838" w:orient="portrait"/>
          <w:cols w:equalWidth="0" w:num="1">
            <w:col w:w="9880"/>
          </w:cols>
          <w:pgMar w:left="980" w:top="665" w:right="1039" w:bottom="1440" w:gutter="0" w:footer="0" w:header="0"/>
        </w:sect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Therapeutics, Obsidian Therapeutics, Immatics, TILT Biotherapeutics, WindMIL Therapeutics, GRIT Biotechnology, Lyell Immunopharma, Cellular Biomedicine Group,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Therapeutics, Alaunos Therapeutics, Marker Therapeutics, Turnstone Biologics, Neogene and others. To date, these technologies have been primarily applicable to hematologic malignancies, but their application in solid tumor indications may create competition with us.</w:t>
      </w:r>
    </w:p>
    <w:p>
      <w:pPr>
        <w:spacing w:after="0" w:line="178"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Competition for late-stage melanoma patients may come, if approved, from several therapies currently under clinical development across our lead indications in metastatic melanoma, non-small cell lung and cervical cancers. If we are successful in developing lifileucel for metastatic melanoma, we will compete against other investigational agents in late-stage development for use in combination with approved anti-PD-1 therapies at Bristol-Myers Squibb (relatlimab, a LAG-3-blocking antibody), Idera Pharmaceuticals (IMO-2125, a toll-like receptor, or TLR, 9 agonist), Checkmate Pharmaceuticals (CMP-001, a TLR9 agonist), Eisai (levatinib, a multiple tyrosine kinase inhibitor) and Replimune (RP1, or vusolimogene oderparepvec, an oncolytic virus therapy).</w:t>
      </w:r>
    </w:p>
    <w:p>
      <w:pPr>
        <w:spacing w:after="0" w:line="178" w:lineRule="exact"/>
        <w:rPr>
          <w:sz w:val="20"/>
          <w:szCs w:val="20"/>
          <w:color w:val="auto"/>
        </w:rPr>
      </w:pPr>
    </w:p>
    <w:p>
      <w:pPr>
        <w:ind w:right="200" w:firstLine="492"/>
        <w:spacing w:after="0" w:line="279" w:lineRule="auto"/>
        <w:rPr>
          <w:sz w:val="20"/>
          <w:szCs w:val="20"/>
          <w:color w:val="auto"/>
        </w:rPr>
      </w:pPr>
      <w:r>
        <w:rPr>
          <w:rFonts w:ascii="Arial" w:cs="Arial" w:eastAsia="Arial" w:hAnsi="Arial"/>
          <w:sz w:val="17"/>
          <w:szCs w:val="17"/>
          <w:color w:val="auto"/>
        </w:rPr>
        <w:t>Competition for lifileucel in late-stage cervical cancer patients also may arise from approved therapy TIVDAK™ (tisotumab vedotin-tftv) from Seagen/Genmab as well as an investigational agent in clinical development at Agenus (balstilimab, an anti-PD-1 therapy) for use in combination with approved anti-CTLA-4 inhibitor zalifrelimab. In addition, the cervical cancer treatment landscape has further evolved with the approval of KEYTRUDA + chemo + bevacizumab in front-line cervical cancer.</w:t>
      </w:r>
    </w:p>
    <w:p>
      <w:pPr>
        <w:spacing w:after="0" w:line="171"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We may also face competition for NSCLC patients from a large number of therapies in clinical development that target specific, emerging driver mutations in populations that overlap with our patient populations of interest, including Daiichi Sankyo/Astra Zeneca (datopotamab deruxtecan, an antibody-drug candidate), as well as sponsors with anti-PD-1 combinations in clinical development such as Exelixis (cabozantinib + atezolizumab), Mirati Therapeutics (sitravatinib + nivolumab) and Merck (vibostolimab alone and in combination with pembrolizumab). The studies for these NSCLC therapies are in various stages of the clinical pipeline, including several in Phase 3 trials.</w:t>
      </w:r>
    </w:p>
    <w:p>
      <w:pPr>
        <w:spacing w:after="0" w:line="192"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While other types of cancer immunotherapies may potentially be used in combination with TIL, such as checkpoint inhibitors, to enhance efficacy, we also expect substantial direct competition from other types of immunotherapies. We face competition from immunotherapy treatments offered by companies such as Amgen, AstraZeneca, Bristol-Myers Squibb, Merck, Pfizer, Regeneron Pharmaceuticals, and Roche. Immunotherapies are also being pursued by several biotechnology companies as well as by large pharmaceutical companies. We cannot predict whether other types of immunotherapies may be enhanced and show greater efficacy. As a result, we may have direct and substantial competition from such immunotherapies in the future.</w:t>
      </w:r>
    </w:p>
    <w:p>
      <w:pPr>
        <w:spacing w:after="0" w:line="178" w:lineRule="exact"/>
        <w:rPr>
          <w:sz w:val="20"/>
          <w:szCs w:val="20"/>
          <w:color w:val="auto"/>
        </w:rPr>
      </w:pPr>
    </w:p>
    <w:p>
      <w:pPr>
        <w:ind w:right="60" w:firstLine="537"/>
        <w:spacing w:after="0" w:line="271" w:lineRule="auto"/>
        <w:rPr>
          <w:sz w:val="20"/>
          <w:szCs w:val="20"/>
          <w:color w:val="auto"/>
        </w:rPr>
      </w:pPr>
      <w:r>
        <w:rPr>
          <w:rFonts w:ascii="Arial" w:cs="Arial" w:eastAsia="Arial" w:hAnsi="Arial"/>
          <w:sz w:val="17"/>
          <w:szCs w:val="17"/>
          <w:color w:val="auto"/>
        </w:rPr>
        <w:t>Many potential competitors, either alone or with their strategic partners, have substantially greater financial, technical and human resources than we do. Accordingly, our competitors may be more successful than us in obtaining approval for treatments and achieving widespread market acceptance and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ind w:firstLine="537"/>
        <w:spacing w:after="0" w:line="289"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166" w:lineRule="exact"/>
        <w:rPr>
          <w:sz w:val="20"/>
          <w:szCs w:val="20"/>
          <w:color w:val="auto"/>
        </w:rPr>
      </w:pPr>
    </w:p>
    <w:p>
      <w:pPr>
        <w:ind w:right="380" w:firstLine="492"/>
        <w:spacing w:after="0" w:line="342"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our employees, consultants, scientific advisors and contractors. We also seek to preserve the integrity and confidentiality of our data and</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78" w:lineRule="exact"/>
        <w:rPr>
          <w:sz w:val="20"/>
          <w:szCs w:val="20"/>
          <w:color w:val="auto"/>
        </w:rPr>
      </w:pPr>
    </w:p>
    <w:p>
      <w:pPr>
        <w:ind w:firstLine="537"/>
        <w:spacing w:after="0" w:line="288" w:lineRule="auto"/>
        <w:rPr>
          <w:sz w:val="20"/>
          <w:szCs w:val="20"/>
          <w:color w:val="auto"/>
        </w:rPr>
      </w:pPr>
      <w:r>
        <w:rPr>
          <w:rFonts w:ascii="Arial" w:cs="Arial" w:eastAsia="Arial" w:hAnsi="Arial"/>
          <w:sz w:val="16"/>
          <w:szCs w:val="16"/>
          <w:color w:val="auto"/>
        </w:rPr>
        <w:t>Biologic products are regulated by the FDA under a combination of the federal Food, Drug, and Cosmetic Act, or FDCA, and Public Health Services Act, or PHSA, and the FDA’s implementing regulations.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Risk Evaluation and Mitigation Strategy, or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w:t>
      </w:r>
    </w:p>
    <w:p>
      <w:pPr>
        <w:spacing w:after="0" w:line="168" w:lineRule="exact"/>
        <w:rPr>
          <w:sz w:val="20"/>
          <w:szCs w:val="20"/>
          <w:color w:val="auto"/>
        </w:rPr>
      </w:pPr>
    </w:p>
    <w:p>
      <w:pPr>
        <w:ind w:right="740" w:firstLine="492"/>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U.S. generally involves the following:</w:t>
      </w:r>
    </w:p>
    <w:p>
      <w:pPr>
        <w:spacing w:after="0" w:line="170" w:lineRule="exact"/>
        <w:rPr>
          <w:sz w:val="20"/>
          <w:szCs w:val="20"/>
          <w:color w:val="auto"/>
        </w:rPr>
      </w:pPr>
    </w:p>
    <w:p>
      <w:pPr>
        <w:ind w:left="840" w:right="760" w:hanging="319"/>
        <w:spacing w:after="0" w:line="291"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completion of preclinical laboratory tests and animal studies performed in accordance with the FDA’s current Good Laboratory Practices, or GLP, regulation, as well as manufacturing development and formulation studies;</w:t>
      </w:r>
    </w:p>
    <w:p>
      <w:pPr>
        <w:ind w:left="840" w:right="40" w:hanging="319"/>
        <w:spacing w:after="0" w:line="25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ind w:left="840" w:right="160" w:hanging="319"/>
        <w:spacing w:after="0" w:line="25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or centrally, before the trial is begun;</w:t>
      </w:r>
    </w:p>
    <w:p>
      <w:pPr>
        <w:ind w:left="840" w:right="600" w:hanging="319"/>
        <w:spacing w:after="0" w:line="25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proposed biologic product candidate for its intended purpose;</w:t>
      </w:r>
    </w:p>
    <w:p>
      <w:pPr>
        <w:ind w:left="840" w:hanging="31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pivotal clinical trial(s);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9" w:lineRule="exact"/>
        <w:rPr>
          <w:rFonts w:ascii="Arial" w:cs="Arial" w:eastAsia="Arial" w:hAnsi="Arial"/>
          <w:sz w:val="18"/>
          <w:szCs w:val="18"/>
          <w:color w:val="auto"/>
        </w:rPr>
      </w:pPr>
    </w:p>
    <w:p>
      <w:pPr>
        <w:ind w:left="840" w:right="60" w:hanging="319"/>
        <w:spacing w:after="0" w:line="25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sites to assess compliance with current Good Clinical Practices, or cGCPs; and</w:t>
      </w:r>
    </w:p>
    <w:p>
      <w:pPr>
        <w:spacing w:after="0" w:line="1" w:lineRule="exact"/>
        <w:rPr>
          <w:rFonts w:ascii="Arial" w:cs="Arial" w:eastAsia="Arial" w:hAnsi="Arial"/>
          <w:sz w:val="18"/>
          <w:szCs w:val="18"/>
          <w:color w:val="auto"/>
        </w:rPr>
      </w:pPr>
    </w:p>
    <w:p>
      <w:pPr>
        <w:ind w:left="840" w:right="100" w:hanging="319"/>
        <w:spacing w:after="0" w:line="260"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U.S., which must be updated periodically when changes are made.</w:t>
      </w:r>
    </w:p>
    <w:p>
      <w:pPr>
        <w:spacing w:after="0" w:line="185" w:lineRule="exact"/>
        <w:rPr>
          <w:sz w:val="20"/>
          <w:szCs w:val="20"/>
          <w:color w:val="auto"/>
        </w:rPr>
      </w:pPr>
    </w:p>
    <w:p>
      <w:pPr>
        <w:ind w:right="520" w:firstLine="537"/>
        <w:spacing w:after="0" w:line="296" w:lineRule="auto"/>
        <w:rPr>
          <w:sz w:val="20"/>
          <w:szCs w:val="20"/>
          <w:color w:val="auto"/>
        </w:rPr>
      </w:pPr>
      <w:r>
        <w:rPr>
          <w:rFonts w:ascii="Arial" w:cs="Arial" w:eastAsia="Arial" w:hAnsi="Arial"/>
          <w:sz w:val="16"/>
          <w:szCs w:val="16"/>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concerns or questions about the proposed clinical trial. In such a case, the IND may be placed on clinical hold and the IND sponsor and the FDA must resolve any outstanding concerns or questions before the clinical trial can begin. Clinical holds also may be imposed by the FDA at any time before or during trials due to safety concerns or non-compliance. Submission of an IND therefore may or may not result in FDA authorization to begin a clinical trial.</w:t>
      </w:r>
    </w:p>
    <w:p>
      <w:pPr>
        <w:spacing w:after="0" w:line="177"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Human immunotherapy products are a new category of therapeutics. Because this is a relatively new and expanding area of novel therapeutic interventions,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w:t>
      </w:r>
    </w:p>
    <w:p>
      <w:pPr>
        <w:spacing w:after="0" w:line="187"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and a statistical analysis plan. A separate submission to the existing IND must be made for each successive clinical trial conducted during product development and for any subsequent protocol amendments. Investigators must also provide certain information to the clinical trial sponsors to allow the sponsors to make certain financial disclosures to the FDA.</w:t>
      </w:r>
    </w:p>
    <w:p>
      <w:pPr>
        <w:spacing w:after="0" w:line="17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Furthermore, an independent IRB for each site proposing to conduct the clinical trial or centrally must review and approve the plan for any clinical trial, its informed consent form and any subject communications, before the clinical trial begins at that site, and upon amendment of the trial, and must monitor the study until completed. An IRB considers, among other things, whether the risks to individuals participating in the trials are minimized and are reasonable in relation to anticipated benefits and whether the planned human subject protections are adequate. Informed consent must be received from each study subject prior to participation in a clinical study. Progress reports detailing the results of the clinical trials must also be submitted at least annually to the FDA and the IRB and more frequently if serious adverse events or other significant safety information is found.</w:t>
      </w:r>
    </w:p>
    <w:p>
      <w:pPr>
        <w:spacing w:after="0" w:line="177"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that the trial is not being conducted in accordance with regulatory or IRB requirements, or that the trial is unlikely to meet its stated objectives. Sponsors may also discontinue studies or development programs for many reasons, including changing business objectives. Some studies also include oversight by an independent group of qualified experts organized by the clinical study sponsor, known as a data safety monitoring board, or DSMB, which provides recommendations and assessments for whether or not a study should move forward at designated check points based on access to certain data from the study. Following a review by a DSMB, the study may be halted if there is an unacceptable safety risk for subjects or on other grounds, such as failure to demonstrate efficacy. There are also requirements governing the reporting of ongoing clinical studies and clinical study results to public registries. For instance, we are required to register certain clinical trials and post the results of certain completed clinical trials on a government-sponsored database, ClinicalTrials.gov, within specified timeframes, and also to certify to FDA our compliance with these requirements when we make FDA submissions. Failure to make required ClinicalTrials.gov submissions, submitting false or misleading information to ClinicalTrials.gov, or making false certifications to FDA could result in enforcement actions, including civil money penalties and adverse publicity.</w:t>
      </w:r>
    </w:p>
    <w:p>
      <w:pPr>
        <w:spacing w:after="0" w:line="186"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Although these are the typical phases for progression, and characteristics of the phases of a clinical development program, certain expedited programs allow for variations that could support a marketing application based on surrogate endpoints, intermediate clinical endpoints, or single-arm as opposed to comparative or placebo-controlled studies.</w:t>
      </w:r>
    </w:p>
    <w:p>
      <w:pPr>
        <w:spacing w:after="0" w:line="187" w:lineRule="exact"/>
        <w:rPr>
          <w:sz w:val="20"/>
          <w:szCs w:val="20"/>
          <w:color w:val="auto"/>
        </w:rPr>
      </w:pPr>
    </w:p>
    <w:p>
      <w:pPr>
        <w:ind w:left="840" w:hanging="319"/>
        <w:spacing w:after="0" w:line="25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1 -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 w:lineRule="exact"/>
        <w:rPr>
          <w:rFonts w:ascii="Arial" w:cs="Arial" w:eastAsia="Arial" w:hAnsi="Arial"/>
          <w:sz w:val="18"/>
          <w:szCs w:val="18"/>
          <w:color w:val="auto"/>
        </w:rPr>
      </w:pPr>
    </w:p>
    <w:p>
      <w:pPr>
        <w:ind w:left="840" w:right="180" w:hanging="319"/>
        <w:spacing w:after="0" w:line="323"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2 - The investigational product is administered to a limited patient population with a specified disease or condition to evaluate the preliminary efficacy, optimal dosages and dosing schedule and to identify possible adverse side effects and</w:t>
      </w:r>
    </w:p>
    <w:p>
      <w:pPr>
        <w:sectPr>
          <w:pgSz w:w="11900" w:h="16838" w:orient="portrait"/>
          <w:cols w:equalWidth="0" w:num="1">
            <w:col w:w="9920"/>
          </w:cols>
          <w:pgMar w:left="980" w:top="665" w:right="99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40" w:right="520"/>
        <w:spacing w:after="0" w:line="258" w:lineRule="auto"/>
        <w:rPr>
          <w:sz w:val="20"/>
          <w:szCs w:val="20"/>
          <w:color w:val="auto"/>
        </w:rPr>
      </w:pPr>
      <w:r>
        <w:rPr>
          <w:rFonts w:ascii="Arial" w:cs="Arial" w:eastAsia="Arial" w:hAnsi="Arial"/>
          <w:sz w:val="18"/>
          <w:szCs w:val="18"/>
          <w:color w:val="auto"/>
        </w:rPr>
        <w:t>safety risks. Multiple Phase 2 clinical trials may be conducted to obtain information prior to beginning larger and more expensive Phase 3 clinical trials.</w:t>
      </w:r>
    </w:p>
    <w:p>
      <w:pPr>
        <w:spacing w:after="0" w:line="1" w:lineRule="exact"/>
        <w:rPr>
          <w:sz w:val="20"/>
          <w:szCs w:val="20"/>
          <w:color w:val="auto"/>
        </w:rPr>
      </w:pPr>
    </w:p>
    <w:p>
      <w:pPr>
        <w:ind w:left="840" w:right="20" w:hanging="319"/>
        <w:spacing w:after="0" w:line="250"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3 - The investigational product is administered to an expanded patient population in adequate and well-controlled studies to further evaluate dosage, to provide statistically significant evidence of clinical efficacy and to further test for safety, generally at multiple geographically dispersed clinical trial sites. These clinical trials are intended to establish the overall risk/benefit relationship of the investigational product and to provide an adequate basis for product approval. Typically, two Phase 3 studies are required by the FDA for product approval.</w:t>
      </w:r>
    </w:p>
    <w:p>
      <w:pPr>
        <w:spacing w:after="0" w:line="1" w:lineRule="exact"/>
        <w:rPr>
          <w:rFonts w:ascii="Arial" w:cs="Arial" w:eastAsia="Arial" w:hAnsi="Arial"/>
          <w:sz w:val="18"/>
          <w:szCs w:val="18"/>
          <w:color w:val="auto"/>
        </w:rPr>
      </w:pPr>
    </w:p>
    <w:p>
      <w:pPr>
        <w:ind w:left="840" w:right="20" w:hanging="319"/>
        <w:spacing w:after="0" w:line="255"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4 - 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90"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Additional types of data may also help to support a BLA, such as real-world evidence and patient experience data. Phase 1, Phase 2 and Phase 3, and Phase 4 testing, if applicable,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and manufacturing processes must be validated.</w:t>
      </w:r>
    </w:p>
    <w:p>
      <w:pPr>
        <w:spacing w:after="0" w:line="166"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manufacture of investigational biologics for the conduct of human clinical trials is subject to cGMP requirements. Investigational biologics and active ingredients imported into the U.S. are also subject to regulation by the FDA relating to their labeling and distribution. Further, the export of investigational products outside of the U.S. is subject to regulatory requirements of the importing country as well as U.S. export requirements under the FDCA. Additional U.S. and foreign laws and regulations may also be applicable to the handling, import, export, and transportation of biological materials, including tissue samples.</w:t>
      </w:r>
    </w:p>
    <w:p>
      <w:pPr>
        <w:spacing w:after="0" w:line="176"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During the development of a new therapeutic, a sponsor may be able to request a Special Protocol Assessment, or SPA, the purpose of which is to reach an agreement with the FDA on the Phase 3 clinical trial protocol design and analysis that will form the primary basis of product approval and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product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 BLA. However, SPA agreements are not a guarantee of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72"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sponsors submitting applications for product candidates intended for the treatment of adult cancer which are directed at molecular targets that the FDA determines to be substantially relevant to the growth or progression of pediatric cancer 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PREA requirements.</w:t>
      </w:r>
    </w:p>
    <w:p>
      <w:pPr>
        <w:spacing w:after="0" w:line="168"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The FDA also may require submission of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Following product approval, a REMS may also be required by the FDA if new safety information is discovered and the FDA determines that a REMS is necessary to ensure that the benefits of the biologic outweigh the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under the Prescription Drug User Fee Act, and the sponsor of an approved BLA is also subject to annual program fees. These fees are typically increased annually. A waiver of user fees may be obtained under certain limited circumstances.</w:t>
      </w:r>
    </w:p>
    <w:p>
      <w:pPr>
        <w:spacing w:after="0" w:line="181"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Once a BLA has been submitted, the FDA has sixty days to determine whether it will accept the application for filing. The FDA accepts applications for filing if it determines that the application is substantially complete to permit a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8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The FDA’s goal is to review the application within ten months after it accepts the application for filing, or, if the application relates to a serious or life-threatening indication and, if approved, the product would provide a significant improvement in safety and efficacy, six months after the FDA accepts the application for filing, which is referred to as Priority Review.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There are numerous FDA personnel assigned to review different aspects of a BLA, and uncertainties can be presented by their ability to exercise judgment and discretion during the review process. The development and provision of additional data and information requested by FDA during review of a BLA may be time consuming and expensive.</w:t>
      </w:r>
    </w:p>
    <w:p>
      <w:pPr>
        <w:spacing w:after="0" w:line="18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The FDA may convene an advisory committee to provide clinical insight on application review questions. Before approving a novel biologic,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commercial production of the product within required specifications. Additionally, before approving a BLA, the FDA will typically inspect one or more clinical sites to assure compliance with cGCP.</w:t>
      </w:r>
    </w:p>
    <w:p>
      <w:pPr>
        <w:spacing w:after="0" w:line="171"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If the FDA determines that the application, manufacturing process or manufacturing facilities are not acceptable, it will outline the deficiencies in the submission and often will request additional testing, clinical studies, application modifications, or information in a complete response letter, or CRL. A CRL indicates that the review cycle for the application is complete and that the application is not ready for approval. If a CRL is issued, the applicant may either: resubmit the BLA, addressing all the deficiencies identified in the letter; withdraw the application; or request an opportunity for a hearing. Notwithstanding the submission of any requested additional information, the FDA ultimately may decide that the application does not satisfy the regulatory criteria for approval. Data obtained from clinical trials are not always conclusive and the FDA may interpret data differently than an applicant interprets the same data.</w:t>
      </w:r>
    </w:p>
    <w:p>
      <w:pPr>
        <w:spacing w:after="0" w:line="166"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If the FDA finds that a BLA is approvable, the FDA may issue an approval letter. An approval letter authorizes commercial marketing of the product with specific prescribing information for specific indications. However, 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87" w:lineRule="exact"/>
        <w:rPr>
          <w:sz w:val="20"/>
          <w:szCs w:val="20"/>
          <w:color w:val="auto"/>
        </w:rPr>
      </w:pPr>
    </w:p>
    <w:p>
      <w:pPr>
        <w:jc w:val="both"/>
        <w:ind w:right="440" w:firstLine="492"/>
        <w:spacing w:after="0" w:line="263" w:lineRule="auto"/>
        <w:rPr>
          <w:sz w:val="20"/>
          <w:szCs w:val="20"/>
          <w:color w:val="auto"/>
        </w:rPr>
      </w:pPr>
      <w:r>
        <w:rPr>
          <w:rFonts w:ascii="Arial" w:cs="Arial" w:eastAsia="Arial" w:hAnsi="Arial"/>
          <w:sz w:val="18"/>
          <w:szCs w:val="18"/>
          <w:color w:val="auto"/>
        </w:rPr>
        <w:t>If compliance with the pre-and post-marketing regulatory standards are not maintained or if problems occur after the product reaches the marketplace, the FDA may also withdraw the product approval. Further, should new safety information arise, additional testing, product labeling, or FDA notification may be required.</w:t>
      </w:r>
    </w:p>
    <w:p>
      <w:pPr>
        <w:spacing w:after="0" w:line="184"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designation, the FDA may consider sections of the BLA for review on a rolling basis before the complete application is submitted if relevant criteria are met. Fast Track-designated products are also eligible for more frequent FDA interactions. A Fast Track-designated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the FDA accepts the application for filing. Priority Review designation does not change the scientific/medical standard for approval or the quality of evidence necessary to support approval.</w:t>
      </w:r>
    </w:p>
    <w:p>
      <w:pPr>
        <w:spacing w:after="0" w:line="172"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To qualify for Accelerated Approval, the product must be intended to treat a serious condition and must generally provide a meaningful advantage over available therapies. Post-marketing studies or completion of ongoing studies after marketing approval are required to verify the biologic’s clinical benefit in relationship to the surrogate endpoint or ultimate outcome in relationship to the clinical benefit. If this trial is not conducted, if it fails to verify the benefit, if other evidence demonstrates that the product is not safe, pure or potent, or if the applicant disseminates false or misleading promotional material, the FDA may withdraw approval of the application on an expedited basis. Sponsors of products under the Accelerated Approval Pathway must further submit promotional materials to the FDA before dissemination.</w:t>
      </w:r>
    </w:p>
    <w:p>
      <w:pPr>
        <w:spacing w:after="0" w:line="168"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also allows the sponsor to file sections of the BLA for review on a rolling basis.</w:t>
      </w:r>
    </w:p>
    <w:p>
      <w:pPr>
        <w:spacing w:after="0" w:line="176"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Through the 21st Century Cures Act, or Cures Act, Congress also established another expedited program, called a RMAT designation. The Cures Act directs the FDA to facilitate an efficient development program for and expedite review of RMATs. To qualify for this program, the product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Under the Orphan Drug Act, the FDA may grant ODD to a drug or biologic intended to treat a rare disease or condition, defined as a disease or condition with a patient population of fewer than 200,000 individuals in the U.S., or a patient population greater than</w:t>
      </w:r>
    </w:p>
    <w:p>
      <w:pPr>
        <w:ind w:right="80"/>
        <w:spacing w:after="0" w:line="270" w:lineRule="auto"/>
        <w:rPr>
          <w:sz w:val="20"/>
          <w:szCs w:val="20"/>
          <w:color w:val="auto"/>
        </w:rPr>
      </w:pPr>
      <w:r>
        <w:rPr>
          <w:rFonts w:ascii="Arial" w:cs="Arial" w:eastAsia="Arial" w:hAnsi="Arial"/>
          <w:sz w:val="17"/>
          <w:szCs w:val="17"/>
          <w:color w:val="auto"/>
        </w:rPr>
        <w:t>200,000 individuals in the U.S. and when there is no reasonable expectation that the cost of developing and making available the drug or biologic in the U.S. will be recovered from sales in the U.S. for that drug or biologic. Additionally, sponsors must present a plausible hypothesis for clinical superiority to obtain ODD if there is a product already approved by the FDA that is intended for the same indication and that is considered by the FDA to be the same product as the already approved product. This hypothesis for clinical superiority must be demonstrated to obtain orphan exclusivity. ODD must be requested before submitting a BLA. After the FDA grants ODD, the generic identity of the therapeutic agent and its potential orphan use are disclosed publicly by the FDA.</w:t>
      </w:r>
    </w:p>
    <w:p>
      <w:pPr>
        <w:spacing w:after="0" w:line="178"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as sameness is defined in the FDA’s regulations,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opportunities for certain research grant funding, and a waiver of the BLA application fees. The tax credit, however, was recently limited through Congress’s tax reform efforts. Despite these benefits, the ODD does not convey any advantage in, or shorten the duration of, the regulatory review or approval process.</w:t>
      </w:r>
    </w:p>
    <w:p>
      <w:pPr>
        <w:spacing w:after="0" w:line="182"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 The FDA may also approve a product deemed to be the same as an approved orphan product for the same orphan indication, despite periods of exclusivity, if the new product is demonstrated to be clinically superior to the former product.</w:t>
      </w:r>
    </w:p>
    <w:p>
      <w:pPr>
        <w:spacing w:after="0" w:line="19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plan to seek ODD for some or all of our other product candidates in specific orphan indications in which there is a medically plausible basis for the use of such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Data Exclusivity and Biosimilars</w:t>
      </w:r>
    </w:p>
    <w:p>
      <w:pPr>
        <w:spacing w:after="0" w:line="22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While under the Biologics Price Competition and Innovation Act of 2009, or BPCIA, the FDA may eventually license products, as further described below, that are biosimilar to any of our product candidates that are approved, our products may receive periods of regulatory exclusivity, in addition to orphan drug exclusivity for those products with ODDs, providing additional protection from certain forms of competition. For instance, our products may receive 12 years of reference product exclusivity that begins running at the time of first licensure. During this 12-year time period, the FDA may not make an approval of a biosimilar product effective and may not accept a biosimilar application until after four years from the date of first licensure. However, certain changes and supplements to an approved BLA, and subsequent applications filed by the same sponsor, manufacturer, licensor, predecessor in interest, or other related entity do not qualify for the exclusivity period. The PHSA also includes provisions governing patent litigation over patents that are directed to the reference products. The biosimilar product sponsor and reference product sponsor may, but are not required to, exchange certain patent and product information for the purpose of negotiating and determining the scope of patent litigation, including the patents to be asserted and challenged.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 under certain circumstances.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BPCIA created an abbreviated approval pathway for biological products shown to be highly similar to or interchangeable with an FDA-licensed reference biological product. Accordingly, if we receive FDA licensure, we may face competition from biosimilar products.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Patent Term Extension</w:t>
      </w:r>
    </w:p>
    <w:p>
      <w:pPr>
        <w:spacing w:after="0" w:line="225"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Pediatric exclusivity is another type of non-patent marketing exclusivity in the U.S. and, if granted, provides for the attachment of an additional six months of marketing protection to the term of any existing regulatory exclusivity. Under the Best Pharmaceuticals for Children Act, a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whatever regulatory periods of exclusivity that already cover the product are extended by six months. Pediatric exclusivity is thus an “add-on” exclusivity and is unique in this regard among the various regulatory exclusivities provided by FDA. The FDA can also require pediatric studies of a drug submitted in a new drug application if the FDA determines that the product is likely to be used in a substantial number of pediatric patients, or if the product would provide a meaningful benefit in the pediatric population over existing treatments. This requirement may be waived in certain circumstances, for example, where the indication does not occur or is not highly prevent in the pediatric population.</w:t>
      </w:r>
    </w:p>
    <w:p>
      <w:pPr>
        <w:spacing w:after="0" w:line="172"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If approved, biologics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 Whether any of our product candidates will be eligible for patent term restoration is currently unknown. Even if any of our product candidates are found to be eligible for patent term protection, the applicable authorities may subsequently determine that we are not eligible for such restoration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Any products for which we receive FDA approvals are subject to continuing regulation by the FDA, including, among other things, record-keeping requirements, reporting of adverse experiences with the product and deviations, annual reporting and monitoring and providing the FDA with updated safety and efficacy information, product sampling and distribution requirements, certain electronic records and signature requirements, fulfilling post-marketing study and REMS commitments, and complying with FDA promotion and advertising requirements, which include, among other things, standards for direct-to-consumer advertising, restrictions on promoting products for uses or in patient populations that are not described in the product’s approved uses or otherwise consistent with the FDA-approved product labeling (known as “off-label use”), limitations on industry-sponsored scientific and educational activities, rules regarding communication of health care economic information regarding biopharmaceutical products to payors and formularies,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 In the past several years, certain court decisions have impacted FDA’s enforcement activity regarding off-label promotion in light of First Amendment considerations; however, there are still significant risks in this area, in part due to the potential for False Claims Act exposure.</w:t>
      </w:r>
    </w:p>
    <w:p>
      <w:pPr>
        <w:spacing w:after="0" w:line="186"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required to register their establishments and list their products with the FDA and certain state agencies, and are subject to periodic unannounced inspections by the FDA and certain state agencies for compliance with cGMP and other applicable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spacing w:after="0" w:line="165"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including manufacturers and repackagers, wholesale distributors, third-party logistics providers, and dispensers. The DSCSA preempts previously enacted state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required. The DSCSA requirements, development of standards, and the system for product tracing have been and will continue to be phased in over a period of years, with the FDA indicating that it would permit certain exemptions and exclusions, and exercise enforcement discretion on certain aspects of the law due to the COVID-19 pandemic, although this situation may continue to evolve. The distribution of product samples continues to be regulated under the PDMA, and some states also impose regulations on drug sample distribution.</w:t>
      </w:r>
    </w:p>
    <w:p>
      <w:pPr>
        <w:spacing w:after="0" w:line="168"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previously mentioned, the FDA may also require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Biologic Requirements</w:t>
      </w:r>
    </w:p>
    <w:p>
      <w:pPr>
        <w:spacing w:after="0" w:line="225" w:lineRule="exact"/>
        <w:rPr>
          <w:sz w:val="20"/>
          <w:szCs w:val="20"/>
          <w:color w:val="auto"/>
        </w:rPr>
      </w:pPr>
    </w:p>
    <w:p>
      <w:pPr>
        <w:ind w:right="320" w:firstLine="492"/>
        <w:spacing w:after="0" w:line="275"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U.S. and between states.</w:t>
      </w:r>
    </w:p>
    <w:p>
      <w:pPr>
        <w:spacing w:after="0" w:line="176"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the manufacturer's tests performed on the lot. The FDA may also perform certain confirmatory tests on lots of some products before releasing the lots for distribution by the manufacturer.</w:t>
      </w:r>
    </w:p>
    <w:p>
      <w:pPr>
        <w:spacing w:after="0" w:line="176"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Our sales, promotion, medical education and other activities following product approval will be subject to regulation by numerous regulatory and law enforcement authorities in the U.S., and in addition to the FDA, these entities may include the Federal Trade Commission, the Department of Justice, the Centers for Medicare &amp; Medicaid Services, other divisions of the Department of Health and Human Services and state and local governments. Our promotional and scientific/educational programs must comply with</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federal Anti-Kickback Statute, or AKS, the Foreign Corrupt Practices Act, or FCPA, the False Claims Act, or FCA, the Veterans Health Care Act, physician payment transparency laws, privacy laws, security laws, and additional state laws similar to the foregoing.</w:t>
      </w:r>
    </w:p>
    <w:p>
      <w:pPr>
        <w:spacing w:after="0" w:line="124"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in whole or in part. The term remuneration has been interpreted broadly to include anything of value. The federal AKS has been interpreted broadly to apply to arrangements between pharmaceutical manufacturers on the one hand and prescribers, purchasers, and formulary managers on the other. The term "remuneration" includes kickbacks, bribes or rebates and also has been broadly interpreted to include anything of value, including, for example, gifts, discounts, waivers of payment, ownership interest and providing anything at less than its fair market value. Additionally, the intent standard under the federal AKS provides that a person or entity need not have actual knowledge of the statute or specific intent to violate it in order to have committed a violation. In addition, a claim including items or services resulting from a violation of the federal AKS constitutes a false or fraudulent claim for purposes of the federal civil False Claims Act.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Our practices may not in all cases meet all the criteria for protection under a statutory exception or regulatory safe harbor. The safe harbors are subject to change through legislative and regulatory action, and we may decide to adjust our business practices or be subject to heightened scrutiny as a result.</w:t>
      </w:r>
    </w:p>
    <w:p>
      <w:pPr>
        <w:spacing w:after="0" w:line="171"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for payment, or approval to a federal healthcare program that the person knows or should know is for an item or service that was not provided as claimed or is false or fraudulent.</w:t>
      </w:r>
    </w:p>
    <w:p>
      <w:pPr>
        <w:spacing w:after="0" w:line="184"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The FCA imposes liability on persons who, among other things, knowingly present or cause to be presented false or fraudulent claims for payment to, or approval by the federal government knowingly making or using, or causing to be made or used a false statement or record material to a claim to the federal government, or avoiding, decreasing or concealing an obligation to pay money to the federal government. A claim includes "any request or demand" for money or property presented directly or indirectly to the federal government. The civil FCA has been or can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may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as a qui tam action by a private individual in the name of the government. If the government intervenes in a qui tam action, and prevails, the qui tam plaintiff will share in the proceeds from damages and fines or settlement funds. If the government declines to intervene, the qui tam plaintiff may pursue the case alone. 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implicate the FCA.</w:t>
      </w:r>
    </w:p>
    <w:p>
      <w:pPr>
        <w:spacing w:after="0" w:line="169" w:lineRule="exact"/>
        <w:rPr>
          <w:sz w:val="20"/>
          <w:szCs w:val="20"/>
          <w:color w:val="auto"/>
        </w:rPr>
      </w:pPr>
    </w:p>
    <w:p>
      <w:pPr>
        <w:ind w:right="440" w:firstLine="492"/>
        <w:spacing w:after="0" w:line="263" w:lineRule="auto"/>
        <w:rPr>
          <w:sz w:val="20"/>
          <w:szCs w:val="20"/>
          <w:color w:val="auto"/>
        </w:rPr>
      </w:pPr>
      <w:r>
        <w:rPr>
          <w:rFonts w:ascii="Arial" w:cs="Arial" w:eastAsia="Arial" w:hAnsi="Arial"/>
          <w:sz w:val="18"/>
          <w:szCs w:val="18"/>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84"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Additionally, the FCPA, and similar worldwide anti-bribery laws, generally prohibit companies and their intermediaries from making, offering or authorizing improper payments or other items of value, directly or indirectly, to foreign officials, political parties, or candidates for the purpose of obtaining or retaining business. The FCPA also obligates companies whose securities are listed in the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securing government contracts.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77" w:lineRule="exact"/>
        <w:rPr>
          <w:sz w:val="20"/>
          <w:szCs w:val="20"/>
          <w:color w:val="auto"/>
        </w:rPr>
      </w:pPr>
    </w:p>
    <w:p>
      <w:pPr>
        <w:ind w:firstLine="492"/>
        <w:spacing w:after="0" w:line="217" w:lineRule="exact"/>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the Centers for Medicare &amp; Medicaid Services, or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or ASP, which is used to determine the Medicare Part B payment rate for the drug. Drugs that are approved under a BLA or a New Drug Application, or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these price reporting requirements create risk of submitting false information to the government, and potential FCA liability.</w:t>
      </w:r>
    </w:p>
    <w:p>
      <w:pPr>
        <w:spacing w:after="0" w:line="20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spacing w:after="0" w:line="161"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which imposes criminal and civil penalties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third-party,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the specific intent to violate it, to have committed a violation.</w:t>
      </w:r>
    </w:p>
    <w:p>
      <w:pPr>
        <w:spacing w:after="0" w:line="16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We may also be subject to data privacy and security laws and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specific requirements relating to the privacy, security and transmission of individually identifiable health information held by covered entities and their business associates. While we would not be a “covered entity” under HIPAA, it is possible that we may enter into a service or business arrangement that would cause us to serve as a “business associates,” defined as a person or entity that performs certain functions or activities that involve the use or disclosure of protected health information in connection with providing a service for or on behalf of, or provide services to,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The Department of Health and Human Services Office of Civil Rights, or the OCR, has increased its focus on compliance and continues to train state attorneys general for enforcement purposes.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Even for entities that are not deemed “covered entities” or “business associates” under HIPAA, according to the U.S.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77"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In addition to the laws discussed above, we may see more stringent state and federal privacy legislation in 2021 and beyond, as the increased cyber-attacks during the pandemic have heightened attention data privacy and security in the U.S. and other jurisdictions. We cannot predict where new legislation might arise, the scope of such legislation, or the potential impact to our business and operations.</w:t>
      </w:r>
    </w:p>
    <w:p>
      <w:pPr>
        <w:spacing w:after="0" w:line="149" w:lineRule="exact"/>
        <w:rPr>
          <w:sz w:val="20"/>
          <w:szCs w:val="20"/>
          <w:color w:val="auto"/>
        </w:rPr>
      </w:pPr>
    </w:p>
    <w:p>
      <w:pPr>
        <w:ind w:right="100" w:firstLine="492"/>
        <w:spacing w:after="0" w:line="287" w:lineRule="auto"/>
        <w:rPr>
          <w:sz w:val="20"/>
          <w:szCs w:val="20"/>
          <w:color w:val="auto"/>
        </w:rPr>
      </w:pPr>
      <w:r>
        <w:rPr>
          <w:rFonts w:ascii="Arial" w:cs="Arial" w:eastAsia="Arial" w:hAnsi="Arial"/>
          <w:sz w:val="16"/>
          <w:szCs w:val="16"/>
          <w:color w:val="auto"/>
        </w:rPr>
        <w:t>Payments made to physicians and other healthcare providers, and other financial interests, have been the subject of a range of federal and state laws. The federal physician payment transparency requirements, sometimes referred to as the Physician Payments Sunshine Act, or the Sunshine Act, was created under the ACA. The Sunshine Act, among other things, imposes reporting requirements on drug manufacturers for payments or other transfers of value made by them to physicians and teaching hospitals, as well as ownership and investment interests held by physicians, other healthcare providers, and their immediate family members. Failure to submit required information may result in civil monetary penalties of up to an aggregate of $150,000 per year and up to an additional aggregate of $1 million per year for “knowing failures,” for all payments, transfers of value or ownership or investment interests that are not timely, accurately and completely reported in an annual submission. The Sunshine Act was amended requiring applicable manufacturers, in 2021, to begin tracking payments and transfers of value to physician assistants, nurse practitioners, and other mid-level HCPs as well as physicians, with reporting relative to these mid-level practitioners first due in 2022.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spacing w:after="0" w:line="168"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known as the PhRMA Code, and the relevant compliance program guidance promulgated by the federal government in addition to requiring drug manufacturers to report pricing and marketing information, including, among other things, information related to gifts, payments, or other remuneration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California enacted the California Consumer Privacy Act, or CCPA, which went into effect on January 1, 2020 and was recently amended and expanded by the California Privacy Rights Act, or CPRA, passed on November 3, 2020. While the majority of the CPRA’s substantive provisions will not take effect until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68" w:lineRule="exact"/>
        <w:rPr>
          <w:sz w:val="20"/>
          <w:szCs w:val="20"/>
          <w:color w:val="auto"/>
        </w:rPr>
      </w:pPr>
    </w:p>
    <w:p>
      <w:pPr>
        <w:ind w:right="220" w:firstLine="492"/>
        <w:spacing w:after="0" w:line="221" w:lineRule="exact"/>
        <w:rPr>
          <w:sz w:val="20"/>
          <w:szCs w:val="20"/>
          <w:color w:val="auto"/>
        </w:rPr>
      </w:pPr>
      <w:r>
        <w:rPr>
          <w:rFonts w:ascii="Arial" w:cs="Arial" w:eastAsia="Arial" w:hAnsi="Arial"/>
          <w:sz w:val="17"/>
          <w:szCs w:val="17"/>
          <w:color w:val="auto"/>
        </w:rPr>
        <w:t>To the extent that any of our products are sold in a foreign country, we may be subject to similar foreign laws and regulations, which may include, for instance, applicable post-marketing requirements, including safety surveillance, anti</w:t>
      </w:r>
      <w:r>
        <w:rPr>
          <w:rFonts w:ascii="MS PGothic" w:cs="MS PGothic" w:eastAsia="MS PGothic" w:hAnsi="MS PGothic"/>
          <w:sz w:val="17"/>
          <w:szCs w:val="17"/>
          <w:color w:val="auto"/>
        </w:rPr>
        <w:t>‑</w:t>
      </w:r>
      <w:r>
        <w:rPr>
          <w:rFonts w:ascii="Arial" w:cs="Arial" w:eastAsia="Arial" w:hAnsi="Arial"/>
          <w:sz w:val="17"/>
          <w:szCs w:val="17"/>
          <w:color w:val="auto"/>
        </w:rPr>
        <w:t>fraud and abuse laws, and implementation of corporate compliance programs and reporting of payments or transfers of value to HCPs.</w:t>
      </w:r>
    </w:p>
    <w:p>
      <w:pPr>
        <w:spacing w:after="0" w:line="202" w:lineRule="exact"/>
        <w:rPr>
          <w:sz w:val="20"/>
          <w:szCs w:val="20"/>
          <w:color w:val="auto"/>
        </w:rPr>
      </w:pPr>
    </w:p>
    <w:p>
      <w:pPr>
        <w:ind w:right="60" w:firstLine="492"/>
        <w:spacing w:after="0" w:line="301"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interactions between healthcare companies and healthcare providers,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w:t>
      </w:r>
    </w:p>
    <w:p>
      <w:pPr>
        <w:spacing w:after="0" w:line="187"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If our operations are found to be in violation of any of such health regulatory laws described above or any other governmental laws and regulations that apply to us, we may be subject to penalties, including, without limitation, civil, administrative, and criminal penalties, damages, fines, disgorgement, the curtailment or restructuring of our operations, exclusion from participation in federal and state healthcare programs and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Medicare, Medicaid, and other government programs at the federal and state level, managed care providers, private health insurers and other organizations. Third party payors decide which drugs they will pay for on behalf of their beneficiaries and establish reimbursement levels for health care. Although we currently believe that third-party payors will provide coverage and reimbursement for our product candidates, if approved, these third-party payors are increasingly challenging the price and examining the cost-effectiveness of medical products and services, with a recent focus on prioritization of “equivalent,” less expensive alternatives when available.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especially for product candidates such as ours, which are used in the inpatient setting, usually resulting in no separate reimbursement for pharmaceuticals. There are additional pressures on pricing as a result of other, peripheral policies impacting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167"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Medicare is a federally-funded program managed by CMS through local contractors that administer coverage and reimbursement for certain healthcare items and services furnished to the elderly and disabled. Medicare Part A covers inpatient hospitalization and Medicare Part B covers outpatient medical services. Medicare coverage of drugs and biological products and payment rates to providers are established by federal law and regulations. Medicaid is an insurance program for certain categories of low income patients who are otherwise uninsured and is both federally and state funded and managed by each state. The federal government sets general guidelines for Medicaid and requires rebates on outpatient drugs and biological products, including those administered by physicians if the cost is billed separately. Each state creates specific regulations that govern its individual program, including supplemental rebate programs that prioritize coverage for drugs on the state Preferred Drug List. Government laws and regulations also establish price controls on prescription drugs purchased by government agencies that provide health care and certain federally funded hospital outpatient departments and clinics. In the U.S., private health insurers and other third-party payors often provide reimbursement for products and services based on the level at which the government provides reimbursement through the Medicare or Medicaid programs for such products and services. These restrictions and limitations influence the purchase of healthcare services and products. In addition, government programs like Medicaid include substantial penalties for increasing commercial prices over the rate of inflation which can affect realization and return on investment. Further, some stakeholders have recently questioned whether the market price of prescription drugs may be inflated by virtue of the built-in cost imparted by the government rebate model, often negotiated indirectly in exchange for a coverage determination or formulary placement where relevant.</w:t>
      </w:r>
    </w:p>
    <w:p>
      <w:pPr>
        <w:spacing w:after="0" w:line="176" w:lineRule="exact"/>
        <w:rPr>
          <w:sz w:val="20"/>
          <w:szCs w:val="20"/>
          <w:color w:val="auto"/>
        </w:rPr>
      </w:pPr>
    </w:p>
    <w:p>
      <w:pPr>
        <w:jc w:val="both"/>
        <w:ind w:right="60" w:firstLine="492"/>
        <w:spacing w:after="0" w:line="287" w:lineRule="auto"/>
        <w:rPr>
          <w:sz w:val="20"/>
          <w:szCs w:val="20"/>
          <w:color w:val="auto"/>
        </w:rPr>
      </w:pPr>
      <w:r>
        <w:rPr>
          <w:rFonts w:ascii="Arial" w:cs="Arial" w:eastAsia="Arial" w:hAnsi="Arial"/>
          <w:sz w:val="16"/>
          <w:szCs w:val="16"/>
          <w:color w:val="auto"/>
        </w:rPr>
        <w:t>In the U.S., the European Union, and other potentially significant markets for our product candidates, government authorities and private third-party payors are increasingly attempting to limit or regulate the price of medical products and services, particularly for new and innovative products and therapies, which often has resulted in average selling prices lower than they would otherwise be.</w:t>
      </w:r>
    </w:p>
    <w:p>
      <w:pPr>
        <w:spacing w:after="0" w:line="2" w:lineRule="exact"/>
        <w:rPr>
          <w:sz w:val="20"/>
          <w:szCs w:val="20"/>
          <w:color w:val="auto"/>
        </w:rPr>
      </w:pPr>
    </w:p>
    <w:p>
      <w:pPr>
        <w:ind w:right="20"/>
        <w:spacing w:after="0" w:line="216" w:lineRule="exact"/>
        <w:rPr>
          <w:sz w:val="20"/>
          <w:szCs w:val="20"/>
          <w:color w:val="auto"/>
        </w:rPr>
      </w:pPr>
      <w:r>
        <w:rPr>
          <w:rFonts w:ascii="Arial" w:cs="Arial" w:eastAsia="Arial" w:hAnsi="Arial"/>
          <w:sz w:val="16"/>
          <w:szCs w:val="16"/>
          <w:color w:val="auto"/>
        </w:rPr>
        <w:t>Manufacturers frequently must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 as a condition of coverage, which can greatly reduce realization on the sale. Third-party payors are increasingly challenging the price and examining the medical necessity and cost-effectiveness of medical products and services, in addition to their safety and efficacy, and are developing increasingly sophisticated methods of controlling healthcare costs. They may limit coverage to specific drug products on an approved</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list, or formulary, which might not include all the FDA-approved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 candidates or exclusion of our product candidates from coverage.</w:t>
      </w:r>
    </w:p>
    <w:p>
      <w:pPr>
        <w:spacing w:after="0" w:line="188"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U.S. and on country and regional pricing and reimbursement controls in the European Union will likely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6"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federal and state legislative initiatives.</w:t>
      </w:r>
    </w:p>
    <w:p>
      <w:pPr>
        <w:spacing w:after="0" w:line="176"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In addition, other legislative and regulatory changes have been proposed and adopted since the ACA was enacted. These changes include aggregate reductions to Medicare payments to providers of up to 2% per fiscal year, starting in 2013, which will remain in effect through 2025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Although hospital trade associations filed a lawsuit challenging the regulation, the final rule is now in effect.</w:t>
      </w:r>
    </w:p>
    <w:p>
      <w:pPr>
        <w:spacing w:after="0" w:line="177"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These laws and future laws may result in additional reductions in Medicare and other healthcare funding, which could have a material adverse effect on customers for our product candidates, if approved, and, accordingly, our financial operations.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4"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57"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In the EU and the United Kingdom,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 Because our products are produced in that way, we would be subject to the centralized process. Under the centralized procedure, pharmaceutical companies submit a single marketing authorization application to the European Medicines Agency. Once granted by the European Commission, a centralized marketing authorization is valid in all EU member states, as well as the European Economic Area countries. By law, a company can only start to market a medicine once it has received a marketing authorization.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Management</w:t>
      </w:r>
    </w:p>
    <w:p>
      <w:pPr>
        <w:spacing w:after="0" w:line="229" w:lineRule="exact"/>
        <w:rPr>
          <w:sz w:val="20"/>
          <w:szCs w:val="20"/>
          <w:color w:val="auto"/>
        </w:rPr>
      </w:pPr>
    </w:p>
    <w:p>
      <w:pPr>
        <w:ind w:right="120" w:firstLine="486"/>
        <w:spacing w:after="0" w:line="286" w:lineRule="auto"/>
        <w:rPr>
          <w:sz w:val="20"/>
          <w:szCs w:val="20"/>
          <w:color w:val="auto"/>
        </w:rPr>
      </w:pPr>
      <w:r>
        <w:rPr>
          <w:rFonts w:ascii="Arial" w:cs="Arial" w:eastAsia="Arial" w:hAnsi="Arial"/>
          <w:sz w:val="16"/>
          <w:szCs w:val="16"/>
          <w:color w:val="auto"/>
        </w:rPr>
        <w:t>As of December 31, 2021, we had 319 employees, 242 of whom were engaged in research and development activities and 77 of whom were engaged in general and administrative support activities. None of our employees are subject to a collective bargaining agreement. Our employees are highly skilled, and many hold advanced degrees. Most of our employees have experience with the development of cell therapies. We consider our relationship with our employees to be good.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a 401(k) plan, healthcare and insurance benefits, health savings and flexible spending accounts, paid time off, family leave, and flexible work schedules, among other benefits. We have taken proactive, aggressive action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We maintain a website at www.iovance.com and make available there, free of charge, our periodic reports filed with the Securities and Exchange Commission, or SEC, as soon as is reasonably practicable after filing. The SEC maintains a website at http:/www.sec.gov that contains reports, proxy and information statements, and other information regarding issuers such as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Securities and Exchange Commission, or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87" w:lineRule="exact"/>
        <w:rPr>
          <w:sz w:val="20"/>
          <w:szCs w:val="20"/>
          <w:color w:val="auto"/>
        </w:rPr>
      </w:pPr>
    </w:p>
    <w:p>
      <w:pPr>
        <w:ind w:left="680" w:right="220" w:hanging="321"/>
        <w:spacing w:after="0" w:line="274"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ind w:left="680" w:right="22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It may take longer and cost more to complete our clinical trials than we project, or we may not be able to complete them at all;</w:t>
      </w:r>
    </w:p>
    <w:p>
      <w:pPr>
        <w:spacing w:after="0" w:line="32" w:lineRule="exact"/>
        <w:rPr>
          <w:rFonts w:ascii="Arial" w:cs="Arial" w:eastAsia="Arial" w:hAnsi="Arial"/>
          <w:sz w:val="16"/>
          <w:szCs w:val="16"/>
          <w:color w:val="auto"/>
        </w:rPr>
      </w:pPr>
    </w:p>
    <w:p>
      <w:pPr>
        <w:ind w:left="68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clinical trials may fail to demonstrate adequately the safety and efficacy of our product candidates, which would prevent or delay regulatory approval and commercialization;</w:t>
      </w:r>
    </w:p>
    <w:p>
      <w:pPr>
        <w:ind w:left="68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 w:lineRule="exact"/>
        <w:rPr>
          <w:rFonts w:ascii="Arial" w:cs="Arial" w:eastAsia="Arial" w:hAnsi="Arial"/>
          <w:sz w:val="18"/>
          <w:szCs w:val="18"/>
          <w:color w:val="auto"/>
        </w:rPr>
      </w:pPr>
    </w:p>
    <w:p>
      <w:pPr>
        <w:ind w:left="680" w:right="16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 w:lineRule="exact"/>
        <w:rPr>
          <w:rFonts w:ascii="Arial" w:cs="Arial" w:eastAsia="Arial" w:hAnsi="Arial"/>
          <w:sz w:val="18"/>
          <w:szCs w:val="18"/>
          <w:color w:val="auto"/>
        </w:rPr>
      </w:pPr>
    </w:p>
    <w:p>
      <w:pPr>
        <w:ind w:left="680" w:right="4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 w:lineRule="exact"/>
        <w:rPr>
          <w:rFonts w:ascii="Arial" w:cs="Arial" w:eastAsia="Arial" w:hAnsi="Arial"/>
          <w:sz w:val="18"/>
          <w:szCs w:val="18"/>
          <w:color w:val="auto"/>
        </w:rPr>
      </w:pPr>
    </w:p>
    <w:p>
      <w:pPr>
        <w:ind w:left="680" w:right="120" w:hanging="321"/>
        <w:spacing w:after="0" w:line="265"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ind w:left="680" w:right="100" w:hanging="321"/>
        <w:spacing w:after="0" w:line="265"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ind w:left="680" w:right="26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are required to pay substantial royalties and lump sum benchmark payments under our license agreements with the NIH, Moffitt, Novartis, and Cellectis, and we must meet certain milestones to maintain our license rights;</w:t>
      </w:r>
    </w:p>
    <w:p>
      <w:pPr>
        <w:ind w:left="680" w:right="40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 w:lineRule="exact"/>
        <w:rPr>
          <w:rFonts w:ascii="Arial" w:cs="Arial" w:eastAsia="Arial" w:hAnsi="Arial"/>
          <w:sz w:val="18"/>
          <w:szCs w:val="18"/>
          <w:color w:val="auto"/>
        </w:rPr>
      </w:pPr>
    </w:p>
    <w:p>
      <w:pPr>
        <w:ind w:left="680" w:right="160" w:hanging="321"/>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No assurance can be given that the Gen 2 manufacturing process we have selected will be FDA-compliant, more efficient and lower the cost to manufacture TIL products;</w:t>
      </w:r>
    </w:p>
    <w:p>
      <w:pPr>
        <w:ind w:left="680" w:hanging="321"/>
        <w:spacing w:after="0"/>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We face significant competition from other biotechnology and pharmaceutical companies and from non-profit institutions;</w:t>
      </w:r>
    </w:p>
    <w:p>
      <w:pPr>
        <w:spacing w:after="0" w:line="20" w:lineRule="exact"/>
        <w:rPr>
          <w:rFonts w:ascii="Arial" w:cs="Arial" w:eastAsia="Arial" w:hAnsi="Arial"/>
          <w:sz w:val="17"/>
          <w:szCs w:val="17"/>
          <w:color w:val="auto"/>
        </w:rPr>
      </w:pPr>
    </w:p>
    <w:p>
      <w:pPr>
        <w:ind w:left="680" w:right="260" w:hanging="321"/>
        <w:spacing w:after="0" w:line="26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60" w:hanging="321"/>
        <w:spacing w:after="0" w:line="25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2" w:lineRule="exact"/>
        <w:rPr>
          <w:rFonts w:ascii="Arial" w:cs="Arial" w:eastAsia="Arial" w:hAnsi="Arial"/>
          <w:sz w:val="18"/>
          <w:szCs w:val="18"/>
          <w:color w:val="auto"/>
        </w:rPr>
      </w:pPr>
    </w:p>
    <w:p>
      <w:pPr>
        <w:ind w:left="680" w:right="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 w:lineRule="exact"/>
        <w:rPr>
          <w:rFonts w:ascii="Arial" w:cs="Arial" w:eastAsia="Arial" w:hAnsi="Arial"/>
          <w:sz w:val="18"/>
          <w:szCs w:val="18"/>
          <w:color w:val="auto"/>
        </w:rPr>
      </w:pPr>
    </w:p>
    <w:p>
      <w:pPr>
        <w:ind w:left="680" w:right="2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 w:lineRule="exact"/>
        <w:rPr>
          <w:rFonts w:ascii="Arial" w:cs="Arial" w:eastAsia="Arial" w:hAnsi="Arial"/>
          <w:sz w:val="18"/>
          <w:szCs w:val="18"/>
          <w:color w:val="auto"/>
        </w:rPr>
      </w:pPr>
    </w:p>
    <w:p>
      <w:pPr>
        <w:ind w:left="680" w:right="160" w:hanging="321"/>
        <w:spacing w:after="0" w:line="281"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 w:lineRule="exact"/>
        <w:rPr>
          <w:rFonts w:ascii="Arial" w:cs="Arial" w:eastAsia="Arial" w:hAnsi="Arial"/>
          <w:sz w:val="16"/>
          <w:szCs w:val="16"/>
          <w:color w:val="auto"/>
        </w:rPr>
      </w:pPr>
    </w:p>
    <w:p>
      <w:pPr>
        <w:ind w:left="680" w:right="4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If our product candidates do not achieve broad market acceptance, the revenues that we generate from their sales will be limited;</w:t>
      </w:r>
    </w:p>
    <w:p>
      <w:pPr>
        <w:ind w:left="680" w:right="120" w:hanging="321"/>
        <w:spacing w:after="0" w:line="281"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are currently subject to state executive orders and shelter-in-place orders, and at our clinical trial sites, as well as the business or operations of our other manufacturers, CROs or other third parties with whom we conduct business;</w:t>
      </w:r>
    </w:p>
    <w:p>
      <w:pPr>
        <w:spacing w:after="0" w:line="3" w:lineRule="exact"/>
        <w:rPr>
          <w:rFonts w:ascii="Arial" w:cs="Arial" w:eastAsia="Arial" w:hAnsi="Arial"/>
          <w:sz w:val="16"/>
          <w:szCs w:val="16"/>
          <w:color w:val="auto"/>
        </w:rPr>
      </w:pPr>
    </w:p>
    <w:p>
      <w:pPr>
        <w:ind w:left="680" w:hanging="321"/>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We will need to grow the size and capabilities of our organization, and we may experience difficulties in managing this growth;</w:t>
      </w:r>
    </w:p>
    <w:p>
      <w:pPr>
        <w:spacing w:after="0" w:line="32" w:lineRule="exact"/>
        <w:rPr>
          <w:rFonts w:ascii="Arial" w:cs="Arial" w:eastAsia="Arial" w:hAnsi="Arial"/>
          <w:sz w:val="16"/>
          <w:szCs w:val="16"/>
          <w:color w:val="auto"/>
        </w:rPr>
      </w:pPr>
    </w:p>
    <w:p>
      <w:pPr>
        <w:ind w:left="680" w:right="12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 w:lineRule="exact"/>
        <w:rPr>
          <w:rFonts w:ascii="Arial" w:cs="Arial" w:eastAsia="Arial" w:hAnsi="Arial"/>
          <w:sz w:val="18"/>
          <w:szCs w:val="18"/>
          <w:color w:val="auto"/>
        </w:rPr>
      </w:pPr>
    </w:p>
    <w:p>
      <w:pPr>
        <w:ind w:left="680" w:right="10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FDA regulatory approval process is lengthy and time-consuming, and we may experience significant delays in the clinical development and regulatory approval of our product candidates;</w:t>
      </w:r>
    </w:p>
    <w:p>
      <w:pPr>
        <w:ind w:left="680" w:right="30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Obtaining and maintaining regulatory approval of our product candidates in one jurisdiction does not mean that we will be successful in obtaining regulatory approval of our product candidates in other jurisdictions;</w:t>
      </w:r>
    </w:p>
    <w:p>
      <w:pPr>
        <w:ind w:left="680" w:right="380" w:hanging="321"/>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Coverage and reimbursement may be limited or unavailable in certain market segments for our product candidates, which could make it difficult for us to sell our product candidates profitably; and</w:t>
      </w: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Governments outside the U.S. tend to impose strict price controls, which may adversely affect our revenues,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19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December 31, 2021, we had an accumulated deficit of $1.2 billion. In addition, during the year ended December 31, 2021, we incurred a net loss of $342.3 million. Since our inception we have not generated any revenues from operations. We are preparing for the commercial launch of our products, if approved, in 2022.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51"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30"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49"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38"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83"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We currently have no products approved for commercial sale. We have invested a significant portion of our efforts and financial resources in the development of our current product candidates, including lifileucel, LN-145,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50"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w:t>
      </w:r>
    </w:p>
    <w:p>
      <w:pPr>
        <w:spacing w:after="0" w:line="117"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spacing w:after="0" w:line="124"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metastatic melanoma and metastatic cervical cancer.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54"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30" w:lineRule="exact"/>
        <w:rPr>
          <w:sz w:val="20"/>
          <w:szCs w:val="20"/>
          <w:color w:val="auto"/>
        </w:rPr>
      </w:pPr>
    </w:p>
    <w:p>
      <w:pPr>
        <w:ind w:left="820" w:right="540" w:hanging="320"/>
        <w:spacing w:after="0" w:line="258"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9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spacing w:after="0" w:line="145"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2"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Further, our CMOs may not be able to manufacture TIL or otherwise fulfill their obligations to us because of interruptions to their business, including the loss of their key staff or interruptions to their raw material supply.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26" w:lineRule="exact"/>
        <w:rPr>
          <w:sz w:val="20"/>
          <w:szCs w:val="20"/>
          <w:color w:val="auto"/>
        </w:rPr>
      </w:pPr>
    </w:p>
    <w:p>
      <w:pPr>
        <w:ind w:right="40" w:firstLine="492"/>
        <w:spacing w:after="0" w:line="286" w:lineRule="auto"/>
        <w:rPr>
          <w:sz w:val="20"/>
          <w:szCs w:val="20"/>
          <w:color w:val="auto"/>
        </w:rPr>
      </w:pPr>
      <w:r>
        <w:rPr>
          <w:rFonts w:ascii="Arial" w:cs="Arial" w:eastAsia="Arial" w:hAnsi="Arial"/>
          <w:sz w:val="16"/>
          <w:szCs w:val="16"/>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oversight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Good Clinical Practices, or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44"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47"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59" w:lineRule="exact"/>
        <w:rPr>
          <w:sz w:val="20"/>
          <w:szCs w:val="20"/>
          <w:color w:val="auto"/>
        </w:rPr>
      </w:pPr>
    </w:p>
    <w:p>
      <w:pPr>
        <w:ind w:right="60" w:firstLine="492"/>
        <w:spacing w:after="0" w:line="296" w:lineRule="auto"/>
        <w:rPr>
          <w:sz w:val="20"/>
          <w:szCs w:val="20"/>
          <w:color w:val="auto"/>
        </w:rPr>
      </w:pPr>
      <w:r>
        <w:rPr>
          <w:rFonts w:ascii="Arial" w:cs="Arial" w:eastAsia="Arial" w:hAnsi="Arial"/>
          <w:sz w:val="16"/>
          <w:szCs w:val="16"/>
          <w:color w:val="auto"/>
        </w:rPr>
        <w:t>If any of our relationships with these third parties terminate, we may not be able to enter into alternative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these delays or challenges will not have a material adverse impact on our business, financial condition and prospects or results of operations.</w:t>
      </w:r>
    </w:p>
    <w:p>
      <w:pPr>
        <w:spacing w:after="0" w:line="130"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60"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w:t>
      </w:r>
    </w:p>
    <w:p>
      <w:pPr>
        <w:spacing w:after="0" w:line="1" w:lineRule="exact"/>
        <w:rPr>
          <w:sz w:val="20"/>
          <w:szCs w:val="20"/>
          <w:color w:val="auto"/>
        </w:rPr>
      </w:pPr>
    </w:p>
    <w:p>
      <w:pPr>
        <w:ind w:right="60" w:firstLine="8"/>
        <w:spacing w:after="0" w:line="268" w:lineRule="auto"/>
        <w:tabs>
          <w:tab w:leader="none" w:pos="2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May 2020, we disclosed interim results for Cohort 4 of the C-144-01 clinical trial. The interim results speak only to data available as of March 16, 2020, and although such data have been reviewed by the investigators, they have not been reviewed by an IRC. In addition, differences in patient population may affect the clinical results of Cohort 4 as compared to Cohort 2.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40" w:lineRule="exact"/>
        <w:rPr>
          <w:rFonts w:ascii="Arial" w:cs="Arial" w:eastAsia="Arial" w:hAnsi="Arial"/>
          <w:sz w:val="17"/>
          <w:szCs w:val="17"/>
          <w:color w:val="auto"/>
        </w:rPr>
      </w:pPr>
    </w:p>
    <w:p>
      <w:pPr>
        <w:ind w:left="820" w:right="260" w:hanging="320"/>
        <w:spacing w:after="0" w:line="255"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1"/>
          <w:numId w:val="14"/>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820" w:right="12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Arial" w:cs="Arial" w:eastAsia="Arial" w:hAnsi="Arial"/>
          <w:sz w:val="18"/>
          <w:szCs w:val="18"/>
          <w:color w:val="auto"/>
        </w:rPr>
      </w:pPr>
    </w:p>
    <w:p>
      <w:pPr>
        <w:ind w:left="820" w:hanging="320"/>
        <w:spacing w:after="0" w:line="250" w:lineRule="auto"/>
        <w:tabs>
          <w:tab w:leader="none" w:pos="8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40" w:hanging="320"/>
        <w:spacing w:after="0" w:line="255"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2"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40" w:hanging="319"/>
        <w:spacing w:after="0"/>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delays in patient enrollment due to the ongoing COVID-19 pandemic;</w:t>
      </w:r>
    </w:p>
    <w:p>
      <w:pPr>
        <w:spacing w:after="0" w:line="9" w:lineRule="exact"/>
        <w:rPr>
          <w:rFonts w:ascii="Arial" w:cs="Arial" w:eastAsia="Arial" w:hAnsi="Arial"/>
          <w:sz w:val="18"/>
          <w:szCs w:val="18"/>
          <w:color w:val="auto"/>
        </w:rPr>
      </w:pPr>
    </w:p>
    <w:p>
      <w:pPr>
        <w:ind w:left="820" w:right="18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34"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or preclinical studies. For example, while we currently intend to file our first BLA using our Gen 2 manufacturing process, in the future we may seek to commercialize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and preclinical studies, or results in a refusal to file or non-approval of a BLA.</w:t>
      </w:r>
    </w:p>
    <w:p>
      <w:pPr>
        <w:spacing w:after="0" w:line="108"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57"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19"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difficulties in identifying and enrolling patients who meet trial eligibility criteria, and the ongoing COVID-19 pandemic, may cause significant delays. We may not commence or complete clinical trials involving any of our products as projected or may not conduct them successfully.</w:t>
      </w:r>
    </w:p>
    <w:p>
      <w:pPr>
        <w:spacing w:after="0" w:line="161"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We are currently enrolling six company-sponsored clinical trials to assess the overall safety and efficacy of Iovance TIL monotherapy and TIL combinations in patients with melanoma, cervical, head and neck and lung cancers across late-line and early treatment settings, as well as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our TIL therapy lifileucel in patients with metastatic cervical cancer and metastatic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lifileucel in patients with metastatic cervical cancer and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352"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w:t>
      </w:r>
    </w:p>
    <w:p>
      <w:pPr>
        <w:sectPr>
          <w:pgSz w:w="11900" w:h="16838" w:orient="portrait"/>
          <w:cols w:equalWidth="0" w:num="1">
            <w:col w:w="9900"/>
          </w:cols>
          <w:pgMar w:left="980" w:top="665" w:right="10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52"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60"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46"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0"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52"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30"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3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50"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38"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43"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25" w:lineRule="exact"/>
        <w:rPr>
          <w:sz w:val="20"/>
          <w:szCs w:val="20"/>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jc w:val="both"/>
        <w:ind w:left="820" w:right="18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Arial" w:cs="Arial" w:eastAsia="Arial" w:hAnsi="Arial"/>
          <w:sz w:val="18"/>
          <w:szCs w:val="18"/>
          <w:color w:val="auto"/>
        </w:rPr>
      </w:pPr>
    </w:p>
    <w:p>
      <w:pPr>
        <w:ind w:left="820" w:right="120" w:hanging="320"/>
        <w:spacing w:after="0" w:line="26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40" w:right="100" w:hanging="319"/>
        <w:spacing w:after="0" w:line="255"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right="20" w:hanging="320"/>
        <w:spacing w:after="0" w:line="253"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5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55"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3"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spacing w:after="0" w:line="13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3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99" w:lineRule="exact"/>
        <w:rPr>
          <w:sz w:val="20"/>
          <w:szCs w:val="20"/>
          <w:color w:val="auto"/>
        </w:rPr>
      </w:pPr>
    </w:p>
    <w:p>
      <w:pPr>
        <w:ind w:right="40" w:firstLine="492"/>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4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40" w:lineRule="exact"/>
        <w:rPr>
          <w:sz w:val="20"/>
          <w:szCs w:val="20"/>
          <w:color w:val="auto"/>
        </w:rPr>
      </w:pPr>
    </w:p>
    <w:p>
      <w:pPr>
        <w:ind w:right="80" w:firstLine="492"/>
        <w:spacing w:after="0" w:line="285"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Our BLA submission for lifileucel is now expected to occur during the first half of 2022.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136" w:lineRule="exact"/>
        <w:rPr>
          <w:sz w:val="20"/>
          <w:szCs w:val="20"/>
          <w:color w:val="auto"/>
        </w:rPr>
      </w:pPr>
    </w:p>
    <w:p>
      <w:pPr>
        <w:ind w:right="120" w:firstLine="492"/>
        <w:spacing w:after="0" w:line="296" w:lineRule="auto"/>
        <w:rPr>
          <w:sz w:val="20"/>
          <w:szCs w:val="20"/>
          <w:color w:val="auto"/>
        </w:rPr>
      </w:pPr>
      <w:r>
        <w:rPr>
          <w:rFonts w:ascii="Arial" w:cs="Arial" w:eastAsia="Arial" w:hAnsi="Arial"/>
          <w:sz w:val="16"/>
          <w:szCs w:val="16"/>
          <w:color w:val="auto"/>
        </w:rPr>
        <w:t>Our current manufacturing strategy involves the use of CMOs. Currently our product candidates are manufactured by WuXi, Lonza,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47"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43"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620" w:hanging="320"/>
        <w:spacing w:after="0" w:line="25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0"/>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380" w:hanging="320"/>
        <w:spacing w:after="0" w:line="281" w:lineRule="auto"/>
        <w:tabs>
          <w:tab w:leader="none" w:pos="8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140" w:hanging="320"/>
        <w:spacing w:after="0" w:line="260"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4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 lifileucel. We expect that development of our own manufacturing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4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61"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2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spacing w:after="0" w:line="145"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w:t>
      </w:r>
    </w:p>
    <w:p>
      <w:pPr>
        <w:sectPr>
          <w:pgSz w:w="11900" w:h="16838" w:orient="portrait"/>
          <w:cols w:equalWidth="0" w:num="1">
            <w:col w:w="9840"/>
          </w:cols>
          <w:pgMar w:left="980" w:top="665" w:right="1079" w:bottom="1440" w:gutter="0" w:footer="0" w:header="0"/>
        </w:sect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40"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5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25" w:lineRule="exact"/>
        <w:rPr>
          <w:sz w:val="20"/>
          <w:szCs w:val="20"/>
          <w:color w:val="auto"/>
        </w:rPr>
      </w:pPr>
    </w:p>
    <w:p>
      <w:pPr>
        <w:ind w:right="10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5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3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98" w:lineRule="exact"/>
        <w:rPr>
          <w:sz w:val="20"/>
          <w:szCs w:val="20"/>
          <w:color w:val="auto"/>
        </w:rPr>
      </w:pPr>
    </w:p>
    <w:p>
      <w:pPr>
        <w:ind w:right="160" w:firstLine="492"/>
        <w:spacing w:after="0" w:line="342" w:lineRule="auto"/>
        <w:rPr>
          <w:sz w:val="20"/>
          <w:szCs w:val="20"/>
          <w:color w:val="auto"/>
        </w:rPr>
      </w:pPr>
      <w:r>
        <w:rPr>
          <w:rFonts w:ascii="Arial" w:cs="Arial" w:eastAsia="Arial" w:hAnsi="Arial"/>
          <w:sz w:val="16"/>
          <w:szCs w:val="16"/>
          <w:color w:val="auto"/>
        </w:rPr>
        <w:t>With the exception of lifileucel for metastatic melanoma and metastatic cervical cancer, our research and development programs are at an early stage. We must demonstrate our products’ safety and efficacy in humans through extensive clinical testing.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00"/>
        <w:spacing w:after="0" w:line="277" w:lineRule="auto"/>
        <w:rPr>
          <w:sz w:val="20"/>
          <w:szCs w:val="20"/>
          <w:color w:val="auto"/>
        </w:rPr>
      </w:pPr>
      <w:r>
        <w:rPr>
          <w:rFonts w:ascii="Arial" w:cs="Arial" w:eastAsia="Arial" w:hAnsi="Arial"/>
          <w:sz w:val="18"/>
          <w:szCs w:val="18"/>
          <w:color w:val="auto"/>
        </w:rPr>
        <w:t>We may experience numerous unforeseen events during, or as a result of, the testing process that could delay or prevent commercialization of our products, including but not limited to the following:</w:t>
      </w:r>
    </w:p>
    <w:p>
      <w:pPr>
        <w:spacing w:after="0" w:line="130" w:lineRule="exact"/>
        <w:rPr>
          <w:sz w:val="20"/>
          <w:szCs w:val="20"/>
          <w:color w:val="auto"/>
        </w:rPr>
      </w:pPr>
    </w:p>
    <w:p>
      <w:pPr>
        <w:ind w:left="820" w:right="20" w:hanging="320"/>
        <w:spacing w:after="0" w:line="258"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8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20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Even if our lead product lifileucel is approved and commercialized, we may not become profitable.</w:t>
      </w:r>
    </w:p>
    <w:p>
      <w:pPr>
        <w:spacing w:after="0" w:line="18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lead product, lifileucel, is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65"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25"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31"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Our operations have consumed substantial amounts of cash since inception. From our inception to December 31, 2021, we have an accumulated deficit of $1.2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Sales Agreement, with Jefferies LLC, which provides for the sale of up to $350.0 million of our common stock from time to time. For the year ended December 31, 2021, we received $203.2 million in net proceeds through the sale of 6,474,099 shares of our common stock. As of December 31, 2021, we had $602.1 million in cash, cash equivalents and investments ($78.2 million of cash and cash equivalents, $426.2 million in short-term investments, $91.6 million of long-term investments, and restricted cash of $6.1 million).</w:t>
      </w:r>
    </w:p>
    <w:p>
      <w:pPr>
        <w:spacing w:after="0" w:line="15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Accordingly, we believe that our existing cash, cash equivalents and investments will be sufficient to fund our operations for at least the next twelve months from the date this Annual Report on Form 10-K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25"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83" w:lineRule="exact"/>
        <w:rPr>
          <w:sz w:val="20"/>
          <w:szCs w:val="20"/>
          <w:color w:val="auto"/>
        </w:rPr>
      </w:pPr>
    </w:p>
    <w:p>
      <w:pPr>
        <w:ind w:left="820" w:right="120" w:hanging="320"/>
        <w:spacing w:after="0" w:line="258"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20" w:hanging="320"/>
        <w:spacing w:after="0" w:line="281" w:lineRule="auto"/>
        <w:tabs>
          <w:tab w:leader="none" w:pos="8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U.S.;</w:t>
      </w:r>
    </w:p>
    <w:p>
      <w:pPr>
        <w:spacing w:after="0" w:line="9" w:lineRule="exact"/>
        <w:rPr>
          <w:rFonts w:ascii="Arial" w:cs="Arial" w:eastAsia="Arial" w:hAnsi="Arial"/>
          <w:sz w:val="18"/>
          <w:szCs w:val="18"/>
          <w:color w:val="auto"/>
        </w:rPr>
      </w:pPr>
    </w:p>
    <w:p>
      <w:pPr>
        <w:ind w:left="820" w:right="70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80" w:hanging="320"/>
        <w:spacing w:after="0" w:line="26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58"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spacing w:after="0" w:line="10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June 2020, October 2018, and January 2018 public offerings, and the proceeds from sales pursuant to the Sales Agreement with Jefferies LLC,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9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2021, we had U.S. federal net operating loss carryforwards of approximately $945.3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Prior to December 31, 2020, we have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54"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4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In recent years, various tax legislations were signed into law. On December 22, 2017, the Tax Cuts and Jobs Act of 2017, or the Tax Act, was signed into law, making significant changes to the Internal Revenue Code.</w:t>
      </w:r>
    </w:p>
    <w:p>
      <w:pPr>
        <w:spacing w:after="0" w:line="130"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On March 27, 2020, the Coronavirus Aid, Relief, and Economic Security Act, or the CARES Act, was enacted in response to the COVID-19 pandemic. Certain provisions of the CARES Act amend or suspend certain provisions of the Tax Act. For example,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w:t>
      </w:r>
    </w:p>
    <w:p>
      <w:pPr>
        <w:spacing w:after="0" w:line="15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 xml:space="preserve">In addition, U.S. federal, state and local tax laws are extremely complex and subject to various interpretations. Although we believe that our tax estimates and positions are reasonable, including our decision to build our </w:t>
      </w:r>
      <w:r>
        <w:rPr>
          <w:rFonts w:ascii="Arial" w:cs="Arial" w:eastAsia="Arial" w:hAnsi="Arial"/>
          <w:sz w:val="16"/>
          <w:szCs w:val="16"/>
          <w:i w:val="1"/>
          <w:iCs w:val="1"/>
          <w:color w:val="auto"/>
        </w:rPr>
        <w:t>i</w:t>
      </w:r>
      <w:r>
        <w:rPr>
          <w:rFonts w:ascii="Arial" w:cs="Arial" w:eastAsia="Arial" w:hAnsi="Arial"/>
          <w:sz w:val="16"/>
          <w:szCs w:val="16"/>
          <w:color w:val="auto"/>
        </w:rPr>
        <w:t>CTC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5"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83"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36"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3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85"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8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51"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68"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4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2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49"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5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pacing w:after="0" w:line="16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3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36"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0"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0"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21"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84" w:lineRule="exact"/>
        <w:rPr>
          <w:sz w:val="20"/>
          <w:szCs w:val="20"/>
          <w:color w:val="auto"/>
        </w:rPr>
      </w:pPr>
    </w:p>
    <w:p>
      <w:pPr>
        <w:ind w:right="20" w:firstLine="486"/>
        <w:spacing w:after="0" w:line="284"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Agenus, BeyondSpring, Bristol-Myers Squibb, Merck, Nektar Therapeutics, Idera Pharmaceuticals, Checkmate Pharmaceuticals, Daiichi Sankyo, Eisai, Exelixis,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 cell receptors rendered reactive against tumor-associated antigens prior to their administration to patients, as well as TIL therapies that are designed to be specific to neoantigens, including products developed by Adaptimmune Therapeutics, Alaunos Therapeutics,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and Roche. We may also face competition from novel interleukin-2 (IL-2) treatments in development by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38" w:lineRule="exact"/>
        <w:rPr>
          <w:sz w:val="20"/>
          <w:szCs w:val="20"/>
          <w:color w:val="auto"/>
        </w:rPr>
      </w:pPr>
    </w:p>
    <w:p>
      <w:pPr>
        <w:ind w:right="8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9"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83" w:lineRule="exact"/>
        <w:rPr>
          <w:sz w:val="20"/>
          <w:szCs w:val="20"/>
          <w:color w:val="auto"/>
        </w:rPr>
      </w:pPr>
    </w:p>
    <w:p>
      <w:pPr>
        <w:jc w:val="both"/>
        <w:ind w:right="8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41"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46" w:lineRule="exact"/>
        <w:rPr>
          <w:sz w:val="20"/>
          <w:szCs w:val="20"/>
          <w:color w:val="auto"/>
        </w:rPr>
      </w:pPr>
    </w:p>
    <w:p>
      <w:pPr>
        <w:ind w:right="28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60" w:hanging="320"/>
        <w:spacing w:after="0" w:line="253" w:lineRule="auto"/>
        <w:tabs>
          <w:tab w:leader="none" w:pos="8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20" w:hanging="320"/>
        <w:spacing w:after="0" w:line="255"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49"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5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60"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3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We are currently developing lifileucel as part of a regimen which uses IL-2. We and our collaborators are also studying TIL therapy along with other products, such as pembrolizumab, ipilimumab and nivolumab. The development of product candidates for</w:t>
      </w:r>
    </w:p>
    <w:p>
      <w:pPr>
        <w:sectPr>
          <w:pgSz w:w="11900" w:h="16838" w:orient="portrait"/>
          <w:cols w:equalWidth="0" w:num="1">
            <w:col w:w="9860"/>
          </w:cols>
          <w:pgMar w:left="980" w:top="665" w:right="105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26" w:lineRule="exact"/>
        <w:rPr>
          <w:sz w:val="20"/>
          <w:szCs w:val="20"/>
          <w:color w:val="auto"/>
        </w:rPr>
      </w:pPr>
    </w:p>
    <w:p>
      <w:pPr>
        <w:ind w:right="42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57"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We were granted Fast Track designation by the FDA for lifileucel in metastatic melanoma and metastatic cervical cancer.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38" w:lineRule="exact"/>
        <w:rPr>
          <w:sz w:val="20"/>
          <w:szCs w:val="20"/>
          <w:color w:val="auto"/>
        </w:rPr>
      </w:pPr>
    </w:p>
    <w:p>
      <w:pPr>
        <w:jc w:val="both"/>
        <w:ind w:right="60" w:firstLine="492"/>
        <w:spacing w:after="0" w:line="311" w:lineRule="auto"/>
        <w:rPr>
          <w:sz w:val="20"/>
          <w:szCs w:val="20"/>
          <w:color w:val="auto"/>
        </w:rPr>
      </w:pPr>
      <w:r>
        <w:rPr>
          <w:rFonts w:ascii="Arial" w:cs="Arial" w:eastAsia="Arial" w:hAnsi="Arial"/>
          <w:sz w:val="16"/>
          <w:szCs w:val="16"/>
          <w:b w:val="1"/>
          <w:bCs w:val="1"/>
          <w:i w:val="1"/>
          <w:iCs w:val="1"/>
          <w:color w:val="auto"/>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08"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58" w:lineRule="exact"/>
        <w:rPr>
          <w:sz w:val="20"/>
          <w:szCs w:val="20"/>
          <w:color w:val="auto"/>
        </w:rPr>
      </w:pPr>
    </w:p>
    <w:p>
      <w:pPr>
        <w:jc w:val="both"/>
        <w:ind w:right="220" w:firstLine="492"/>
        <w:spacing w:after="0" w:line="286" w:lineRule="auto"/>
        <w:rPr>
          <w:sz w:val="20"/>
          <w:szCs w:val="20"/>
          <w:color w:val="auto"/>
        </w:rPr>
      </w:pPr>
      <w:r>
        <w:rPr>
          <w:rFonts w:ascii="Arial" w:cs="Arial" w:eastAsia="Arial" w:hAnsi="Arial"/>
          <w:sz w:val="17"/>
          <w:szCs w:val="17"/>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spacing w:after="0" w:line="125"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7"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57" w:lineRule="exact"/>
        <w:rPr>
          <w:sz w:val="20"/>
          <w:szCs w:val="20"/>
          <w:color w:val="auto"/>
        </w:rPr>
      </w:pPr>
    </w:p>
    <w:p>
      <w:pPr>
        <w:jc w:val="both"/>
        <w:ind w:right="200" w:firstLine="492"/>
        <w:spacing w:after="0" w:line="342" w:lineRule="auto"/>
        <w:rPr>
          <w:sz w:val="20"/>
          <w:szCs w:val="20"/>
          <w:color w:val="auto"/>
        </w:rPr>
      </w:pPr>
      <w:r>
        <w:rPr>
          <w:rFonts w:ascii="Arial" w:cs="Arial" w:eastAsia="Arial" w:hAnsi="Arial"/>
          <w:sz w:val="16"/>
          <w:szCs w:val="16"/>
          <w:color w:val="auto"/>
        </w:rPr>
        <w:t>As a condition of biologic licensing, the FDA is authorized to require that sponsors of approved BLAs implement various post-market requirements, including REMS and Phase 4 studies. For example, when the FDA approved Novartis’ Kymriah in August 2017,</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40"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97"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38"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25" w:lineRule="exact"/>
        <w:rPr>
          <w:sz w:val="20"/>
          <w:szCs w:val="20"/>
          <w:color w:val="auto"/>
        </w:rPr>
      </w:pPr>
    </w:p>
    <w:p>
      <w:pPr>
        <w:ind w:left="820" w:right="340" w:hanging="320"/>
        <w:spacing w:after="0" w:line="291" w:lineRule="auto"/>
        <w:tabs>
          <w:tab w:leader="none" w:pos="8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60" w:hanging="320"/>
        <w:spacing w:after="0" w:line="260" w:lineRule="auto"/>
        <w:tabs>
          <w:tab w:leader="none" w:pos="8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58" w:lineRule="exact"/>
        <w:rPr>
          <w:sz w:val="20"/>
          <w:szCs w:val="20"/>
          <w:color w:val="auto"/>
        </w:rPr>
      </w:pPr>
    </w:p>
    <w:p>
      <w:pPr>
        <w:ind w:right="50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30"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43"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60" w:lineRule="exact"/>
        <w:rPr>
          <w:sz w:val="20"/>
          <w:szCs w:val="20"/>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64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product’s FDA-required labeling, including potential limitations or warnings for such products that may be more restrictive than other competitive products;</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9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5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w:t>
      </w:r>
    </w:p>
    <w:p>
      <w:pPr>
        <w:sectPr>
          <w:pgSz w:w="11900" w:h="16838" w:orient="portrait"/>
          <w:cols w:equalWidth="0" w:num="1">
            <w:col w:w="9900"/>
          </w:cols>
          <w:pgMar w:left="980" w:top="665" w:right="101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43"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3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46" w:lineRule="exact"/>
        <w:rPr>
          <w:sz w:val="20"/>
          <w:szCs w:val="20"/>
          <w:color w:val="auto"/>
        </w:rPr>
      </w:pPr>
    </w:p>
    <w:p>
      <w:pPr>
        <w:ind w:right="40" w:firstLine="492"/>
        <w:spacing w:after="0" w:line="296"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and at our clinical trial sites, as well as the business or operations of our other manufacturers, CROs or other third parties with whom we conduct business.</w:t>
      </w:r>
    </w:p>
    <w:p>
      <w:pPr>
        <w:spacing w:after="0" w:line="134" w:lineRule="exact"/>
        <w:rPr>
          <w:sz w:val="20"/>
          <w:szCs w:val="20"/>
          <w:color w:val="auto"/>
        </w:rPr>
      </w:pPr>
    </w:p>
    <w:p>
      <w:pPr>
        <w:ind w:right="500" w:firstLine="492"/>
        <w:spacing w:after="0" w:line="342"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U.S.</w:t>
      </w:r>
    </w:p>
    <w:p>
      <w:pPr>
        <w:spacing w:after="0" w:line="141"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5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and with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145"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60" w:firstLine="492"/>
        <w:spacing w:after="0" w:line="285" w:lineRule="auto"/>
        <w:rPr>
          <w:sz w:val="20"/>
          <w:szCs w:val="20"/>
          <w:color w:val="auto"/>
        </w:rPr>
      </w:pPr>
      <w:r>
        <w:rPr>
          <w:rFonts w:ascii="Arial" w:cs="Arial" w:eastAsia="Arial" w:hAnsi="Arial"/>
          <w:sz w:val="16"/>
          <w:szCs w:val="16"/>
          <w:color w:val="auto"/>
        </w:rPr>
        <w:t>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26"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43"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spacing w:after="0" w:line="151"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33" w:lineRule="exact"/>
        <w:rPr>
          <w:sz w:val="20"/>
          <w:szCs w:val="20"/>
          <w:color w:val="auto"/>
        </w:rPr>
      </w:pPr>
    </w:p>
    <w:p>
      <w:pPr>
        <w:ind w:right="100" w:firstLine="492"/>
        <w:spacing w:after="0" w:line="270"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For example, we continue to recruit for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40" w:lineRule="exact"/>
        <w:rPr>
          <w:sz w:val="20"/>
          <w:szCs w:val="20"/>
          <w:color w:val="auto"/>
        </w:rPr>
      </w:pP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70"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08" w:lineRule="exact"/>
        <w:rPr>
          <w:sz w:val="20"/>
          <w:szCs w:val="20"/>
          <w:color w:val="auto"/>
        </w:rPr>
      </w:pPr>
    </w:p>
    <w:p>
      <w:pPr>
        <w:ind w:right="88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19" w:lineRule="exact"/>
        <w:rPr>
          <w:sz w:val="20"/>
          <w:szCs w:val="20"/>
          <w:color w:val="auto"/>
        </w:rPr>
      </w:pPr>
    </w:p>
    <w:p>
      <w:pPr>
        <w:ind w:right="32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3" w:lineRule="exact"/>
        <w:rPr>
          <w:sz w:val="20"/>
          <w:szCs w:val="20"/>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0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20" w:hanging="320"/>
        <w:spacing w:after="0" w:line="25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00" w:hanging="320"/>
        <w:spacing w:after="0" w:line="260" w:lineRule="auto"/>
        <w:tabs>
          <w:tab w:leader="none" w:pos="8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51" w:lineRule="exact"/>
        <w:rPr>
          <w:sz w:val="20"/>
          <w:szCs w:val="20"/>
          <w:color w:val="auto"/>
        </w:rPr>
      </w:pPr>
    </w:p>
    <w:p>
      <w:pPr>
        <w:ind w:right="4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9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4"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transactional data in our financial records, it could impact our discount and rebate liability, and potentially subject us to regulatory sanctions or False Claims Act lawsuits.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0"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lifileucel to at least 75 patients of the appropriate population to address the expected sample size in anticipation of a BLA submission in 2021. Additionally, the patient population is defined per the discussion with FDA as patients who have progressed following initial systemic therapy for recurrent or metastatic disease which include many of the more advanced patients enrolled to date. Our current beliefs regarding the registration pathway for the lifileucel product candidate in metastatic cervical cancer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changes in the competitive environment,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33" w:lineRule="exact"/>
        <w:rPr>
          <w:sz w:val="20"/>
          <w:szCs w:val="20"/>
          <w:color w:val="auto"/>
        </w:rPr>
      </w:pPr>
    </w:p>
    <w:p>
      <w:pPr>
        <w:ind w:right="60" w:firstLine="492"/>
        <w:spacing w:after="0" w:line="286" w:lineRule="auto"/>
        <w:rPr>
          <w:sz w:val="20"/>
          <w:szCs w:val="20"/>
          <w:color w:val="auto"/>
        </w:rPr>
      </w:pPr>
      <w:r>
        <w:rPr>
          <w:rFonts w:ascii="Arial" w:cs="Arial" w:eastAsia="Arial" w:hAnsi="Arial"/>
          <w:sz w:val="16"/>
          <w:szCs w:val="16"/>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For example, on October 5, 2020, we announced that we and the FDA have not been able to agree on the required potency assays to fully define our TIL therapy, which is required as part of a BLA submission, and that as a result of these developments, our BLA submission was not expected by the end of 2020 and was anticipated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have continued ongoing work developing and validating our potency assays and have engaged in discussions with the FDA during the second half of 2021. Our BLA submission for lifileucel is now expected to occur during the first half of 2022. Accordingly, the regulatory approval pathway for our product candidates may be uncertain, complex, expensive and lengthy, and approval may not be obtained.</w:t>
      </w:r>
    </w:p>
    <w:p>
      <w:pPr>
        <w:spacing w:after="0" w:line="144"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30" w:lineRule="exact"/>
        <w:rPr>
          <w:sz w:val="20"/>
          <w:szCs w:val="20"/>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40" w:hanging="320"/>
        <w:spacing w:after="0" w:line="25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00" w:hanging="320"/>
        <w:spacing w:after="0" w:line="260"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subject-by-subject basis for use in clinical trials; or</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20" w:hanging="320"/>
        <w:spacing w:after="0" w:line="277" w:lineRule="auto"/>
        <w:tabs>
          <w:tab w:leader="none" w:pos="8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30"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52" w:lineRule="exact"/>
        <w:rPr>
          <w:sz w:val="20"/>
          <w:szCs w:val="20"/>
          <w:color w:val="auto"/>
        </w:rPr>
      </w:pPr>
    </w:p>
    <w:p>
      <w:pPr>
        <w:ind w:right="28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06"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In order to market and sell our products outside the U.S.,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w:t>
      </w:r>
    </w:p>
    <w:p>
      <w:pPr>
        <w:spacing w:after="0" w:line="146" w:lineRule="exact"/>
        <w:rPr>
          <w:sz w:val="20"/>
          <w:szCs w:val="20"/>
          <w:color w:val="auto"/>
        </w:rPr>
      </w:pPr>
    </w:p>
    <w:p>
      <w:pPr>
        <w:ind w:right="80" w:firstLine="492"/>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1"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right="260" w:firstLine="492"/>
        <w:spacing w:after="0" w:line="342"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54"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8" w:lineRule="exact"/>
        <w:rPr>
          <w:sz w:val="20"/>
          <w:szCs w:val="20"/>
          <w:color w:val="auto"/>
        </w:rPr>
      </w:pPr>
    </w:p>
    <w:p>
      <w:pPr>
        <w:ind w:left="820" w:right="280" w:hanging="320"/>
        <w:spacing w:after="0" w:line="258"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6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20" w:hanging="320"/>
        <w:spacing w:after="0" w:line="250"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right="340" w:firstLine="492"/>
        <w:spacing w:after="0" w:line="273"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1" w:lineRule="exact"/>
        <w:rPr>
          <w:sz w:val="20"/>
          <w:szCs w:val="20"/>
          <w:color w:val="auto"/>
        </w:rPr>
      </w:pPr>
    </w:p>
    <w:p>
      <w:pPr>
        <w:jc w:val="both"/>
        <w:ind w:right="52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43"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1" w:lineRule="exact"/>
        <w:rPr>
          <w:sz w:val="20"/>
          <w:szCs w:val="20"/>
          <w:color w:val="auto"/>
        </w:rPr>
      </w:pPr>
    </w:p>
    <w:p>
      <w:pPr>
        <w:ind w:right="160" w:firstLine="492"/>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51"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41"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24"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37"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w:t>
      </w:r>
    </w:p>
    <w:p>
      <w:pPr>
        <w:sectPr>
          <w:pgSz w:w="11900" w:h="16838" w:orient="portrait"/>
          <w:cols w:equalWidth="0" w:num="1">
            <w:col w:w="9900"/>
          </w:cols>
          <w:pgMar w:left="980" w:top="665"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83" w:lineRule="exact"/>
        <w:rPr>
          <w:sz w:val="20"/>
          <w:szCs w:val="20"/>
          <w:color w:val="auto"/>
        </w:rPr>
      </w:pPr>
    </w:p>
    <w:p>
      <w:pPr>
        <w:ind w:right="16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4"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0"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17"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57"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40" w:lineRule="exact"/>
        <w:rPr>
          <w:sz w:val="20"/>
          <w:szCs w:val="20"/>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0"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65"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31"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92"/>
        <w:spacing w:after="0" w:line="268"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6"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3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8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Since enactment of the Patient Protection and Affordable Care Act, as amended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w:t>
      </w:r>
    </w:p>
    <w:p>
      <w:pPr>
        <w:spacing w:after="0" w:line="14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spacing w:after="0" w:line="125"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product access and marketing cost disclosure and transparency measures, and, in some cases, designed to encourage importation from other countries and bulk purchasing.</w:t>
      </w:r>
    </w:p>
    <w:p>
      <w:pPr>
        <w:spacing w:after="0" w:line="130"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Governments outside the U.S. tend to impose strict price controls, which may adversely affect our revenues, if any.</w:t>
      </w:r>
    </w:p>
    <w:p>
      <w:pPr>
        <w:spacing w:after="0" w:line="196"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26"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84"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5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5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5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4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4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40" w:hanging="319"/>
        <w:spacing w:after="0" w:line="250"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Annual Report on Form 10-K</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3" w:lineRule="exact"/>
        <w:rPr>
          <w:sz w:val="20"/>
          <w:szCs w:val="20"/>
          <w:color w:val="auto"/>
        </w:rPr>
      </w:pPr>
    </w:p>
    <w:p>
      <w:pPr>
        <w:ind w:right="80" w:firstLine="492"/>
        <w:spacing w:after="0" w:line="272" w:lineRule="auto"/>
        <w:rPr>
          <w:sz w:val="20"/>
          <w:szCs w:val="20"/>
          <w:color w:val="auto"/>
        </w:rPr>
      </w:pPr>
      <w:r>
        <w:rPr>
          <w:rFonts w:ascii="Arial" w:cs="Arial" w:eastAsia="Arial" w:hAnsi="Arial"/>
          <w:sz w:val="17"/>
          <w:szCs w:val="17"/>
          <w:color w:val="auto"/>
        </w:rPr>
        <w:t>As of December 31, 2021, we had 157,004,742 shares of common stock outstanding. In addition, we had 16,655,260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on that date.</w:t>
      </w:r>
    </w:p>
    <w:p>
      <w:pPr>
        <w:spacing w:after="0" w:line="150"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88"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08" w:lineRule="exact"/>
        <w:rPr>
          <w:sz w:val="20"/>
          <w:szCs w:val="20"/>
          <w:color w:val="auto"/>
        </w:rPr>
      </w:pPr>
    </w:p>
    <w:p>
      <w:pPr>
        <w:ind w:right="180" w:firstLine="492"/>
        <w:spacing w:after="0" w:line="296" w:lineRule="auto"/>
        <w:rPr>
          <w:sz w:val="20"/>
          <w:szCs w:val="20"/>
          <w:color w:val="auto"/>
        </w:rPr>
      </w:pPr>
      <w:r>
        <w:rPr>
          <w:rFonts w:ascii="Arial" w:cs="Arial" w:eastAsia="Arial" w:hAnsi="Arial"/>
          <w:sz w:val="16"/>
          <w:szCs w:val="16"/>
          <w:color w:val="auto"/>
        </w:rPr>
        <w:t>For example, on December 11, 2020, a purported stockholder derivative complaint was filed by plaintiff Leo Shumacher against us, as nominal defendant, and our current directors, as defendants, in the Court of Chancery in the State of Delaware. The complaint alleges breach of fiduciary duty and a claim for unjust enrichment in connection with alleged excessive compensation of certain of our non-executive directors and seeks unspecified damages on behalf of our company. While we intend to vigorously defend against the foregoing complaint, it is not possible to estimate the amount or range of possible loss that might result from these matters.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51"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43"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2"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04"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52" w:lineRule="exact"/>
        <w:rPr>
          <w:sz w:val="20"/>
          <w:szCs w:val="20"/>
          <w:color w:val="auto"/>
        </w:rPr>
      </w:pPr>
    </w:p>
    <w:p>
      <w:pPr>
        <w:jc w:val="both"/>
        <w:ind w:right="8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30"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right="20"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2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New Headquarters Lease</w:t>
      </w:r>
    </w:p>
    <w:p>
      <w:pPr>
        <w:spacing w:after="0" w:line="225" w:lineRule="exact"/>
        <w:rPr>
          <w:sz w:val="20"/>
          <w:szCs w:val="20"/>
          <w:color w:val="auto"/>
        </w:rPr>
      </w:pPr>
    </w:p>
    <w:p>
      <w:pPr>
        <w:ind w:right="60" w:firstLine="492"/>
        <w:spacing w:after="0" w:line="284" w:lineRule="auto"/>
        <w:rPr>
          <w:sz w:val="20"/>
          <w:szCs w:val="20"/>
          <w:color w:val="auto"/>
        </w:rPr>
      </w:pPr>
      <w:r>
        <w:rPr>
          <w:rFonts w:ascii="Arial" w:cs="Arial" w:eastAsia="Arial" w:hAnsi="Arial"/>
          <w:sz w:val="16"/>
          <w:szCs w:val="16"/>
          <w:color w:val="auto"/>
        </w:rPr>
        <w:t>On February 8, 2021, we entered into a lease agreement with ARE-San Francisco No. 63, LLC, or the New Headquarters Lease, for laboratories and offices to be constructed in Suite 400 of an existing building located at 825 Industrial Road, San Carlos, California, or the Building, commonly known as The District. Under the New Headquarters Lease, we will lease approximately 49,918 rentable square feet of space in the Building, or the Headquarters Premises. The New Headquarters Lease is for a term of 120 months, commencing upon the first day of the first full month, or the Rent Commencement Date after the earlier to occur of (i) the date that is 12 months and one day after the execution date of the New Headquarters Lease, or the Commencement Date, which is February 9, 2022, or</w:t>
      </w:r>
    </w:p>
    <w:p>
      <w:pPr>
        <w:spacing w:after="0" w:line="4" w:lineRule="exact"/>
        <w:rPr>
          <w:sz w:val="20"/>
          <w:szCs w:val="20"/>
          <w:color w:val="auto"/>
        </w:rPr>
      </w:pPr>
    </w:p>
    <w:p>
      <w:pPr>
        <w:ind w:right="180" w:firstLine="8"/>
        <w:spacing w:after="0" w:line="281"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date that the Tenant Improvements are substantially completed, which was completed in January 2022; provided, however, that the Rent Commencement Date shall be delayed one day for each day after the Commencement Date that (a) to the extent that, after the Commencement Date, any governmental authority having jurisdiction, as a result of the COVID-19 outbreak in the United States, declares or implements any order or mandate that restricts construction activities in San Mateo County, California (any such order or mandate, a Government Mandate), to the extent that such Government Mandate precludes the construction of tenant improvements, or</w:t>
      </w:r>
    </w:p>
    <w:p>
      <w:pPr>
        <w:spacing w:after="0" w:line="2" w:lineRule="exact"/>
        <w:rPr>
          <w:rFonts w:ascii="Arial" w:cs="Arial" w:eastAsia="Arial" w:hAnsi="Arial"/>
          <w:sz w:val="16"/>
          <w:szCs w:val="16"/>
          <w:color w:val="auto"/>
        </w:rPr>
      </w:pPr>
    </w:p>
    <w:p>
      <w:pPr>
        <w:ind w:right="200" w:firstLine="8"/>
        <w:spacing w:after="0" w:line="260"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landlord delay occurs. The New Headquarters Lease includes an option to extend the term of the lease for 60 months, exercisable under certain conditions and at a market rate as described in the New Headquarters Lease.</w:t>
      </w:r>
    </w:p>
    <w:p>
      <w:pPr>
        <w:spacing w:after="0" w:line="185"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Commencing 210 days after the Rent Commencement Date as the result of a rent abatement, our monthly base rent under the New Headquarters Lease will be approximately $0.3 million, subject to an annual increase of 3%. Beginning in 2022, we will also be responsible for paying operating expenses.</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492"/>
        <w:spacing w:after="0" w:line="259" w:lineRule="auto"/>
        <w:rPr>
          <w:sz w:val="20"/>
          <w:szCs w:val="20"/>
          <w:color w:val="auto"/>
        </w:rPr>
      </w:pPr>
      <w:r>
        <w:rPr>
          <w:rFonts w:ascii="Arial" w:cs="Arial" w:eastAsia="Arial" w:hAnsi="Arial"/>
          <w:sz w:val="18"/>
          <w:szCs w:val="18"/>
          <w:color w:val="auto"/>
        </w:rPr>
        <w:t>The 120-month term of the New Headquarters Lease commenced in January 2022. Minimum rental payments under the New Headquarters Lease total $36.5 million for the entire term of the lease, which does not include rental payments related to our one-time option to extend for an additional five years. In addition, the lessor has provided for a tenant improvement allowance of up to $8.2 million, which is expected to be fully utilized.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Former Headquarters Lease</w:t>
      </w:r>
    </w:p>
    <w:p>
      <w:pPr>
        <w:spacing w:after="0" w:line="225"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Since August 2016, we have leased 8,733 square feet of space for its corporate headquarters, or the Suite 150 Lease, in San Carlos, California. The term of the Suite 150 Lease was 54 months beginning on the commencement date. Monthly lease payments were approximately $38,000.</w:t>
      </w:r>
    </w:p>
    <w:p>
      <w:pPr>
        <w:spacing w:after="0" w:line="184"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On October 19, 2018, we entered into an agreement, or the Lease, to lease 12,322 square feet of office space located adjacent to our corporate headquarters in San Carlos, California. Monthly lease payments were approximately $59,000, subject to an annual increase of 3%.</w:t>
      </w:r>
    </w:p>
    <w:p>
      <w:pPr>
        <w:spacing w:after="0" w:line="184"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On June 19, 2019, we entered into a first amendment, or the Amended Lease, to the Lease, for additional space at our corporate headquarters in San Carlos, California. Under the Amended Lease, we leased an additional 8,110 square feet, or the Expansion Space, for a total of approximately 20,432 square feet of space. Monthly lease payments were approximately $39,000 for the first year, and $40,000 for the second year.</w:t>
      </w:r>
    </w:p>
    <w:p>
      <w:pPr>
        <w:spacing w:after="0" w:line="187" w:lineRule="exact"/>
        <w:rPr>
          <w:sz w:val="20"/>
          <w:szCs w:val="20"/>
          <w:color w:val="auto"/>
        </w:rPr>
      </w:pPr>
    </w:p>
    <w:p>
      <w:pPr>
        <w:ind w:right="40" w:firstLine="492"/>
        <w:spacing w:after="0" w:line="272" w:lineRule="auto"/>
        <w:rPr>
          <w:sz w:val="20"/>
          <w:szCs w:val="20"/>
          <w:color w:val="auto"/>
        </w:rPr>
      </w:pPr>
      <w:r>
        <w:rPr>
          <w:rFonts w:ascii="Arial" w:cs="Arial" w:eastAsia="Arial" w:hAnsi="Arial"/>
          <w:sz w:val="17"/>
          <w:szCs w:val="17"/>
          <w:color w:val="auto"/>
        </w:rPr>
        <w:t>On February 8, 2021, we entered into two amendments, the Suite 100 and 125 Second Amendment and the Suite 150 First Amendment, to the Amended Lease and the Suite 150 Lease, respectively. Under the Suite 100 and Suite 125 Second Amendment, we extended the Amended Lease to December 31, 2021. Our monthly base rent under the Suite 100 and Suite 125 Second Amendment will be approximately $103,000. We are also responsible for paying its portion of operating expenses and real estate taxes. We have an option to extend the expiration of the Suite 100 and Suite 125 Second Amendment for one month or nine months, at its discretion, by providing notice as specified in the Suite 100 and Suite 125 Second Amendment. On September 1, 2021, we entered into an agreement to extend the lease term to January 31, 2022 for approximately $0.1 million a month.</w:t>
      </w:r>
    </w:p>
    <w:p>
      <w:pPr>
        <w:spacing w:after="0" w:line="177"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Under the Suite 150 First Amendment, we extended the Suite 150 Lease, which also expired on April 30, 2021, to December 31, 2021. Our monthly base rent under the Suite 150 First Amendment is approximately $44,000. We are also responsible for paying our portion of operating expenses and real estate taxes. We have an option to extend the expiration of the Suite 150 First Amendment for one month or nine months, at our discretion, by providing notice as specified in the Suite 150 First Amendment. On September 1, 2021, we entered into an agreement to extend the lease term to January 31, 2022 for approximately $46,000 a month. As of January 31, 2022, these leases had expired and we had taken possession of Headquarters Premises under the New Headquarters Lease referred to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225"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 xml:space="preserve">On May 28, 2019, we entered into a lease agreement with 300 Rouse Boulevard, LLC, or the Commercial Manufacturing Facility Lease, for a build-to-suit commercial manufacturing facility, laboratories, and offices located in Philadelphia, Pennsylvania. Under the Commercial Manufacturing Facility Lease, we lease approximately 136,000 rentable square feet of space in a building located at 300 Rouse Boulevard, Philadelphia, Pennsylvania known as the Iovance Cell Therapy Center, or </w:t>
      </w:r>
      <w:r>
        <w:rPr>
          <w:rFonts w:ascii="Arial" w:cs="Arial" w:eastAsia="Arial" w:hAnsi="Arial"/>
          <w:sz w:val="17"/>
          <w:szCs w:val="17"/>
          <w:i w:val="1"/>
          <w:iCs w:val="1"/>
          <w:color w:val="auto"/>
        </w:rPr>
        <w:t>i</w:t>
      </w:r>
      <w:r>
        <w:rPr>
          <w:rFonts w:ascii="Arial" w:cs="Arial" w:eastAsia="Arial" w:hAnsi="Arial"/>
          <w:sz w:val="17"/>
          <w:szCs w:val="17"/>
          <w:color w:val="auto"/>
        </w:rPr>
        <w:t xml:space="preserve">CTC. The construction of the </w:t>
      </w:r>
      <w:r>
        <w:rPr>
          <w:rFonts w:ascii="Arial" w:cs="Arial" w:eastAsia="Arial" w:hAnsi="Arial"/>
          <w:sz w:val="17"/>
          <w:szCs w:val="17"/>
          <w:i w:val="1"/>
          <w:iCs w:val="1"/>
          <w:color w:val="auto"/>
        </w:rPr>
        <w:t>i</w:t>
      </w:r>
      <w:r>
        <w:rPr>
          <w:rFonts w:ascii="Arial" w:cs="Arial" w:eastAsia="Arial" w:hAnsi="Arial"/>
          <w:sz w:val="17"/>
          <w:szCs w:val="17"/>
          <w:color w:val="auto"/>
        </w:rPr>
        <w:t>CTC began in July 2019 and in the third quarter of 2021 we completed the commissioning activities as well as certain tenant improvements, therefore approximately $62.4 million of assets were placed in service. The Commercial Manufacturing Facility Lease includes an option to extend the term of the lease by giving the landlord prior written notice thereof at least 18 months in advance of expiration date, exercisable under certain conditions as described in the Commercial Manufacturing Facility Lease, such that the overall term, when added to the initial term, shall be 359 months.</w:t>
      </w:r>
    </w:p>
    <w:p>
      <w:pPr>
        <w:spacing w:after="0" w:line="181"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Our monthly base rent under the Commercial Manufacturing Facility Lease is approximately $0.3 million, subject to an annual increase of 2% for the first ten years, and an annual increase of the greater of 2% or 75% of the average ten-year consumer price index. We will also be responsible for paying operating expenses.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ind w:right="160" w:firstLine="492"/>
        <w:spacing w:after="0" w:line="273" w:lineRule="auto"/>
        <w:rPr>
          <w:sz w:val="20"/>
          <w:szCs w:val="20"/>
          <w:color w:val="auto"/>
        </w:rPr>
      </w:pPr>
      <w:r>
        <w:rPr>
          <w:rFonts w:ascii="Arial" w:cs="Arial" w:eastAsia="Arial" w:hAnsi="Arial"/>
          <w:sz w:val="17"/>
          <w:szCs w:val="17"/>
          <w:color w:val="auto"/>
        </w:rPr>
        <w:t>Our research and development facilities consist of 8,673 square feet in a facility located at the University of South Florida Research Park in Tampa, Florida. These facilities are leased under an agreement with a lease term through December 2024 for approximately $20,500 a month. In June 2020, we amended the lease agreement to further increase the rentable space to 13,139 square feet and extend the lease term to June 5, 2025 for approximately $34,500 a month. On December 22, 2021, we entered into a second amendment to lease an additional 2,731 square feet of space through June 5, 2025, co-terminus with the existing leased space. Monthly lease payments will be approximately $42,500 per month.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225"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On May 2, 2019, we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 On September 1, 2021, we entered into an agreement to extend the lease term for an additional three years to July 31, 2025 for approximately $11,900 a month, effective as of June 1, 2022, subject to annual increases of 2.5%.</w:t>
      </w:r>
    </w:p>
    <w:p>
      <w:pPr>
        <w:spacing w:after="0" w:line="161" w:lineRule="exact"/>
        <w:rPr>
          <w:sz w:val="20"/>
          <w:szCs w:val="20"/>
          <w:color w:val="auto"/>
        </w:rPr>
      </w:pPr>
    </w:p>
    <w:p>
      <w:pPr>
        <w:jc w:val="both"/>
        <w:ind w:right="20" w:firstLine="492"/>
        <w:spacing w:after="0" w:line="263" w:lineRule="auto"/>
        <w:rPr>
          <w:sz w:val="20"/>
          <w:szCs w:val="20"/>
          <w:color w:val="auto"/>
        </w:rPr>
      </w:pPr>
      <w:r>
        <w:rPr>
          <w:rFonts w:ascii="Arial" w:cs="Arial" w:eastAsia="Arial" w:hAnsi="Arial"/>
          <w:sz w:val="18"/>
          <w:szCs w:val="18"/>
          <w:color w:val="auto"/>
        </w:rPr>
        <w:t>On August 1, 2020, we entered into an agreement to lease approximately 2,965 square feet of a training facility space in Plymouth Meeting, Pennsylvania for a twelve-month term at a rate of approximately $6,500 per month. This lease was terminated in August 2021, which did not have an effect on any of our employees, who continue to be employed by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leased office space in New York, New York beginning in January 2017, such office space having a monthly rental of approximately $4,000 during 2019 and 2020. On January 31, 2021, the lease terminated, and we closed our New York office, which did not have an effect on any of our employees, who continue to be employed by us.</w:t>
      </w:r>
    </w:p>
    <w:p>
      <w:pPr>
        <w:spacing w:after="0" w:line="143"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We believe that our existing facilities are adequate to meet our current needs, and that suitable additional alternative spaces will be available in the future on commercially reasonable terms.</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The information in Note 11 to the Consolidated Financial Statements contained in Part III, Item 15 of this Annual Report on Form 10-K is incorporated herein by reference. There are no matters which constitute material pending legal proceedings to which we are a party other than those incorporated into this item by reference from Note 11 to our Consolidated Financial Statements for the year ended December 31, 2021 contained in this Annual Report on Form 10-K.</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200"/>
        <w:spacing w:after="0" w:line="503" w:lineRule="auto"/>
        <w:rPr>
          <w:sz w:val="20"/>
          <w:szCs w:val="20"/>
          <w:color w:val="auto"/>
        </w:rPr>
      </w:pPr>
      <w:r>
        <w:rPr>
          <w:rFonts w:ascii="Arial" w:cs="Arial" w:eastAsia="Arial" w:hAnsi="Arial"/>
          <w:sz w:val="18"/>
          <w:szCs w:val="18"/>
          <w:b w:val="1"/>
          <w:bCs w:val="1"/>
          <w:color w:val="auto"/>
        </w:rPr>
        <w:t>Item 5. Market for Common Equity, Related Stockholder Matters and Issuer Purchases of Equity Securities Market Information</w:t>
      </w:r>
    </w:p>
    <w:p>
      <w:pPr>
        <w:ind w:left="500"/>
        <w:spacing w:after="0"/>
        <w:rPr>
          <w:sz w:val="20"/>
          <w:szCs w:val="20"/>
          <w:color w:val="auto"/>
        </w:rPr>
      </w:pPr>
      <w:r>
        <w:rPr>
          <w:rFonts w:ascii="Arial" w:cs="Arial" w:eastAsia="Arial" w:hAnsi="Arial"/>
          <w:sz w:val="18"/>
          <w:szCs w:val="18"/>
          <w:color w:val="auto"/>
        </w:rPr>
        <w:t>Our common stock is traded on the Nasdaq Global Market under the symbol “IOVA”.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there were approximately 14 holders of record of our common stock.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492"/>
        <w:spacing w:after="0" w:line="279" w:lineRule="auto"/>
        <w:rPr>
          <w:sz w:val="20"/>
          <w:szCs w:val="20"/>
          <w:color w:val="auto"/>
        </w:rPr>
      </w:pPr>
      <w:r>
        <w:rPr>
          <w:rFonts w:ascii="Arial" w:cs="Arial" w:eastAsia="Arial" w:hAnsi="Arial"/>
          <w:sz w:val="17"/>
          <w:szCs w:val="17"/>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considering various factors, including our financial condition, operating results, current and anticipated cash needs.</w:t>
      </w:r>
    </w:p>
    <w:p>
      <w:pPr>
        <w:spacing w:after="0" w:line="171"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Under the terms of our Series A Convertible Preferred Stock, we may not declare, pay or set aside any dividends on shares of any class or series of capital stock (other than dividends on shares of common stock payable in shares of common stock) unless the holders of our Series A Convertible Preferred Stock first receive, or simultaneously receive, an equal dividend on each outstanding share of Series A Convertible Preferred Stock.</w:t>
      </w:r>
    </w:p>
    <w:p>
      <w:pPr>
        <w:spacing w:after="0" w:line="187" w:lineRule="exact"/>
        <w:rPr>
          <w:sz w:val="20"/>
          <w:szCs w:val="20"/>
          <w:color w:val="auto"/>
        </w:rPr>
      </w:pPr>
    </w:p>
    <w:p>
      <w:pPr>
        <w:ind w:right="100" w:firstLine="492"/>
        <w:spacing w:after="0" w:line="272" w:lineRule="auto"/>
        <w:rPr>
          <w:sz w:val="20"/>
          <w:szCs w:val="20"/>
          <w:color w:val="auto"/>
        </w:rPr>
      </w:pPr>
      <w:r>
        <w:rPr>
          <w:rFonts w:ascii="Arial" w:cs="Arial" w:eastAsia="Arial" w:hAnsi="Arial"/>
          <w:sz w:val="17"/>
          <w:szCs w:val="17"/>
          <w:color w:val="auto"/>
        </w:rPr>
        <w:t>Under the terms of our Series B Convertible Preferred Stock, holders shall be entitled to receive dividends on shares equal (on an as-if-converted-to-Common-Stock basis) to and in the same form as dividends (other than dividends in the form of common stock) actually paid on shares of our Series A Convertible Preferred Stock, common stock or other junior securities when, as and if such dividends (other than dividends in the form of common stock) are paid on shares of our Series A Convertible Preferred Stock, common stock or other junior securities. No other dividends shall be paid on shares of Series B Convertible Preferred Stock, and we may not pay dividends (other than dividends in the form of common stock) on shares of our Series A Convertible Preferred Stock, common stock or other junior securities unless it simultaneously complies with the previous sentence.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share repurchases during the year ended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60" w:firstLine="492"/>
        <w:spacing w:after="0" w:line="308" w:lineRule="auto"/>
        <w:rPr>
          <w:sz w:val="20"/>
          <w:szCs w:val="20"/>
          <w:color w:val="auto"/>
        </w:rPr>
      </w:pPr>
      <w:r>
        <w:rPr>
          <w:rFonts w:ascii="Arial" w:cs="Arial" w:eastAsia="Arial" w:hAnsi="Arial"/>
          <w:sz w:val="17"/>
          <w:szCs w:val="17"/>
          <w:color w:val="auto"/>
        </w:rPr>
        <w:t>The following graph illustrates a comparison of the total cumulative stockholder return on our common stock since December 31, 2016 to two indices: the Russell 3000 and the NASDAQ Biotechnology Index. The stockholder return shown in the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116840</wp:posOffset>
            </wp:positionV>
            <wp:extent cx="5126355" cy="2743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2635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Information regarding our equity compensation plans is incorporated by reference from the information in our Proxy Statement for our 2021 Annual Meeting of Stockholders, which we will file with the SEC within 120 days after the end of the fiscal year to which this Annual Report on Form 10-K relates.</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92"/>
        <w:spacing w:after="0" w:line="296" w:lineRule="auto"/>
        <w:rPr>
          <w:sz w:val="20"/>
          <w:szCs w:val="20"/>
          <w:color w:val="auto"/>
        </w:rPr>
      </w:pPr>
      <w:r>
        <w:rPr>
          <w:rFonts w:ascii="Arial" w:cs="Arial" w:eastAsia="Arial" w:hAnsi="Arial"/>
          <w:sz w:val="16"/>
          <w:szCs w:val="16"/>
          <w:color w:val="auto"/>
        </w:rPr>
        <w:t>We are a clinical-stage biopharmaceutical company pioneering a transformational approach to cure cancer by harnessing the human immune system’s ability to recognize and destroy diverse cancer cells in each patient. TIL therapy is an autologous, polyclonal cell therapy platform technology that was originally developed by the National Cancer Institute, or NCI, which conducted initial clinical trials of this therapy in diseases such as metastatic melanoma and cervical cancer. Our mission is to be the global leader in innovating, developing and delivering TIL therapies for patients with cancer. We have developed a new, shorter TIL manufacturing</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process known as Gen 2, which yields a cryopreserved TIL product. This centralized, proprietary, and scalable manufacturing method is being investigated in multiple indications. Our lead product candidates include lifileucel for metastatic melanoma and metastatic cervical cancer, as well as LN-145 for metastatic non-small cell lung cancer, or NSCLC. In addition, we are investigating the effectiveness and safety of combinations of TIL therapy with immune checkpoint inhibitors, or ICIs, in metastatic melanoma, cervical cancer, NSCLC, and head and neck squamous cell carcinoma, or HNSCC. We are investigating peripheral blood lymphocyte, or PBL, therapy for patients with relapsed or refractory chronic lymphocytic leukemia, or CLL, and small lymphocytic lymphoma, or SLL, through our sponsored trials. We are developing first-in-class genetically edited TIL products based on the inactivation of genes that encode immune checkpoint proteins and other proteins, as well as the insertion of genes that encode immunomodulatory proteins. We are also developing an alternative interleukin-2, or IL-2, co-therapy for use with TIL therapies. Finally, we are investigating the potential for TIL therapy in other oncology indications and treatment settings through academic collaborations with leading cancer research centers.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product candidate pipeline is summarized in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Monotherapy in Metastatic Solid Tumor Cancers</w:t>
      </w:r>
    </w:p>
    <w:p>
      <w:pPr>
        <w:spacing w:after="0" w:line="225"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 xml:space="preserve">We have investigated TIL monotherapy in metastatic melanoma, cervical cancer, NSCLC and HNSCC. We are conducting a Phase 2 clinical trial, C-144-01, of our lead TIL product candidate, lifileucel, for the treatment of metastatic melanoma. This multicenter pivotal trial enrolled melanoma patients with disease progression following treatment with at least one systemic therapy, including a PD-1 inhibitor and, if BRAF mutated, a BRAF inhibitor, or a combination of BRAF and MEK inhibitors. Cohort 4 of the C-144-01 clinical trial is a single-arm cohort intended to support the submission of a Biologics License Application, or BLA, to the Food and Drug Administration, or the FDA, for lifileucel. Cohorts 2 and 4 of the C-144-01 trial use our Gen 2 manufacturing process. We completed and closed enrollment of patients into Cohort 2 of the C-144-01 trial in 2018. Results from Cohort 2 of the C-144-01 clinical trial were initially reported at the American Society of Clinical Oncology annual meeting, or ASCO, in June 2019 and subsequently updated at ASCO in June 2021. In addition, detailed Cohort 2 data was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May 2021.</w:t>
      </w:r>
    </w:p>
    <w:p>
      <w:pPr>
        <w:spacing w:after="0" w:line="166"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Pivotal Cohort 4 of the C-144-01 trial was enrolled to evaluate ORR as read out by an Independent Review Committee, or IRC, as the primary endpoint based on our interpretation of discussions with the FDA as part of an End of Phase 2, or EOP2, meeting held with the FDA in the third quarter of 2018. In October 2018, based on the data provided to the FDA during the EOP2 meeting, we announced that lifileucel had received a Regenerative Medicines Advanced Therapy, or RMAT, designation from the FDA. Enrollment in Cohort 4 of the C-144-01 trial commenced in March 2019 and patient dosing was completed in January 2020.</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Previously,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FDA feedback, we have continued our ongoing work developing and validating our potency assays and have engaged in discussions with the FDA during the second half of 2021. Our BLA submission for lifileucel in metastatic melanoma is expected to occur during the first half of 2022. In connection with this BLA submission, the IRC is expected to independently assess responses for Cohort 4 patients through the data cut date, which must be completed prior to BLA submission or disclosure of IRC-read data.</w:t>
      </w:r>
    </w:p>
    <w:p>
      <w:pPr>
        <w:spacing w:after="0" w:line="19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6"/>
          <w:szCs w:val="16"/>
          <w:color w:val="auto"/>
        </w:rPr>
        <w:t>We are also conducting a Phase 2 clinical trial, C-145-04, which is a multicenter pivotal trial to assess the safety and efficacy of our lead product candidate lifileucel for the treatment of patients with recurrent, metastatic, or persistent cervical cancer. In February 2019, lifileucel received Fast Track designation from the FDA for development in the treatment of cervical cancer with disease progression on or after chemotherapy. In March 2019, the protocol for this trial was amended to modify the primary endpoint of ORR to be determined by IRC. In May 2019, lifileucel received Breakthrough Therapy Designation, or BTD, from the FDA for development in the treatment of cervical cancer. Results from the C-145-04 clinical trial were reported at ASCO in June 2019. In November 2019, we amended the C-145-04 trial to collect additional data on early-line patients as well as late-line patients by adding additional cohorts, in anticipation of a changing landscape in this indication, including Cohort 2 for patients that had previously received chemotherapy and anti-PD-1/anti-PD-L1 therapy. In January 2021, we announced that Cohort 2 of the C-145-04 trial had completed enrollment and that data from this cohort may be supportive of registration because of the expected changing landscape of care for cervical cancer patients. For example, because of recent regulatory approvals for pembrolizumab, there may be a potential shift from chemotherapy in front-line cervical cancer followed by pembrolizumab in second-line cervical cancer. We intend to execute our strategy based on dialog and feedback on these cohorts and continue to plan for a potential BLA submission for lifileucel in cervical cancer.</w:t>
      </w:r>
    </w:p>
    <w:p>
      <w:pPr>
        <w:spacing w:after="0" w:line="174"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In November 2020, we announced that we had finalized the protocol for our potential registrational clinical trial in NSCLC, IOV-LUN-202, to investigate LN-145 in patients with metastatic NSCLC, without driver mutations, who previously received a single line of approved systemic therapy of combined checkpoint inhibitor and chemotherapy. The IOV-LUN-202 clinical trial includes three cohorts. Cohorts 1 and 3 of the IOV-LUN-202 clinical trial are enrolling patients with a PD-L1 TPS of less than one percent at the time they started front-line therapy, and Cohort 2 will enroll patients with a PD-L1 TPS of greater than or equal to one percent at the time they started front-line therapy. Cohort 3 will also explore manufacturing TIL extracted from core biopsies using our third-generation, or Gen 3, manufacturing process. In June 2021, we reported that the first patient was dosed in the IOV-LUN-202 clinical trial. We intend to continue to enroll patients in the IOV-LUN-202 clinical trial throughout 2022. We are engaged in regulatory discussions with the FDA on IOV-LUN-202 and intend to incorporate FDA feedback to optimize this clinical trial to support further registration in NSCLC.</w:t>
      </w:r>
    </w:p>
    <w:p>
      <w:pPr>
        <w:spacing w:after="0" w:line="166" w:lineRule="exact"/>
        <w:rPr>
          <w:sz w:val="20"/>
          <w:szCs w:val="20"/>
          <w:color w:val="auto"/>
        </w:rPr>
      </w:pPr>
    </w:p>
    <w:p>
      <w:pPr>
        <w:ind w:right="60" w:firstLine="492"/>
        <w:spacing w:after="0" w:line="273" w:lineRule="auto"/>
        <w:rPr>
          <w:sz w:val="20"/>
          <w:szCs w:val="20"/>
          <w:color w:val="auto"/>
        </w:rPr>
      </w:pPr>
      <w:r>
        <w:rPr>
          <w:rFonts w:ascii="Arial" w:cs="Arial" w:eastAsia="Arial" w:hAnsi="Arial"/>
          <w:sz w:val="17"/>
          <w:szCs w:val="17"/>
          <w:color w:val="auto"/>
        </w:rPr>
        <w:t>In June 2021, we reported initial data for LN-145 in Cohort 3B of our IOV-COM-202 clinical trial in metastatic NSCLC. IOV-COM-202 is a Phase 2, multicenter trial for that is composed of seven cohorts. Cohort 3B of IOV-COM-202 enrolled patients with metastatic NSCLC that had progressed on prior ICI therapy, including patients with oncogene-driven tumors who received prior tyrosine kinase inhibitor therapy. Patients were treated with LN-145 monotherapy. All patients treated in Cohort 3B of the IOV-COM-202 trial received prior anti-PD-1/L1 therapy and all six responding patients also received prior chemotherapy. We also provided an update on Cohort 3B in November 2021, at the Society for Immunotherapy in Cancer Annual Meeting, or SITC.</w:t>
      </w:r>
    </w:p>
    <w:p>
      <w:pPr>
        <w:spacing w:after="0" w:line="178" w:lineRule="exact"/>
        <w:rPr>
          <w:sz w:val="20"/>
          <w:szCs w:val="20"/>
          <w:color w:val="auto"/>
        </w:rPr>
      </w:pPr>
    </w:p>
    <w:p>
      <w:pPr>
        <w:ind w:right="140" w:firstLine="492"/>
        <w:spacing w:after="0" w:line="255" w:lineRule="auto"/>
        <w:rPr>
          <w:sz w:val="20"/>
          <w:szCs w:val="20"/>
          <w:color w:val="auto"/>
        </w:rPr>
      </w:pPr>
      <w:r>
        <w:rPr>
          <w:rFonts w:ascii="Arial" w:cs="Arial" w:eastAsia="Arial" w:hAnsi="Arial"/>
          <w:sz w:val="18"/>
          <w:szCs w:val="18"/>
          <w:color w:val="auto"/>
        </w:rPr>
        <w:t>C-145-03 is our Phase 2, multicenter trial to assess the safety and efficacy of our product candidate LN-145 for the treatment of patients with metastatic HNSCC. We redesigned our C-145-03 trial to include multiple cohorts, in order to allow for dosing of TIL therapies produced by multiple manufacturing methods, including our Gen 2 manufacturing process, our Gen 3 manufacturing process, and our PD-1 selected TIL manufacturing process. Our PD-1 selected TIL manufacturing process results in a product that we refer to as LN-145-S1. In January 2021, we announced that we are closing the C-145-03 clinical trial after the trial reached its pre-specified enrollment target.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TIL Combinations in Earlier Treatment Settings for Solid Tumors</w:t>
      </w:r>
    </w:p>
    <w:p>
      <w:pPr>
        <w:spacing w:after="0" w:line="225" w:lineRule="exact"/>
        <w:rPr>
          <w:sz w:val="20"/>
          <w:szCs w:val="20"/>
          <w:color w:val="auto"/>
        </w:rPr>
      </w:pPr>
    </w:p>
    <w:p>
      <w:pPr>
        <w:ind w:right="260" w:firstLine="492"/>
        <w:spacing w:after="0" w:line="342" w:lineRule="auto"/>
        <w:rPr>
          <w:sz w:val="20"/>
          <w:szCs w:val="20"/>
          <w:color w:val="auto"/>
        </w:rPr>
      </w:pPr>
      <w:r>
        <w:rPr>
          <w:rFonts w:ascii="Arial" w:cs="Arial" w:eastAsia="Arial" w:hAnsi="Arial"/>
          <w:sz w:val="16"/>
          <w:szCs w:val="16"/>
          <w:color w:val="auto"/>
        </w:rPr>
        <w:t>We are also investigating the potential of our TIL therapies in earlier lines of treatment in combination with pembrolizumab or other ICIs in cancer patients who are naïve to anti-PD-1 therapy, including in four cohorts in our IOV-COM-202 study in solid tumors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well as in one cohort in our C-145-04 clinical study in cervical cancer. In addition to its ongoing enrollment in the U.S., the IOV-COM-202 trial has also received regulatory approval in Canada and in certain European countries.</w:t>
      </w:r>
    </w:p>
    <w:p>
      <w:pPr>
        <w:spacing w:after="0" w:line="170"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In Cohort 1A of the IOV-COM-202 trial, we are enrolling advanced unresectable or metastatic melanoma patients who are naïve to anti-PD-1 therapy. In Cohort 2A of the IOV-COM-202 trial, we are enrolling advanced, recurrent, or metastatic HNSCC patients who are naïve to prior immunotherapy including anti-PD-1/anti-PD-L1 therapy. The patients receive LN-145 in combination with pembrolizumab. In Cohort 3, which is our C-145-04 cervical cancer study, patients receive TIL plus pembrolizumab. We reported results from ongoing Cohort 1A of the IOV-COM-202 trial at ASCO in June 2021, as well as provided updated results in November 2021 at SITC. Our oral presentation at SITC in November 2021 also included initial results for TIL therapy plus pembrolizumab for patients enrolled in Cohort 3 of our C-145-04 cervical cancer study.</w:t>
      </w:r>
    </w:p>
    <w:p>
      <w:pPr>
        <w:spacing w:after="0" w:line="19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Cohort 1A and Cohort 2A results from the IOV-COM-202 study as well as Cohort 3 from the C-145-04 study demonstrated that lifileucel or LN-145 can be safely combined with pembrolizumab. The treatment emergent adverse event, or TEAE, profile in all Cohorts was consistent with the underlying advanced disease and the known adverse event profiles of pembrolizumab, lymphodepletion, and IL-2 regimens. Two additional cohorts, Cohort 3A and 3C in the IOV-COM-202 study, explore LN-145/ICI combination therapies in NSCLC patients. Cohort 3A is evaluating LN-145 in combination with pembrolizumab in patients with recurrent or metastatic NSCLC who have not received prior immunotherapy, including checkpoint inhibitors. Cohort 3C is investigating LN-145 therapy in combination with ipilimumab and nivolumab in patients with recurrent or metastatic NSCLC who have previously received one line of approved checkpoint inhibitor monotherapy as the only prior line of systemic therapy.</w:t>
      </w:r>
    </w:p>
    <w:p>
      <w:pPr>
        <w:spacing w:after="0" w:line="178"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 xml:space="preserve">In September 2021, we announced that our Iovance Cell Therapy Center, or the </w:t>
      </w:r>
      <w:r>
        <w:rPr>
          <w:rFonts w:ascii="Arial" w:cs="Arial" w:eastAsia="Arial" w:hAnsi="Arial"/>
          <w:sz w:val="18"/>
          <w:szCs w:val="18"/>
          <w:i w:val="1"/>
          <w:iCs w:val="1"/>
          <w:color w:val="auto"/>
        </w:rPr>
        <w:t>i</w:t>
      </w:r>
      <w:r>
        <w:rPr>
          <w:rFonts w:ascii="Arial" w:cs="Arial" w:eastAsia="Arial" w:hAnsi="Arial"/>
          <w:sz w:val="18"/>
          <w:szCs w:val="18"/>
          <w:color w:val="auto"/>
        </w:rPr>
        <w:t>CTC, had successfully manufactured and delivered its first clinical batch of LN-145 for the IOV-COM-202 trial, representing our first internally manufactured TIL product. We continue to supply the IOV-COM-202 trial, and other ongoing trials, with both internally manufactured and externally manufactured TIL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and Genetically Modified Product Candidates</w:t>
      </w:r>
    </w:p>
    <w:p>
      <w:pPr>
        <w:spacing w:after="0" w:line="225"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Our clinical pipeline also includes next generation TIL product candidates and manufacturing processes, as well as a cytokine-engrafted protein. Our TIL candidate LN-145-S1, in which TIL are selected for PD-1 expression, is being investigated in post-anti-PD-1 melanoma in Cohort 1B of our IOV-COM-202 basket study as well as in post-anti-PD-1 HNSCC in Cohort 4 of our C-145-03 trial.</w:t>
      </w:r>
    </w:p>
    <w:p>
      <w:pPr>
        <w:spacing w:after="0" w:line="149"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We are using our Gen 3 manufacturing process in Cohort 1C of the IOV-COM-202 clinical trial in melanoma and in Cohort 3 of the IOV-LUN-202 clinical trial in NSCLC and have previously used it in the C-145-03 clinical trial in HNSCC.</w:t>
      </w:r>
    </w:p>
    <w:p>
      <w:pPr>
        <w:spacing w:after="0" w:line="170"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November 2019, we announced that our Investigational New Drug, or IND, application for our PBL therapy, IOV-2001, was authorized by the FDA. Our sponsored clinical trial using this therapy, IOV-CLL-01, was cleared to proceed and patient dosing began in 2020. IOV-2001 is a non-genetically modified, polyclonal T cell product that is manufactured using a nine-day process starting from 50 mL of patient's blood. IOV-CLL-01 is a Phase 1/2 clinical trial evaluating the safety and efficacy of IOV-2001 in patients with relapsed or refractory CLL or SLL.</w:t>
      </w:r>
    </w:p>
    <w:p>
      <w:pPr>
        <w:spacing w:after="0" w:line="188"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The worldwide exclusive license enables us to use certain TALEN® technology addressing multiple gene targets to develop TIL that have been genetically modified to create potentially more potent cancer therapeutics for use in several cancer indications. We are nearing completion of IND-enabling studies under this agreement and expect to initiate our first clinical study in 2022 of a genetically modified TIL product candidate, IOV-4001, in which the gene coding for the PD-1 protein is inactivated. Financial terms of the license include development, regulatory and sales milestone payments from us to Cellectis, as well as royalty payments based on net sales of TALEN-modified TIL products. In addition to IOV-4001, we are currently developing additional targets for genetic modification using the TALEN technology, including double-knock out programs in preclinical development.</w:t>
      </w:r>
    </w:p>
    <w:p>
      <w:pPr>
        <w:spacing w:after="0" w:line="166" w:lineRule="exact"/>
        <w:rPr>
          <w:sz w:val="20"/>
          <w:szCs w:val="20"/>
          <w:color w:val="auto"/>
        </w:rPr>
      </w:pPr>
    </w:p>
    <w:p>
      <w:pPr>
        <w:ind w:right="220" w:firstLine="492"/>
        <w:spacing w:after="0" w:line="311" w:lineRule="auto"/>
        <w:rPr>
          <w:sz w:val="20"/>
          <w:szCs w:val="20"/>
          <w:color w:val="auto"/>
        </w:rPr>
      </w:pPr>
      <w:r>
        <w:rPr>
          <w:rFonts w:ascii="Arial" w:cs="Arial" w:eastAsia="Arial" w:hAnsi="Arial"/>
          <w:sz w:val="16"/>
          <w:szCs w:val="16"/>
          <w:color w:val="auto"/>
        </w:rPr>
        <w:t>We continue to explore additional transient and permanent genetic modifications of TILs. For example, under the amended and restated patent license agreement we entered into May 2021 with National Institutes of Health, or NIH, an agency of the U.S. Public Health Service within the Department of Health and Human Services, we license a patent family related to cytokine-tethered TILs,</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which are intended to potentially expand and activate TILs to achieve better efficacy while avoiding systemic side effects of cytokines.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developing cytokine-tethered TIL products in preclinical studies.</w:t>
      </w:r>
    </w:p>
    <w:p>
      <w:pPr>
        <w:spacing w:after="0" w:line="211" w:lineRule="exact"/>
        <w:rPr>
          <w:sz w:val="20"/>
          <w:szCs w:val="20"/>
          <w:color w:val="auto"/>
        </w:rPr>
      </w:pPr>
    </w:p>
    <w:p>
      <w:pPr>
        <w:ind w:right="140" w:firstLine="492"/>
        <w:spacing w:after="0" w:line="275" w:lineRule="auto"/>
        <w:rPr>
          <w:sz w:val="20"/>
          <w:szCs w:val="20"/>
          <w:color w:val="auto"/>
        </w:rPr>
      </w:pPr>
      <w:r>
        <w:rPr>
          <w:rFonts w:ascii="Arial" w:cs="Arial" w:eastAsia="Arial" w:hAnsi="Arial"/>
          <w:sz w:val="17"/>
          <w:szCs w:val="17"/>
          <w:color w:val="auto"/>
        </w:rPr>
        <w:t>In addition, in January 2020, we obtained a license from Novartis Pharma AG, or Novartis, to develop and commercialize an antibody cytokine-engrafted protein, which we refer to as IOV-3001. Under the agreement, we paid an upfront payment to Novartis and may pay milestones involved in initiation of patient dosing in various phases of clinical development for IOV-3001 and approval of a potential product in the U.S., EU, and Japan. We are currently conducting IND enabling studies of this novel IL-2 analog. Novartis is also entitled to low-to-mid single digit percentage royalties from commercial sales of IOV-3001.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Investigator-Sponsored Trials</w:t>
      </w:r>
    </w:p>
    <w:p>
      <w:pPr>
        <w:spacing w:after="0" w:line="225"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Through our academic collaborators, we are also exploring the potential for TIL therapies in additional indications. As part of our collaboration program with The University of Texas M.D. Anderson Cancer Center, or MDACC, two Phase 2 trials were initiated in 2018. Both trials are sponsored by MDACC. The first trial, NCT03449108, investigates LN-145 manufactured by us, using our manufacturing processes, to treat patients with soft tissue sarcoma, osteosarcoma, platinum resistant ovarian cancer, and thyroid cancer. A second trial under the collaboration with MDACC, NCT03610490, was previously active. This trial treated patients with platinum resistant ovarian cancer, pancreatic and colorectal cancer with TIL manufactured by MDACC. The data obtained using this manufacturing process may not be representative of our data using our Gen 2 manufacturing process. We also collaborate with many other academic institutions using our TIL therapies. For example, a trial in collaboration with The Ohio State University, NCT05176470, is expected to start recruiting in 2022, and explores the use of lifileucel in high-risk melanoma in the neoadjuvant setting.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developed our own patent portfolio based on internal research and development activities. As a result, we now own a number of pending patent applications and granted patents in the fields of TIL therapy, MIL therapy, and PBL therapy, TIL, MIL, and PBL manufacturing processes, and TIL, MIL, and PBL expansion methods. For example, we currently own more than 35 U.S. patents related to TIL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and 11,241,456. More than 30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 applications relating to TIL, MIL, and PBL therapies; frozen tumor-based TIL technologies; remnant TIL and digest TIL compositions, methods and processes; methods of treatment of a broad range of cancers using TIL therapies; methods of manufacturing TIL, MIL, and PBL therapies; the use of costimulatory molecules in TIL therapy and manufacturing; stable and transient genetically-modified TIL therapies; methods of using ICIs in combination with TIL therapies; TIL selection technologies; and methods of treating patient subpopulations.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22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full impact of the novel strain of coronavirus, or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year ended December 31, 2021.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sectPr>
          <w:pgSz w:w="11900" w:h="16838" w:orient="portrait"/>
          <w:cols w:equalWidth="0" w:num="1">
            <w:col w:w="9920"/>
          </w:cols>
          <w:pgMar w:left="980" w:top="665"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87"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fiscal year ending December 31, 2022.</w:t>
      </w:r>
    </w:p>
    <w:p>
      <w:pPr>
        <w:spacing w:after="0" w:line="187"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4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any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88"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181"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78"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as we continue to prepare for commercialization and support an expected growth of the internal general and administrative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net results from our interest-bearing cash and investment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2021 and 2020</w:t>
      </w:r>
    </w:p>
    <w:p>
      <w:pPr>
        <w:spacing w:after="0" w:line="229"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 Since 2017 our primary source of funds has been from the public sale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4"/>
              </w:rPr>
              <w:t>Years Ended December 31,</w:t>
            </w:r>
          </w:p>
        </w:tc>
        <w:tc>
          <w:tcPr>
            <w:tcW w:w="180" w:type="dxa"/>
            <w:vAlign w:val="bottom"/>
          </w:tcPr>
          <w:p>
            <w:pPr>
              <w:spacing w:after="0"/>
              <w:rPr>
                <w:sz w:val="14"/>
                <w:szCs w:val="14"/>
                <w:color w:val="auto"/>
              </w:rPr>
            </w:pPr>
          </w:p>
        </w:tc>
        <w:tc>
          <w:tcPr>
            <w:tcW w:w="19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$ 259,039</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$ 201,727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57,312</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 research and development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expense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40,833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19,727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21,106</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107 %</w:t>
            </w:r>
          </w:p>
        </w:tc>
      </w:tr>
    </w:tbl>
    <w:p>
      <w:pPr>
        <w:spacing w:after="0" w:line="202"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color w:val="auto"/>
        </w:rPr>
        <w:t xml:space="preserve">Research and development expense for the year ended December 31, 2021 increased by $57.3 million, or 28%, compared to the year ended December 31, 2020. The increase was primarily attributable to (i) a $29.2 million increase in payroll and related expenses and a $21.1 million increase in stock-based compensation expenses, both driven by increased hiring of research and development employees to support our on-going and planned clinical development activities, (ii) a $14.9 million increase in facility and related costs associated with the </w:t>
      </w:r>
      <w:r>
        <w:rPr>
          <w:rFonts w:ascii="Arial" w:cs="Arial" w:eastAsia="Arial" w:hAnsi="Arial"/>
          <w:sz w:val="16"/>
          <w:szCs w:val="16"/>
          <w:i w:val="1"/>
          <w:iCs w:val="1"/>
          <w:color w:val="auto"/>
        </w:rPr>
        <w:t>i</w:t>
      </w:r>
      <w:r>
        <w:rPr>
          <w:rFonts w:ascii="Arial" w:cs="Arial" w:eastAsia="Arial" w:hAnsi="Arial"/>
          <w:sz w:val="16"/>
          <w:szCs w:val="16"/>
          <w:color w:val="auto"/>
        </w:rPr>
        <w:t>CTC and the build-out of our new corporate headquarters office, (iii) a $5.1 million increase in clinical trial costs driven by continued enrollment in our IOV-COM-202 and IOV-LUN-202 clinical trials and purchases of study drug used in these clinical trials, and</w:t>
      </w:r>
    </w:p>
    <w:p>
      <w:pPr>
        <w:spacing w:after="0" w:line="4" w:lineRule="exact"/>
        <w:rPr>
          <w:sz w:val="20"/>
          <w:szCs w:val="20"/>
          <w:color w:val="auto"/>
        </w:rPr>
      </w:pPr>
    </w:p>
    <w:p>
      <w:pPr>
        <w:ind w:right="60" w:firstLine="8"/>
        <w:spacing w:after="0" w:line="253"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$2.2 million increase in travel and others, including allocated costs associated with the expansion of our infrastructure, including information systems, to further support the growth in the organization and operations associated with our clinical trials and pre-commercial efforts. These increases were partially offset by a $10.0 million decrease in research alliance costs due to a one-time license fee from Novartis to further develop IOV-3001 which was recognized in full in 2020, and a $5.2 million decrease in manufacturing costs driven by completion of our pivotal clinical trials.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4"/>
              </w:rPr>
              <w:t>Years Ended December 31,</w:t>
            </w:r>
          </w:p>
        </w:tc>
        <w:tc>
          <w:tcPr>
            <w:tcW w:w="180" w:type="dxa"/>
            <w:vAlign w:val="bottom"/>
          </w:tcPr>
          <w:p>
            <w:pPr>
              <w:spacing w:after="0"/>
              <w:rPr>
                <w:sz w:val="14"/>
                <w:szCs w:val="14"/>
                <w:color w:val="auto"/>
              </w:rPr>
            </w:pPr>
          </w:p>
        </w:tc>
        <w:tc>
          <w:tcPr>
            <w:tcW w:w="192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83,664</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60,210</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23,454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 general and administrative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28,932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7,772</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37 %</w:t>
            </w:r>
          </w:p>
        </w:tc>
      </w:tr>
    </w:tbl>
    <w:p>
      <w:pPr>
        <w:spacing w:after="0" w:line="202"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General and administrative expense for the year ended December 31, 2021 increased by $23.5 million, or 39%, compared to the year ended December 31, 2020. The increase was primarily attributable to (i) a $9.8 million increase in payroll and related expenses and a $7.8 million increase in stock-based compensation expenses, both resulting from increases in headcount to support the growth in the overall business and related corporate infrastructure (ii) a $4.3 million increase in insurance and intellectual property filing related costs, and (iii) a $2.8 million increase in other costs, including professional fees and costs associated with the build-out of our new headquarter office and IT infrastructure to support the continued growth in the overall company. These costs were partially offset by a $1.2 million decrease in pre-commercial and marketing costs due to reprioritization of corporate initiatives during the year ended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19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9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(1,905)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Interest income results from our interest-bearing cash and investment balances. Net interest income decreased by $1.9 million, or 81%, due primarily to a decrease in interest rates in 2021 as compared to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8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18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98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2021</w:t>
            </w:r>
          </w:p>
        </w:tc>
        <w:tc>
          <w:tcPr>
            <w:tcW w:w="104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(342,252)</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(259,581)</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(82,671)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280" w:firstLine="492"/>
        <w:spacing w:after="0" w:line="301" w:lineRule="auto"/>
        <w:rPr>
          <w:sz w:val="20"/>
          <w:szCs w:val="20"/>
          <w:color w:val="auto"/>
        </w:rPr>
      </w:pPr>
      <w:r>
        <w:rPr>
          <w:rFonts w:ascii="Arial" w:cs="Arial" w:eastAsia="Arial" w:hAnsi="Arial"/>
          <w:sz w:val="16"/>
          <w:szCs w:val="16"/>
          <w:color w:val="auto"/>
        </w:rPr>
        <w:t>Net loss for the year ended December 31, 2021 increased by $82.7 million or 32%, compared to the year ended December 31, 2020. The increase in our net loss was due to the continued expansion of our research and development activities, increased clinical trials, and the overall growth of our corporate infrastructure. We anticipate that we will continue to incur net losses in the future as we further invest in our research and development activities, including our commercial readiness and clinical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generate any revenues during the years ended December 31,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4"/>
              </w:rPr>
              <w:t>Years Ended December 31,</w:t>
            </w:r>
          </w:p>
        </w:tc>
        <w:tc>
          <w:tcPr>
            <w:tcW w:w="180" w:type="dxa"/>
            <w:vAlign w:val="bottom"/>
          </w:tcPr>
          <w:p>
            <w:pPr>
              <w:spacing w:after="0"/>
              <w:rPr>
                <w:sz w:val="14"/>
                <w:szCs w:val="14"/>
                <w:color w:val="auto"/>
              </w:rPr>
            </w:pPr>
          </w:p>
        </w:tc>
        <w:tc>
          <w:tcPr>
            <w:tcW w:w="192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84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$ 201,727</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$ 166,023</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35,704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 research and development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expense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19,727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11,396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8,331</w:t>
            </w: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864"/>
        </w:trPr>
        <w:tc>
          <w:tcPr>
            <w:tcW w:w="5660" w:type="dxa"/>
            <w:vAlign w:val="bottom"/>
          </w:tcPr>
          <w:p>
            <w:pPr>
              <w:jc w:val="right"/>
              <w:ind w:right="510"/>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1"/>
        </w:trPr>
        <w:tc>
          <w:tcPr>
            <w:tcW w:w="5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Research and development expense for the year ended December 31, 2020 increased by $35.7 million, or 22%, compared to the year ended December 31, 2019. The increase was primarily attributable to (i) a $20.9 million increase in payroll and related expenses driven by a higher number of full-time research and development employees and outside services, (ii) a $10.0 million increase for the license to further develop IOV-3001 obtained from Novartis, (iii) a $8.3 million increase in stock-based compensation expenses, and (iv) a $6.6 million increase in clinical trial costs due to an increase in enrollment across all the trials and initiation of new clinical trials. Further, a $0.8 million increase in research consumables cost contributed to the increase. These increases were partially offset by lower manufacturing costs by $9.1 million due to decreased production runs in 2020 as a result of completion of enrollment in the melanoma pivotal program and a $2.3 million decrease in research alliance expenses due to the COVID-19 pandemic’s impact on patient enrollment in the clinical trials with our research alliance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4"/>
              </w:rPr>
              <w:t>Years Ended December 31,</w:t>
            </w:r>
          </w:p>
        </w:tc>
        <w:tc>
          <w:tcPr>
            <w:tcW w:w="180" w:type="dxa"/>
            <w:vAlign w:val="bottom"/>
          </w:tcPr>
          <w:p>
            <w:pPr>
              <w:spacing w:after="0"/>
              <w:rPr>
                <w:sz w:val="14"/>
                <w:szCs w:val="14"/>
                <w:color w:val="auto"/>
              </w:rPr>
            </w:pPr>
          </w:p>
        </w:tc>
        <w:tc>
          <w:tcPr>
            <w:tcW w:w="192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5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60,210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40,849</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19,361</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 general and administrative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21,160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8,279</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64 %</w:t>
            </w:r>
          </w:p>
        </w:tc>
      </w:tr>
    </w:tbl>
    <w:p>
      <w:pPr>
        <w:spacing w:after="0" w:line="202" w:lineRule="exact"/>
        <w:rPr>
          <w:sz w:val="20"/>
          <w:szCs w:val="20"/>
          <w:color w:val="auto"/>
        </w:rPr>
      </w:pPr>
    </w:p>
    <w:p>
      <w:pPr>
        <w:ind w:right="120" w:firstLine="492"/>
        <w:spacing w:after="0" w:line="273" w:lineRule="auto"/>
        <w:rPr>
          <w:sz w:val="20"/>
          <w:szCs w:val="20"/>
          <w:color w:val="auto"/>
        </w:rPr>
      </w:pPr>
      <w:r>
        <w:rPr>
          <w:rFonts w:ascii="Arial" w:cs="Arial" w:eastAsia="Arial" w:hAnsi="Arial"/>
          <w:sz w:val="17"/>
          <w:szCs w:val="17"/>
          <w:color w:val="auto"/>
        </w:rPr>
        <w:t>General and administrative expense for the year ended December 31, 2020 increased by $19.4 million, or 47%, compared to the year ended December 31, 2019. The increase was primarily attributable to (i) a $8.3 million increase in stock-based compensation expenses and a $7.1 million increase in payroll and related expenses driven by a higher number of full-time general and administrative employees and higher average stock price, (ii) a $2.1 million increase in director’s and officer’s insurance premiums, (iii) a $1.1 million increase in intellectual property legal costs, and (iv) a $1.1 million in market research activities as we prepare for commercialization. These increases were partially offset by a $0.7 million decrease in travel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net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820" w:type="dxa"/>
            <w:vAlign w:val="bottom"/>
            <w:gridSpan w:val="5"/>
          </w:tcPr>
          <w:p>
            <w:pPr>
              <w:jc w:val="right"/>
              <w:ind w:right="19"/>
              <w:spacing w:after="0"/>
              <w:rPr>
                <w:sz w:val="20"/>
                <w:szCs w:val="20"/>
                <w:color w:val="auto"/>
              </w:rPr>
            </w:pPr>
            <w:r>
              <w:rPr>
                <w:rFonts w:ascii="Arial" w:cs="Arial" w:eastAsia="Arial" w:hAnsi="Arial"/>
                <w:sz w:val="14"/>
                <w:szCs w:val="14"/>
                <w:b w:val="1"/>
                <w:bCs w:val="1"/>
                <w:color w:val="auto"/>
                <w:w w:val="94"/>
              </w:rPr>
              <w:t>Years Ended December 31,</w:t>
            </w:r>
          </w:p>
        </w:tc>
        <w:tc>
          <w:tcPr>
            <w:tcW w:w="180" w:type="dxa"/>
            <w:vAlign w:val="bottom"/>
          </w:tcPr>
          <w:p>
            <w:pPr>
              <w:spacing w:after="0"/>
              <w:rPr>
                <w:sz w:val="14"/>
                <w:szCs w:val="14"/>
                <w:color w:val="auto"/>
              </w:rPr>
            </w:pPr>
          </w:p>
        </w:tc>
        <w:tc>
          <w:tcPr>
            <w:tcW w:w="192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6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(6,960)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Interest income results from our interest-bearing cash and investment balances. Net interest income decreased by $7.0 million, or 75%, due primarily to a decrease in interest rates in 2020 as compared to the same period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60" w:type="dxa"/>
            <w:vAlign w:val="bottom"/>
            <w:gridSpan w:val="3"/>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160" w:type="dxa"/>
            <w:vAlign w:val="bottom"/>
          </w:tcPr>
          <w:p>
            <w:pPr>
              <w:spacing w:after="0"/>
              <w:rPr>
                <w:sz w:val="14"/>
                <w:szCs w:val="14"/>
                <w:color w:val="auto"/>
              </w:rPr>
            </w:pPr>
          </w:p>
        </w:tc>
        <w:tc>
          <w:tcPr>
            <w:tcW w:w="19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33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(259,581)</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(197,556)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(62,025)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Net loss for the year ended December 31, 2020 increased by $62.0 million or 31%, compared to the year ended December 31, 2019. The increase in our net loss was due to the continued expansion of our research and development activities, increased clinical trials, and the overall growth of our corporate infrastructure.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92"/>
        <w:spacing w:after="0" w:line="289" w:lineRule="auto"/>
        <w:rPr>
          <w:sz w:val="20"/>
          <w:szCs w:val="20"/>
          <w:color w:val="auto"/>
        </w:rPr>
      </w:pPr>
      <w:r>
        <w:rPr>
          <w:rFonts w:ascii="Arial" w:cs="Arial" w:eastAsia="Arial" w:hAnsi="Arial"/>
          <w:sz w:val="16"/>
          <w:szCs w:val="16"/>
          <w:color w:val="auto"/>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We currently do not anticipate that we will generate any significant revenues from the sale or licensing of any products during the 12 months from the date these financial statements are issued. We expect to further increase our research and development activities, especially continuing pre-commercial activities and completing the construction of our tenant improvements to the </w:t>
      </w:r>
      <w:r>
        <w:rPr>
          <w:rFonts w:ascii="Arial" w:cs="Arial" w:eastAsia="Arial" w:hAnsi="Arial"/>
          <w:sz w:val="16"/>
          <w:szCs w:val="16"/>
          <w:i w:val="1"/>
          <w:iCs w:val="1"/>
          <w:color w:val="auto"/>
        </w:rPr>
        <w:t>i</w:t>
      </w:r>
      <w:r>
        <w:rPr>
          <w:rFonts w:ascii="Arial" w:cs="Arial" w:eastAsia="Arial" w:hAnsi="Arial"/>
          <w:sz w:val="16"/>
          <w:szCs w:val="16"/>
          <w:color w:val="auto"/>
        </w:rPr>
        <w:t xml:space="preserve">CTC facility and new corporate headquarters office, which will increase the amount of cash we will use during 2022 and beyond. Specifically, we expect increased spending on clinical trials, research and development activities, higher payroll expenses as we increase our professional and scientific staff and continue our expansion of manufacturing activities including completion of </w:t>
      </w:r>
      <w:r>
        <w:rPr>
          <w:rFonts w:ascii="Arial" w:cs="Arial" w:eastAsia="Arial" w:hAnsi="Arial"/>
          <w:sz w:val="16"/>
          <w:szCs w:val="16"/>
          <w:i w:val="1"/>
          <w:iCs w:val="1"/>
          <w:color w:val="auto"/>
        </w:rPr>
        <w:t>i</w:t>
      </w:r>
      <w:r>
        <w:rPr>
          <w:rFonts w:ascii="Arial" w:cs="Arial" w:eastAsia="Arial" w:hAnsi="Arial"/>
          <w:sz w:val="16"/>
          <w:szCs w:val="16"/>
          <w:color w:val="auto"/>
        </w:rPr>
        <w:t>CTC</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facility as well as completing the construction of the tenant improvement to our new corporate headquarters office in San Carlos, California.</w:t>
      </w:r>
    </w:p>
    <w:p>
      <w:pPr>
        <w:spacing w:after="0" w:line="17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 xml:space="preserve">We currently anticipate making aggregate capital expenditures between approximately $10.0 million and $11.0 million during the next 12 months, which is expected to primarily include equipment to be used for clinical trials, research and manufacturing at </w:t>
      </w:r>
      <w:r>
        <w:rPr>
          <w:rFonts w:ascii="Arial" w:cs="Arial" w:eastAsia="Arial" w:hAnsi="Arial"/>
          <w:sz w:val="18"/>
          <w:szCs w:val="18"/>
          <w:i w:val="1"/>
          <w:iCs w:val="1"/>
          <w:color w:val="auto"/>
        </w:rPr>
        <w:t>i</w:t>
      </w:r>
      <w:r>
        <w:rPr>
          <w:rFonts w:ascii="Arial" w:cs="Arial" w:eastAsia="Arial" w:hAnsi="Arial"/>
          <w:sz w:val="18"/>
          <w:szCs w:val="18"/>
          <w:color w:val="auto"/>
        </w:rPr>
        <w:t>CTC, as well as spending associated with the expansion of our manufacturing facilities of offices.</w:t>
      </w:r>
    </w:p>
    <w:p>
      <w:pPr>
        <w:spacing w:after="0" w:line="184"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As of December 31, 2021, we had $602.1 million in cash, cash equivalents, investments, and restricted cash ($78.2 million of cash and cash equivalents, $426.2 million in short-term investments, $91.6 million in long-term investments and $6.1 million in restricted cash). Based on the funds we have available as of the date of the filing of this Annual Report on Form 10-K, we believe that we have sufficient capital to fund our anticipated operating expenses and capital expenditure for at least 12 months from the date of filing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Capitalization</w:t>
      </w:r>
    </w:p>
    <w:p>
      <w:pPr>
        <w:spacing w:after="0" w:line="225"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As of December 31, 2021, we had outstanding 157,004,742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spacing w:after="0" w:line="192"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On September 17, 2019, we filed a shelf registration statement with the SEC for the issuance up to an aggregate amount of $400 million (the “2019 Shelf Registration Statement”), which was declared effective on September 24, 2019. The 2019 Shelf Registration Statement was terminated upon effectiveness of the 2020 Automatic Shelf Registration Statement (as discussed below). No shares were sold under the 2019 Shelf Registration Statement prior to its termination.</w:t>
      </w:r>
    </w:p>
    <w:p>
      <w:pPr>
        <w:spacing w:after="0" w:line="160" w:lineRule="exact"/>
        <w:rPr>
          <w:sz w:val="20"/>
          <w:szCs w:val="20"/>
          <w:color w:val="auto"/>
        </w:rPr>
      </w:pPr>
    </w:p>
    <w:p>
      <w:pPr>
        <w:jc w:val="both"/>
        <w:ind w:right="80" w:firstLine="492"/>
        <w:spacing w:after="0" w:line="286" w:lineRule="auto"/>
        <w:rPr>
          <w:sz w:val="20"/>
          <w:szCs w:val="20"/>
          <w:color w:val="auto"/>
        </w:rPr>
      </w:pPr>
      <w:r>
        <w:rPr>
          <w:rFonts w:ascii="Arial" w:cs="Arial" w:eastAsia="Arial" w:hAnsi="Arial"/>
          <w:sz w:val="17"/>
          <w:szCs w:val="17"/>
          <w:color w:val="auto"/>
        </w:rPr>
        <w:t>On May 27, 2020, we filed an automatic shelf registration statement with the SEC for the issuance of an indeterminate amount of Shelf Securities (the “2020 Automatic Shelf Registration Statement”), which was immediately effective upon filing with the SEC. Upon filing of the 2020 Automatic Shelf Registration Statement, the 2019 Shelf Registration Statement was terminated.</w:t>
      </w:r>
    </w:p>
    <w:p>
      <w:pPr>
        <w:spacing w:after="0" w:line="125"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On June 2, 2020, we sold 19,475,806 shares of our common stock at a public offering price of $31.00 per share pursuant to the 2020 Automatic Shelf Registration Statement (the “June 2020 Public Offering”). We received gross proceeds of $603.7 million and net proceeds of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17"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On February 8, 2021, we entered into an Open Market Sale Agreement (the “Sales Agreement”), with Jefferies LLC (“Jefferies”), with respect to an “at the market” offering program, under which we may, from time to time, in our sole discretion, issue and sell through Jefferies, acting as sales agent, up to $350.0 million of shares of our common stock. The issuance and sale, if any, of shares of our common stock under the Sales Agreement will be made pursuant to a prospectus supplement, dated February 8, 2021, to the 2020 Automatic Shelf Registration Statement. During the year ended December 31, 2021, we received $203.2 million in net proceeds through the sale of 6,474,099 shares of our common stock.</w:t>
      </w:r>
    </w:p>
    <w:p>
      <w:pPr>
        <w:spacing w:after="0" w:line="165"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color w:val="auto"/>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flows from operating, investing and financing activities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(227,941)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(205,134)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(158,889)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(317,853)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90,025</w:t>
            </w: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239,268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576,422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r>
      <w:tr>
        <w:trPr>
          <w:trHeight w:val="20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(62,733)</w:t>
            </w: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year ended December 31, 2021 was $227.9 million compared to $205.1 million for the same period in 2020. The increase of $22.8 million in cash used in operating activities was primarily due to an increase in net loss driven by increased costs in research and development and pre-commercial activities, which was partially offset by an increase in non-cash charges of $38.3 million primarily driven by higher stock-based compensation expenses, amortization of premiums on investments and operating right-of-use assets associated with our office and manufacturing facility as well as embedded leases, and depreciation expenses. In addition, it reflects a reduction in our operating lease liabilities associated with payments on lease arrangements, offset by an increase in accruals and accounts payable primarily related to our increased workforce, overall growth in the business and operations, and the timing of vendor invoicing and related payments.</w:t>
      </w:r>
    </w:p>
    <w:p>
      <w:pPr>
        <w:spacing w:after="0" w:line="14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Net cash used in operating activities for the year ended December 31, 2020 was $205.1 million compared to $158.9 million for the same period in 2019. The increase of $46.2 million in cash used in operating activities was primarily attributable to an increase in net loss and increase in accruals primarily related to our research and development activities, which were partially offset by an increase in non-cash charges of $22.8 million, primarily driven by higher-stock-based compensation expenses and amortization of premiums on investments.</w:t>
      </w:r>
    </w:p>
    <w:p>
      <w:pPr>
        <w:spacing w:after="0" w:line="188"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Net cash used in operating activities for the year ended December 31, 2019 was $158.9 million compared to $101.2 million for the same period in 2018. The increase of $57.7 million in cash used in operating activities was due to an increase in net loss and an increase in operating lease payments, which were partially offset by an increase in non-cash charges of $9.0 million, primarily driven by higher-stock-based compensation expenses and amortization of right-of-use assets, and an increase in accruals due to the timing of vendor invoicing and related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492"/>
        <w:spacing w:after="0" w:line="279" w:lineRule="auto"/>
        <w:rPr>
          <w:sz w:val="20"/>
          <w:szCs w:val="20"/>
          <w:color w:val="auto"/>
        </w:rPr>
      </w:pPr>
      <w:r>
        <w:rPr>
          <w:rFonts w:ascii="Arial" w:cs="Arial" w:eastAsia="Arial" w:hAnsi="Arial"/>
          <w:sz w:val="17"/>
          <w:szCs w:val="17"/>
          <w:color w:val="auto"/>
        </w:rPr>
        <w:t>Net cash (used in) / provided by investing activities primarily consists of purchases, maturities of our investments and capital expenditures. Net cash provided by investing activities for the year ended December 31, 2021 was $0.1 million compared to net cash used in investing activities of $317.9 million. The increase in cash provided by investing activities of $318.0 million was primarily due to the timing of maturities and purchases of investments and lower capital expenditures in 2021.</w:t>
      </w:r>
    </w:p>
    <w:p>
      <w:pPr>
        <w:spacing w:after="0" w:line="171"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 xml:space="preserve">Net cash used in investing activities for the year ended December 31, 2020 was $317.9 million compared to net cash provided by $90.0 million for the same period in 2019. The increase in net cash used in investing activities of $407.9 million was due primarily to purchases of investments with the proceeds received from the June 2020 Public Offering and an increase in capital expenditures to support the </w:t>
      </w:r>
      <w:r>
        <w:rPr>
          <w:rFonts w:ascii="Arial" w:cs="Arial" w:eastAsia="Arial" w:hAnsi="Arial"/>
          <w:sz w:val="18"/>
          <w:szCs w:val="18"/>
          <w:i w:val="1"/>
          <w:iCs w:val="1"/>
          <w:color w:val="auto"/>
        </w:rPr>
        <w:t>i</w:t>
      </w:r>
      <w:r>
        <w:rPr>
          <w:rFonts w:ascii="Arial" w:cs="Arial" w:eastAsia="Arial" w:hAnsi="Arial"/>
          <w:sz w:val="18"/>
          <w:szCs w:val="18"/>
          <w:color w:val="auto"/>
        </w:rPr>
        <w:t>CTC build-out.</w:t>
      </w:r>
    </w:p>
    <w:p>
      <w:pPr>
        <w:spacing w:after="0" w:line="187"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Net cash provided by investing activities for the year ended December 31, 2019 was $90.0 million compared to net cash used in investing activities of $386.3 million for the same period in 2018. The increase in net cash provided in 2019 was due primarily to the timing of maturities and purchases of investments.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492"/>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2021 was $239.3 million compared to net cash provided of $576.4 million. The net cash provided by financing activities during the year ended December 30, 2021 related to $203.2 million cash proceeds from our “at the market” offering and $33.5 million of cash receipts from the issuance of common stock upon the exercise of stock options. The net cash provided by financing activities during the year ended December 31, 2020 primarily related to $567.0 million cash proceeds received in the June 2020 public offering and $9.7 million cash proceeds from issuance of common stock upon exercise of stock options in 2021.</w:t>
      </w:r>
    </w:p>
    <w:p>
      <w:pPr>
        <w:spacing w:after="0" w:line="192"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Net cash provided by financing activities for the year ended December 31, 2020 was $576.4 million compared to net cash provided of $6.1 million for the same period in 2019. The net cash provided in financing activities during the year ended December 31, 2020 primarily related to $567.0 million received from the June 2020 Public Offering and $9.7 million cash proceeds received in issuing common stock upon exercise of stock options. Net cash provided by financing activities for the year ended December 31, 2019 related to cash proceeds received in issuing common stock upon exercise of stock options.</w:t>
      </w:r>
    </w:p>
    <w:p>
      <w:pPr>
        <w:spacing w:after="0" w:line="17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2019 was $6.1 million compared to net cash provided of $424.3 million for the same period in 2018. Net cash provided by financing activities for the year ended December 31, 2019 related to cash proceeds received in issuing common stock upon exercise of stock options. The net cash provided by financing activities of $424.3 million for the year ended December 31, 2018 primarily related to $398.8 million of cash proceeds received from January and October 2018 public offerings, $15.8 million cash proceeds from exercise of warrants, and $10.0 million cash proceeds from issuing common stock upon exercise of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The following table summarizes our non-cancellable contractual obligations as of December 31, 2021 and the effects that such obligations are expected to have on our liquidity and cash flows in future periods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28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Thereafter</w:t>
            </w:r>
          </w:p>
        </w:tc>
      </w:tr>
      <w:tr>
        <w:trPr>
          <w:trHeight w:val="195"/>
        </w:trPr>
        <w:tc>
          <w:tcPr>
            <w:tcW w:w="2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Operating lease obligations - facilities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129,651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80" w:type="dxa"/>
            <w:vAlign w:val="bottom"/>
            <w:shd w:val="clear" w:color="auto" w:fill="CCEEFF"/>
          </w:tcPr>
          <w:p>
            <w:pPr>
              <w:spacing w:after="0"/>
              <w:rPr>
                <w:sz w:val="20"/>
                <w:szCs w:val="20"/>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91,952</w:t>
            </w:r>
          </w:p>
        </w:tc>
      </w:tr>
      <w:tr>
        <w:trPr>
          <w:trHeight w:val="210"/>
        </w:trPr>
        <w:tc>
          <w:tcPr>
            <w:tcW w:w="2840" w:type="dxa"/>
            <w:vAlign w:val="bottom"/>
          </w:tcPr>
          <w:p>
            <w:pPr>
              <w:ind w:left="160"/>
              <w:spacing w:after="0"/>
              <w:rPr>
                <w:sz w:val="20"/>
                <w:szCs w:val="20"/>
                <w:color w:val="auto"/>
              </w:rPr>
            </w:pPr>
            <w:r>
              <w:rPr>
                <w:rFonts w:ascii="Arial" w:cs="Arial" w:eastAsia="Arial" w:hAnsi="Arial"/>
                <w:sz w:val="18"/>
                <w:szCs w:val="18"/>
                <w:color w:val="auto"/>
              </w:rPr>
              <w:t>Total (2), (3)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129,651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91,952</w:t>
            </w: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00" w:right="980" w:hanging="495"/>
        <w:spacing w:after="0" w:line="266"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operating lease obligations consist of obligations under non-cancellable operating leases for our facilities in San Carlos, CA, Philadelphia, PA, and Tampa, FL.</w:t>
      </w:r>
    </w:p>
    <w:p>
      <w:pPr>
        <w:spacing w:after="0" w:line="1" w:lineRule="exact"/>
        <w:rPr>
          <w:rFonts w:ascii="Arial" w:cs="Arial" w:eastAsia="Arial" w:hAnsi="Arial"/>
          <w:sz w:val="16"/>
          <w:szCs w:val="16"/>
          <w:color w:val="auto"/>
        </w:rPr>
      </w:pPr>
    </w:p>
    <w:p>
      <w:pPr>
        <w:ind w:left="600" w:right="120"/>
        <w:spacing w:after="0" w:line="270" w:lineRule="auto"/>
        <w:rPr>
          <w:rFonts w:ascii="Arial" w:cs="Arial" w:eastAsia="Arial" w:hAnsi="Arial"/>
          <w:sz w:val="16"/>
          <w:szCs w:val="16"/>
          <w:color w:val="auto"/>
        </w:rPr>
      </w:pPr>
      <w:r>
        <w:rPr>
          <w:rFonts w:ascii="Arial" w:cs="Arial" w:eastAsia="Arial" w:hAnsi="Arial"/>
          <w:sz w:val="16"/>
          <w:szCs w:val="16"/>
          <w:color w:val="auto"/>
        </w:rPr>
        <w:t>Excluded from the above are contractual obligations with certain Contract Manufacturing Organizations, or CMO, for the manufacturing facilities and minimum fixed commitment fees included in our manufacturing contracts, such as personnel, general support fee, and minimum production or material fees. These obligations met the conditions of embedded leases under Topic ASC 842 and were included in the Operating lease liabilities in the Consolidated Balance Sheets. However, these contracts are cancellable upon prior notice and as a result, are not included in the above table.</w:t>
      </w:r>
    </w:p>
    <w:p>
      <w:pPr>
        <w:spacing w:after="0" w:line="176" w:lineRule="exact"/>
        <w:rPr>
          <w:rFonts w:ascii="Arial" w:cs="Arial" w:eastAsia="Arial" w:hAnsi="Arial"/>
          <w:sz w:val="16"/>
          <w:szCs w:val="16"/>
          <w:color w:val="auto"/>
        </w:rPr>
      </w:pPr>
    </w:p>
    <w:p>
      <w:pPr>
        <w:ind w:left="600" w:right="200" w:hanging="495"/>
        <w:spacing w:after="0" w:line="264"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spacing w:after="0" w:line="4" w:lineRule="exact"/>
        <w:rPr>
          <w:rFonts w:ascii="Arial" w:cs="Arial" w:eastAsia="Arial" w:hAnsi="Arial"/>
          <w:sz w:val="16"/>
          <w:szCs w:val="16"/>
          <w:color w:val="auto"/>
        </w:rPr>
      </w:pPr>
    </w:p>
    <w:p>
      <w:pPr>
        <w:ind w:left="600" w:right="140"/>
        <w:spacing w:after="0" w:line="272" w:lineRule="auto"/>
        <w:rPr>
          <w:rFonts w:ascii="Arial" w:cs="Arial" w:eastAsia="Arial" w:hAnsi="Arial"/>
          <w:sz w:val="16"/>
          <w:szCs w:val="16"/>
          <w:color w:val="auto"/>
        </w:rPr>
      </w:pPr>
      <w:r>
        <w:rPr>
          <w:rFonts w:ascii="Arial" w:cs="Arial" w:eastAsia="Arial" w:hAnsi="Arial"/>
          <w:sz w:val="16"/>
          <w:szCs w:val="16"/>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the contingent payments.</w:t>
      </w:r>
    </w:p>
    <w:p>
      <w:pPr>
        <w:spacing w:after="0" w:line="174" w:lineRule="exact"/>
        <w:rPr>
          <w:rFonts w:ascii="Arial" w:cs="Arial" w:eastAsia="Arial" w:hAnsi="Arial"/>
          <w:sz w:val="16"/>
          <w:szCs w:val="16"/>
          <w:color w:val="auto"/>
        </w:rPr>
      </w:pPr>
    </w:p>
    <w:p>
      <w:pPr>
        <w:ind w:left="600" w:right="160" w:hanging="495"/>
        <w:spacing w:after="0" w:line="328" w:lineRule="auto"/>
        <w:tabs>
          <w:tab w:leader="none" w:pos="6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The contractual obligations table above excludes estimated equipment and construction costs of approximately $10.0 million to $11.0 million over the next year for the </w:t>
      </w:r>
      <w:r>
        <w:rPr>
          <w:rFonts w:ascii="Arial" w:cs="Arial" w:eastAsia="Arial" w:hAnsi="Arial"/>
          <w:sz w:val="15"/>
          <w:szCs w:val="15"/>
          <w:i w:val="1"/>
          <w:iCs w:val="1"/>
          <w:color w:val="auto"/>
        </w:rPr>
        <w:t>i</w:t>
      </w:r>
      <w:r>
        <w:rPr>
          <w:rFonts w:ascii="Arial" w:cs="Arial" w:eastAsia="Arial" w:hAnsi="Arial"/>
          <w:sz w:val="15"/>
          <w:szCs w:val="15"/>
          <w:color w:val="auto"/>
        </w:rPr>
        <w:t>CTC facility in Philadelphia, PA and our new corporate headquarters’ office in San Carlos, CA.</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2021, we did not have, and currently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Our accounting policies are more fully described in Note 2 of the consolidated financial statements included in this Annual Report on Form 10-K. As described in Note 2, the preparation of our consolidated financial statements requires us to make estimates and judgments that affect the reported amounts in the financial statements and related disclosures. On an ongoing basis, we evaluate our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225"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Research and development costs are expensed as incurred. Clinical development costs compose a significant component of research and development costs. We have a history of contracting with third parties, including contract research organizations (“CROs”), independent clinical investigators, and contract manufacturing organizations (“CMOs”)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agreements established with CROs, CMOs and other outside service providers. We determine our estimates through discussions with internal clinical stakeholders and outside service providers as to the progress or stage of completion of clinical trials or services and the contracted fee to be paid for such services.</w:t>
      </w:r>
    </w:p>
    <w:p>
      <w:pPr>
        <w:spacing w:after="0" w:line="168"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Included in our clinical development costs are investigator costs, which are costs associated with treatments administered at clinical sites as required under each clinical study protocol. Our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our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We accrue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74" w:lineRule="exact"/>
        <w:rPr>
          <w:sz w:val="20"/>
          <w:szCs w:val="20"/>
          <w:color w:val="auto"/>
        </w:rPr>
      </w:pPr>
    </w:p>
    <w:p>
      <w:pPr>
        <w:ind w:right="140" w:firstLine="492"/>
        <w:spacing w:after="0" w:line="272" w:lineRule="auto"/>
        <w:rPr>
          <w:sz w:val="20"/>
          <w:szCs w:val="20"/>
          <w:color w:val="auto"/>
        </w:rPr>
      </w:pPr>
      <w:r>
        <w:rPr>
          <w:rFonts w:ascii="Arial" w:cs="Arial" w:eastAsia="Arial" w:hAnsi="Arial"/>
          <w:sz w:val="17"/>
          <w:szCs w:val="17"/>
          <w:color w:val="auto"/>
        </w:rPr>
        <w:t>We make judgements and estimates in determining the accrual balance in each reporting period. 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we adjust our estimates, liabilities and assets. Inputs used in our determination of estimates discussed above may vary from actual, which will result in adjustments to research and development expense in future periods. Changes in these estimates that result in material changes to our accruals could materially affect our results of operations. Our historical estimates have not been materially different from actual amounts recorded.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December 31, 2021, we had $579.0 million invested in marketable securities with a maturity date of less than two years. As such we believe that we are not exposed to any material market risk. If interest rates had varied by 1% in the year ended December 31, 2021, the fair value of our investment portfolio would increase or decrease by approximately $2.9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720" w:firstLine="492"/>
        <w:spacing w:after="0" w:line="277" w:lineRule="auto"/>
        <w:rPr>
          <w:sz w:val="20"/>
          <w:szCs w:val="20"/>
          <w:color w:val="auto"/>
        </w:rPr>
      </w:pPr>
      <w:r>
        <w:rPr>
          <w:rFonts w:ascii="Arial" w:cs="Arial" w:eastAsia="Arial" w:hAnsi="Arial"/>
          <w:sz w:val="18"/>
          <w:szCs w:val="18"/>
          <w:color w:val="auto"/>
        </w:rPr>
        <w:t>Inflation has not had a material effect on our business, financial condition or results of operations during the years ended December 31, 2021, 2020, or 2019.</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60" w:firstLine="492"/>
        <w:spacing w:after="0" w:line="277" w:lineRule="auto"/>
        <w:rPr>
          <w:sz w:val="20"/>
          <w:szCs w:val="20"/>
          <w:color w:val="auto"/>
        </w:rPr>
      </w:pPr>
      <w:r>
        <w:rPr>
          <w:rFonts w:ascii="Arial" w:cs="Arial" w:eastAsia="Arial" w:hAnsi="Arial"/>
          <w:sz w:val="18"/>
          <w:szCs w:val="18"/>
          <w:color w:val="auto"/>
        </w:rPr>
        <w:t>Financial Statements are referred to in Item 15, listed in the Index to Financial Statements as a part of this Annual Report on Form 10-K, and are incorporated herein by this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225"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178"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225"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2021 based on the framework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or COSO. Based on that evaluation, our management concluded that our internal control over financial reporting was effective as of December 31, 2021.</w:t>
      </w:r>
    </w:p>
    <w:p>
      <w:pPr>
        <w:sectPr>
          <w:pgSz w:w="11900" w:h="16838" w:orient="portrait"/>
          <w:cols w:equalWidth="0" w:num="1">
            <w:col w:w="9900"/>
          </w:cols>
          <w:pgMar w:left="980" w:top="665" w:right="101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80" w:firstLine="492"/>
        <w:spacing w:after="0" w:line="342" w:lineRule="auto"/>
        <w:rPr>
          <w:sz w:val="20"/>
          <w:szCs w:val="20"/>
          <w:color w:val="auto"/>
        </w:rPr>
      </w:pPr>
      <w:r>
        <w:rPr>
          <w:rFonts w:ascii="Arial" w:cs="Arial" w:eastAsia="Arial" w:hAnsi="Arial"/>
          <w:sz w:val="16"/>
          <w:szCs w:val="16"/>
          <w:color w:val="auto"/>
        </w:rPr>
        <w:t>The independent registered public accounting firm, Ernst and Young LLP, has issued an audit report on our internal control over financial reporting. The report on the audit of internal control over financial reporting is included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225"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for the Annual Meeting of Stockholders pursuant to Regulation 14A of the Securities Exchange Act of 1934 (the Proxy Statement), not later than 120 days after the end of the fiscal year covered by this Annual Report on Form 10-K, and the applicable information included in the Proxy Statement is incorporated herein by reference.</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Information required by this Item 10 will be presented in the Proxy Statement “Election of Directors,” “Management Executive Officers,” “Section 16(a) Beneficial Ownership Reporting Compliance” and “Board of Directors and Corporate Governance,” and is incorporated herein by reference.</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“Executive Compensation,” “Executive Compensation—Compensation Discussion and Analysis” and “Directors’ Compensation” in the Proxy Statement.</w:t>
      </w:r>
    </w:p>
    <w:p>
      <w:pPr>
        <w:spacing w:after="0" w:line="1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140" w:firstLine="492"/>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4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560" w:firstLine="49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Accountant’s Fees and Services</w:t>
      </w:r>
    </w:p>
    <w:p>
      <w:pPr>
        <w:spacing w:after="0" w:line="229"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The Company’s consolidated financial statements and related notes thereto are listed and included in this Annual Report on Form 10-K beginning on page F-1. The following exhibits are filed with, or are incorporated by reference into, this Annual Report on Form 10-K.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20" w:type="dxa"/>
            <w:vAlign w:val="bottom"/>
            <w:gridSpan w:val="30"/>
          </w:tcPr>
          <w:p>
            <w:pPr>
              <w:ind w:left="6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28"/>
          </w:tcPr>
          <w:p>
            <w:pPr>
              <w:ind w:left="64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4"/>
                <w:szCs w:val="14"/>
                <w:color w:val="auto"/>
              </w:rPr>
            </w:pPr>
          </w:p>
        </w:tc>
        <w:tc>
          <w:tcPr>
            <w:tcW w:w="8700" w:type="dxa"/>
            <w:vAlign w:val="bottom"/>
            <w:tcBorders>
              <w:top w:val="single" w:sz="8" w:color="auto"/>
              <w:bottom w:val="single" w:sz="8" w:color="0000EE"/>
            </w:tcBorders>
            <w:gridSpan w:val="28"/>
          </w:tcPr>
          <w:p>
            <w:pPr>
              <w:spacing w:after="0" w:line="169"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Plan of Conversion (incorporated herein by reference to Exhibit 2.1 to the Registrant’s Current Report on Form 8-K filed</w:t>
              </w:r>
            </w:hyperlink>
          </w:p>
        </w:tc>
        <w:tc>
          <w:tcPr>
            <w:tcW w:w="200" w:type="dxa"/>
            <w:vAlign w:val="bottom"/>
            <w:tcBorders>
              <w:top w:val="single" w:sz="8" w:color="auto"/>
            </w:tcBorders>
            <w:gridSpan w:val="7"/>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with the Commission on June 2, 2017).</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85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Articles of Conversion (incorporated herein by reference to Exhibit 3.1 to the Registrant’s Current Report on Form 8-K</w:t>
              </w:r>
            </w:hyperlink>
          </w:p>
        </w:tc>
        <w:tc>
          <w:tcPr>
            <w:tcW w:w="34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filed with the Commission on June 2, 2017).</w:t>
              </w:r>
            </w:hyperlink>
          </w:p>
        </w:tc>
        <w:tc>
          <w:tcPr>
            <w:tcW w:w="5720" w:type="dxa"/>
            <w:vAlign w:val="bottom"/>
            <w:gridSpan w:val="30"/>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Certificate of Conversion (incorporated herein by reference to Exhibit 3.2 to the Registrant’s Current Report on Form 8-K</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filed with the Commission on June 2, 2017).</w:t>
              </w:r>
            </w:hyperlink>
          </w:p>
        </w:tc>
        <w:tc>
          <w:tcPr>
            <w:tcW w:w="5560" w:type="dxa"/>
            <w:vAlign w:val="bottom"/>
            <w:tcBorders>
              <w:top w:val="single" w:sz="8" w:color="0000EE"/>
            </w:tcBorders>
            <w:gridSpan w:val="24"/>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87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Certificate of Incorporation (incorporated herein by reference to Exhibit 3.3 to the Registrant’s Current Report on Form 8-</w:t>
              </w:r>
            </w:hyperlink>
          </w:p>
        </w:tc>
        <w:tc>
          <w:tcPr>
            <w:tcW w:w="12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K filed with the Commission on June 2, 2017).</w:t>
              </w:r>
            </w:hyperlink>
          </w:p>
        </w:tc>
        <w:tc>
          <w:tcPr>
            <w:tcW w:w="5540" w:type="dxa"/>
            <w:vAlign w:val="bottom"/>
            <w:gridSpan w:val="28"/>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Certificate of Designations of Rights, Preferences and Privileges of Series A Convertible Preferred Stock (incorporated</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herein by reference to Exhibit 3.4 to the Registrant’s Post-Effective Amendment No. 1 to the Registration Statement on</w:t>
              </w:r>
            </w:hyperlink>
          </w:p>
        </w:tc>
        <w:tc>
          <w:tcPr>
            <w:tcW w:w="34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Form S-3 (file no. 333-214073) filed with the Commission on July 31, 2017).</w:t>
              </w:r>
            </w:hyperlink>
          </w:p>
        </w:tc>
        <w:tc>
          <w:tcPr>
            <w:tcW w:w="3340" w:type="dxa"/>
            <w:vAlign w:val="bottom"/>
            <w:gridSpan w:val="2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Certificate of Designations of Rights, Preferences and Privileges of Series B Preferred Stock (incorporated herein by</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reference to Exhibit 3.5 to the Registrant’s Post-Effective Amendment No. 1 to the Registration Statement on Form S-3</w:t>
              </w:r>
            </w:hyperlink>
          </w:p>
        </w:tc>
        <w:tc>
          <w:tcPr>
            <w:tcW w:w="32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(file no. 333-214073 incorporated by reference into file no. 333-212373) filed with the Commission on July 31, 2017).</w:t>
              </w:r>
            </w:hyperlink>
          </w:p>
        </w:tc>
        <w:tc>
          <w:tcPr>
            <w:tcW w:w="360" w:type="dxa"/>
            <w:vAlign w:val="bottom"/>
            <w:gridSpan w:val="1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Certificate of Amendment of Certificate of Incorporation (incorporated herein by reference to Exhibit 3.1 to the</w:t>
              </w:r>
            </w:hyperlink>
          </w:p>
        </w:tc>
        <w:tc>
          <w:tcPr>
            <w:tcW w:w="880" w:type="dxa"/>
            <w:vAlign w:val="bottom"/>
            <w:gridSpan w:val="1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Registrant’s Current Report on Form 8-K filed with the Commission on June 27, 2017).</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80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Certificate of Amendment of Certificate of Incorporation (incorporated herein by reference to Exhibit 3.1 to the</w:t>
              </w:r>
            </w:hyperlink>
          </w:p>
        </w:tc>
        <w:tc>
          <w:tcPr>
            <w:tcW w:w="880" w:type="dxa"/>
            <w:vAlign w:val="bottom"/>
            <w:gridSpan w:val="1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Registrant’s Current Report on Form 8 K filed with the Commission on June 11, 2019).</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87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Second Amended and Restated Bylaws (incorporated herein by reference to Exhibit 3.1 to the Registrant’s Current Report</w:t>
              </w:r>
            </w:hyperlink>
          </w:p>
        </w:tc>
        <w:tc>
          <w:tcPr>
            <w:tcW w:w="12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on Form 8-K filed with the Commission on April 26, 2021).</w:t>
              </w:r>
            </w:hyperlink>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7"/>
              </w:rPr>
            </w:pPr>
            <w:hyperlink r:id="rId125">
              <w:r>
                <w:rPr>
                  <w:rFonts w:ascii="Arial" w:cs="Arial" w:eastAsia="Arial" w:hAnsi="Arial"/>
                  <w:sz w:val="18"/>
                  <w:szCs w:val="18"/>
                  <w:color w:val="0000EE"/>
                  <w:w w:val="97"/>
                </w:rPr>
                <w:t>Specimen of Stock Certificate (incorporated herein by reference to Exhibit 4.2 to the Registrant’s Annual Report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Form 10-K filed with the Commission on March 12, 2018).</w:t>
              </w:r>
            </w:hyperlink>
          </w:p>
        </w:tc>
        <w:tc>
          <w:tcPr>
            <w:tcW w:w="4060" w:type="dxa"/>
            <w:vAlign w:val="bottom"/>
            <w:tcBorders>
              <w:top w:val="single" w:sz="8" w:color="0000EE"/>
            </w:tcBorders>
            <w:gridSpan w:val="12"/>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88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Description of Securities (incorporated herein by reference to Exhibit 4.3 to the Registrant’s Annual Report on Form 10-K</w:t>
              </w:r>
            </w:hyperlink>
          </w:p>
        </w:tc>
        <w:tc>
          <w:tcPr>
            <w:tcW w:w="1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filed with the Commission on March 6, 2019).</w:t>
              </w:r>
            </w:hyperlink>
          </w:p>
        </w:tc>
        <w:tc>
          <w:tcPr>
            <w:tcW w:w="5580" w:type="dxa"/>
            <w:vAlign w:val="bottom"/>
            <w:gridSpan w:val="29"/>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86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Genesis Biopharma, Inc. 2011 Equity Incentive Plan (incorporated herein by reference to Exhibit 10.3 to the Registrant’s</w:t>
              </w:r>
            </w:hyperlink>
          </w:p>
        </w:tc>
        <w:tc>
          <w:tcPr>
            <w:tcW w:w="22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Current Report on Form 8 K filed with the Commission on October 20, 2011).#</w:t>
              </w:r>
            </w:hyperlink>
          </w:p>
        </w:tc>
        <w:tc>
          <w:tcPr>
            <w:tcW w:w="3200" w:type="dxa"/>
            <w:vAlign w:val="bottom"/>
            <w:gridSpan w:val="2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86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Form of Incentive Stock Option Agreement under the Genesis Biopharma Inc. 2011 Equity Incentive Plan (incorporated</w:t>
              </w:r>
            </w:hyperlink>
          </w:p>
        </w:tc>
        <w:tc>
          <w:tcPr>
            <w:tcW w:w="26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9"/>
              </w:rPr>
            </w:pPr>
            <w:hyperlink r:id="rId128">
              <w:r>
                <w:rPr>
                  <w:rFonts w:ascii="Arial" w:cs="Arial" w:eastAsia="Arial" w:hAnsi="Arial"/>
                  <w:sz w:val="18"/>
                  <w:szCs w:val="18"/>
                  <w:color w:val="0000EE"/>
                  <w:w w:val="99"/>
                </w:rPr>
                <w:t>herein by reference to Exhibit 10.4 to the Registrant’s Annual Report on Form 10-K filed with the Commission 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February 25, 2020).#</w:t>
              </w:r>
            </w:hyperlink>
          </w:p>
        </w:tc>
        <w:tc>
          <w:tcPr>
            <w:tcW w:w="6700" w:type="dxa"/>
            <w:vAlign w:val="bottom"/>
            <w:tcBorders>
              <w:top w:val="single" w:sz="8" w:color="0000EE"/>
            </w:tcBorders>
            <w:gridSpan w:val="18"/>
          </w:tcPr>
          <w:p>
            <w:pPr>
              <w:spacing w:after="0"/>
              <w:rPr>
                <w:sz w:val="17"/>
                <w:szCs w:val="17"/>
                <w:color w:val="auto"/>
              </w:rPr>
            </w:pPr>
          </w:p>
        </w:tc>
        <w:tc>
          <w:tcPr>
            <w:tcW w:w="700" w:type="dxa"/>
            <w:vAlign w:val="bottom"/>
            <w:gridSpan w:val="1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80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Form of Non-Qualified Stock Option Agreement under the Genesis Biopharma Inc. 2011 Equity Incentive Plan</w:t>
              </w:r>
            </w:hyperlink>
          </w:p>
        </w:tc>
        <w:tc>
          <w:tcPr>
            <w:tcW w:w="900" w:type="dxa"/>
            <w:vAlign w:val="bottom"/>
            <w:gridSpan w:val="2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(incorporated herein by reference to Exhibit 10.5 to the Registrant’s Annual Report on Form 10-K filed with the</w:t>
              </w:r>
            </w:hyperlink>
          </w:p>
        </w:tc>
        <w:tc>
          <w:tcPr>
            <w:tcW w:w="86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Commission on February 25, 2020).#</w:t>
              </w:r>
            </w:hyperlink>
          </w:p>
        </w:tc>
        <w:tc>
          <w:tcPr>
            <w:tcW w:w="6220" w:type="dxa"/>
            <w:vAlign w:val="bottom"/>
            <w:gridSpan w:val="3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Lion Biotechnologies, Inc. 2014 Equity Incentive Plan, as amended (incorporated herein by reference to Appendix A to the</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Registrant’s Definitive Proxy Statement on Schedule 14A filed with the Commission on July 7, 2016).#</w:t>
              </w:r>
            </w:hyperlink>
          </w:p>
        </w:tc>
        <w:tc>
          <w:tcPr>
            <w:tcW w:w="60" w:type="dxa"/>
            <w:vAlign w:val="bottom"/>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80" w:type="dxa"/>
            <w:vAlign w:val="bottom"/>
            <w:gridSpan w:val="9"/>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Form of Incentive Stock Option Agreement under the Lion Biotechnologies, Inc. 2014 Equity Incentive Plan (incorporated</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Borders>
              <w:top w:val="single" w:sz="8" w:color="0000EE"/>
            </w:tcBorders>
            <w:gridSpan w:val="33"/>
          </w:tcPr>
          <w:p>
            <w:pPr>
              <w:spacing w:after="0" w:line="196" w:lineRule="exact"/>
              <w:rPr>
                <w:rFonts w:ascii="Arial" w:cs="Arial" w:eastAsia="Arial" w:hAnsi="Arial"/>
                <w:sz w:val="18"/>
                <w:szCs w:val="18"/>
                <w:color w:val="0000EE"/>
                <w:w w:val="98"/>
              </w:rPr>
            </w:pPr>
            <w:hyperlink r:id="rId131">
              <w:r>
                <w:rPr>
                  <w:rFonts w:ascii="Arial" w:cs="Arial" w:eastAsia="Arial" w:hAnsi="Arial"/>
                  <w:sz w:val="18"/>
                  <w:szCs w:val="18"/>
                  <w:color w:val="0000EE"/>
                  <w:w w:val="98"/>
                </w:rPr>
                <w:t>herein by reference to Exhibit 10.7 to the Registrant’s Annual Report on Form 10-K filed with the Commission on</w:t>
              </w:r>
            </w:hyperlink>
          </w:p>
        </w:tc>
        <w:tc>
          <w:tcPr>
            <w:tcW w:w="8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February 25, 2020).#</w:t>
              </w:r>
            </w:hyperlink>
          </w:p>
        </w:tc>
        <w:tc>
          <w:tcPr>
            <w:tcW w:w="6700" w:type="dxa"/>
            <w:vAlign w:val="bottom"/>
            <w:tcBorders>
              <w:top w:val="single" w:sz="8" w:color="0000EE"/>
            </w:tcBorders>
            <w:gridSpan w:val="18"/>
          </w:tcPr>
          <w:p>
            <w:pPr>
              <w:spacing w:after="0"/>
              <w:rPr>
                <w:sz w:val="17"/>
                <w:szCs w:val="17"/>
                <w:color w:val="auto"/>
              </w:rPr>
            </w:pPr>
          </w:p>
        </w:tc>
        <w:tc>
          <w:tcPr>
            <w:tcW w:w="700" w:type="dxa"/>
            <w:vAlign w:val="bottom"/>
            <w:gridSpan w:val="16"/>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Form of Non-Qualified Stock Option Agreement under the Lion Biotechnologies, Inc. 2014 Equity Incentive Plan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(incorporated herein by reference to Exhibit 10.8 to the Registrant’s Annual Report on Form 10-K filed with the</w:t>
              </w:r>
            </w:hyperlink>
          </w:p>
        </w:tc>
        <w:tc>
          <w:tcPr>
            <w:tcW w:w="140" w:type="dxa"/>
            <w:vAlign w:val="bottom"/>
            <w:tcBorders>
              <w:top w:val="single" w:sz="8" w:color="0000EE"/>
            </w:tcBorders>
          </w:tcPr>
          <w:p>
            <w:pPr>
              <w:spacing w:after="0"/>
              <w:rPr>
                <w:sz w:val="17"/>
                <w:szCs w:val="17"/>
                <w:color w:val="auto"/>
              </w:rPr>
            </w:pPr>
          </w:p>
        </w:tc>
        <w:tc>
          <w:tcPr>
            <w:tcW w:w="72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Commission on February 25, 2020).#</w:t>
              </w:r>
            </w:hyperlink>
          </w:p>
        </w:tc>
        <w:tc>
          <w:tcPr>
            <w:tcW w:w="6220" w:type="dxa"/>
            <w:vAlign w:val="bottom"/>
            <w:gridSpan w:val="3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87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Iovance Biotherapeutics, Inc. 2018 Equity Incentive Plan, as amended (incorporated herein by reference to Exhibit 10.2 to</w:t>
              </w:r>
            </w:hyperlink>
          </w:p>
        </w:tc>
        <w:tc>
          <w:tcPr>
            <w:tcW w:w="12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the Registrant’s Current Report on Form 8-K filed with the Commission on June 9, 2020).#</w:t>
              </w:r>
            </w:hyperlink>
          </w:p>
        </w:tc>
        <w:tc>
          <w:tcPr>
            <w:tcW w:w="2340" w:type="dxa"/>
            <w:vAlign w:val="bottom"/>
            <w:gridSpan w:val="2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7"/>
                <w:szCs w:val="17"/>
                <w:color w:val="auto"/>
              </w:rPr>
            </w:pPr>
          </w:p>
        </w:tc>
        <w:tc>
          <w:tcPr>
            <w:tcW w:w="80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Form of Incentive Stock Option Agreement under the Iovance Biotherapeutics, Inc. 2018 Equity Incentive Plan</w:t>
              </w:r>
            </w:hyperlink>
          </w:p>
        </w:tc>
        <w:tc>
          <w:tcPr>
            <w:tcW w:w="900" w:type="dxa"/>
            <w:vAlign w:val="bottom"/>
            <w:gridSpan w:val="2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(incorporated herein by reference to Exhibit 10.10 of Registrant’s Annual Report on Form 10-K filed with the Commission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on February 25, 2020).#</w:t>
              </w:r>
            </w:hyperlink>
          </w:p>
        </w:tc>
        <w:tc>
          <w:tcPr>
            <w:tcW w:w="7100" w:type="dxa"/>
            <w:vAlign w:val="bottom"/>
            <w:tcBorders>
              <w:top w:val="single" w:sz="8" w:color="0000EE"/>
            </w:tcBorders>
            <w:gridSpan w:val="31"/>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83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Form of Non-Qualified Stock Option Agreement under the Iovance Biotherapeutics, Inc. 2018 Equity Incentive Plan</w:t>
              </w:r>
            </w:hyperlink>
          </w:p>
        </w:tc>
        <w:tc>
          <w:tcPr>
            <w:tcW w:w="52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(incorporated herein by reference to Exhibit 10.11 of Registrant’s Annual report on Form 10-K filed with the Commission</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on February 25, 2020).#</w:t>
              </w:r>
            </w:hyperlink>
          </w:p>
        </w:tc>
        <w:tc>
          <w:tcPr>
            <w:tcW w:w="7040" w:type="dxa"/>
            <w:vAlign w:val="bottom"/>
            <w:tcBorders>
              <w:top w:val="single" w:sz="8" w:color="0000EE"/>
            </w:tcBorders>
            <w:gridSpan w:val="28"/>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7"/>
                <w:szCs w:val="17"/>
                <w:color w:val="auto"/>
              </w:rPr>
            </w:pPr>
          </w:p>
        </w:tc>
        <w:tc>
          <w:tcPr>
            <w:tcW w:w="88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Form of Stock Unit Notice and Stock Unit Agreement under the Iovance Biotherapeutics, Inc. 2018 Equity Incentive Plan,</w:t>
              </w:r>
            </w:hyperlink>
          </w:p>
        </w:tc>
        <w:tc>
          <w:tcPr>
            <w:tcW w:w="10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as amended (June 2021 Retention Equity Awards) (incorporated herein by reference to Exhibit 10.2 to the Registrant’s</w:t>
              </w:r>
            </w:hyperlink>
          </w:p>
        </w:tc>
        <w:tc>
          <w:tcPr>
            <w:tcW w:w="40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00" w:type="dxa"/>
            <w:vAlign w:val="bottom"/>
            <w:gridSpan w:val="35"/>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Quarterly Report on Form 10-Q filed with the Commission on August 5, 2021).#</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20" w:hanging="985"/>
        <w:spacing w:after="0" w:line="255"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8">
        <w:r>
          <w:rPr>
            <w:rFonts w:ascii="Arial" w:cs="Arial" w:eastAsia="Arial" w:hAnsi="Arial"/>
            <w:sz w:val="18"/>
            <w:szCs w:val="18"/>
            <w:u w:val="single" w:color="auto"/>
            <w:color w:val="0000EE"/>
          </w:rPr>
          <w:t>Form of Nonqualified Stock Option Award Agreement under the Iovance Biotherapeutics, Inc. 2018 Equity Incentive Plan,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as amended (June 2021 Retention Equity Awards) (incorporated herein by reference to Exhibit 10.3 to the Registrant’s</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Current Report on Form 10-Q filed with the Commission on August 5, 2021).#</w:t>
        </w:r>
      </w:hyperlink>
    </w:p>
    <w:p>
      <w:pPr>
        <w:spacing w:after="0" w:line="3" w:lineRule="exact"/>
        <w:rPr>
          <w:rFonts w:ascii="Arial" w:cs="Arial" w:eastAsia="Arial" w:hAnsi="Arial"/>
          <w:sz w:val="18"/>
          <w:szCs w:val="18"/>
          <w:u w:val="single" w:color="auto"/>
          <w:color w:val="0000EE"/>
        </w:rPr>
      </w:pPr>
    </w:p>
    <w:p>
      <w:pPr>
        <w:ind w:left="1000" w:right="6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9">
        <w:r>
          <w:rPr>
            <w:rFonts w:ascii="Arial" w:cs="Arial" w:eastAsia="Arial" w:hAnsi="Arial"/>
            <w:sz w:val="18"/>
            <w:szCs w:val="18"/>
            <w:u w:val="single" w:color="auto"/>
            <w:color w:val="0000EE"/>
          </w:rPr>
          <w:t>Iovance Biotherapeutics, Inc, 2020 Employee Stock Purchase Plan (incorporated herein by reference to Exhibit 10.1 to the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Registrant’s Current Report on Form 8-K filed with the Commission on June 9, 2020).#</w:t>
        </w:r>
      </w:hyperlink>
    </w:p>
    <w:p>
      <w:pPr>
        <w:spacing w:after="0" w:line="1"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w:anchor="page140">
        <w:r>
          <w:rPr>
            <w:rFonts w:ascii="Arial" w:cs="Arial" w:eastAsia="Arial" w:hAnsi="Arial"/>
            <w:sz w:val="16"/>
            <w:szCs w:val="16"/>
            <w:u w:val="single" w:color="auto"/>
            <w:color w:val="0000EE"/>
          </w:rPr>
          <w:t>Iovance Biotherapeutics, Inc. Amended and Restated 2021 Inducement Plan.#**</w:t>
        </w:r>
      </w:hyperlink>
    </w:p>
    <w:p>
      <w:pPr>
        <w:spacing w:after="0" w:line="9" w:lineRule="exact"/>
        <w:rPr>
          <w:sz w:val="20"/>
          <w:szCs w:val="20"/>
          <w:color w:val="auto"/>
        </w:rPr>
      </w:pPr>
    </w:p>
    <w:p>
      <w:pPr>
        <w:ind w:left="1000" w:right="36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40">
        <w:r>
          <w:rPr>
            <w:rFonts w:ascii="Arial" w:cs="Arial" w:eastAsia="Arial" w:hAnsi="Arial"/>
            <w:sz w:val="18"/>
            <w:szCs w:val="18"/>
            <w:u w:val="single" w:color="auto"/>
            <w:color w:val="0000EE"/>
          </w:rPr>
          <w:t>Form of Stock Option Grant Notice and Stock Option Agreement under the 2021 Inducement Plan (incorporated by</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reference to Exhibit 10.2 to the Registrant’s Current Report on Form 8-K filed with the Commission on September 23,</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2021).#</w:t>
        </w:r>
      </w:hyperlink>
    </w:p>
    <w:p>
      <w:pPr>
        <w:spacing w:after="0" w:line="1" w:lineRule="exact"/>
        <w:rPr>
          <w:rFonts w:ascii="Arial" w:cs="Arial" w:eastAsia="Arial" w:hAnsi="Arial"/>
          <w:sz w:val="18"/>
          <w:szCs w:val="18"/>
          <w:u w:val="single" w:color="auto"/>
          <w:color w:val="0000EE"/>
        </w:rPr>
      </w:pPr>
    </w:p>
    <w:p>
      <w:pPr>
        <w:ind w:left="1000" w:right="2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41">
        <w:r>
          <w:rPr>
            <w:rFonts w:ascii="Arial" w:cs="Arial" w:eastAsia="Arial" w:hAnsi="Arial"/>
            <w:sz w:val="18"/>
            <w:szCs w:val="18"/>
            <w:u w:val="single" w:color="auto"/>
            <w:color w:val="0000EE"/>
          </w:rPr>
          <w:t>Form of Restricted Stock Unit Grant Notice and Restricted Stock Unit Agreement under the 2021 Inducement Plan</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(incorporated by reference to Exhibit 10.3 to the Registrant’s Current Report on Form 8-K filed with the Commission on</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September 23, 2021).#</w:t>
        </w:r>
      </w:hyperlink>
    </w:p>
    <w:p>
      <w:pPr>
        <w:spacing w:after="0" w:line="1" w:lineRule="exact"/>
        <w:rPr>
          <w:rFonts w:ascii="Arial" w:cs="Arial" w:eastAsia="Arial" w:hAnsi="Arial"/>
          <w:sz w:val="18"/>
          <w:szCs w:val="18"/>
          <w:u w:val="single" w:color="auto"/>
          <w:color w:val="0000EE"/>
        </w:rPr>
      </w:pPr>
    </w:p>
    <w:p>
      <w:pPr>
        <w:ind w:left="1000" w:right="1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42">
        <w:r>
          <w:rPr>
            <w:rFonts w:ascii="Arial" w:cs="Arial" w:eastAsia="Arial" w:hAnsi="Arial"/>
            <w:sz w:val="18"/>
            <w:szCs w:val="18"/>
            <w:u w:val="single" w:color="auto"/>
            <w:color w:val="0000EE"/>
          </w:rPr>
          <w:t>Patent License Agreement by and between Genesis Biopharma, Inc. and the National Institutes of Health effective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October 5, 2011 (incorporated herein by reference to Exhibit 10.1 to the Registrant’s Current Report on Form 8-K/A filed</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with the Commission on December 13, 2011).*</w:t>
        </w:r>
      </w:hyperlink>
    </w:p>
    <w:p>
      <w:pPr>
        <w:spacing w:after="0" w:line="1" w:lineRule="exact"/>
        <w:rPr>
          <w:rFonts w:ascii="Arial" w:cs="Arial" w:eastAsia="Arial" w:hAnsi="Arial"/>
          <w:sz w:val="18"/>
          <w:szCs w:val="18"/>
          <w:u w:val="single" w:color="auto"/>
          <w:color w:val="0000EE"/>
        </w:rPr>
      </w:pPr>
    </w:p>
    <w:p>
      <w:pPr>
        <w:ind w:left="1000" w:right="80" w:hanging="985"/>
        <w:spacing w:after="0" w:line="265"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10.17</w:t>
      </w:r>
      <w:r>
        <w:rPr>
          <w:sz w:val="20"/>
          <w:szCs w:val="20"/>
          <w:color w:val="auto"/>
        </w:rPr>
        <w:tab/>
      </w:r>
      <w:hyperlink r:id="rId143">
        <w:r>
          <w:rPr>
            <w:rFonts w:ascii="Arial" w:cs="Arial" w:eastAsia="Arial" w:hAnsi="Arial"/>
            <w:sz w:val="17"/>
            <w:szCs w:val="17"/>
            <w:u w:val="single" w:color="auto"/>
            <w:color w:val="0000EE"/>
          </w:rPr>
          <w:t>Cooperative Research and Development Agreement for Intramural-PHS Clinical Research, dated August 5, 2011, by and</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between the U.S. Department of Health and Human Services, as represented by the National Cancer Institute, and Genesis</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Biopharma, Inc. (incorporated herein by reference to Exhibit 10.1 to the Registrant’s Current Report on Form 8-K/A</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(Amendment No. 2) filed with the Commission on November 29, 2011).</w:t>
        </w:r>
      </w:hyperlink>
    </w:p>
    <w:p>
      <w:pPr>
        <w:spacing w:after="0" w:line="1" w:lineRule="exact"/>
        <w:rPr>
          <w:rFonts w:ascii="Arial" w:cs="Arial" w:eastAsia="Arial" w:hAnsi="Arial"/>
          <w:sz w:val="17"/>
          <w:szCs w:val="17"/>
          <w:u w:val="single" w:color="auto"/>
          <w:color w:val="0000EE"/>
        </w:rPr>
      </w:pPr>
    </w:p>
    <w:p>
      <w:pPr>
        <w:ind w:left="1000" w:right="32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4">
        <w:r>
          <w:rPr>
            <w:rFonts w:ascii="Arial" w:cs="Arial" w:eastAsia="Arial" w:hAnsi="Arial"/>
            <w:sz w:val="18"/>
            <w:szCs w:val="18"/>
            <w:u w:val="single" w:color="auto"/>
            <w:color w:val="0000EE"/>
          </w:rPr>
          <w:t>Form of Director Stock Award Agreement (incorporated herein by reference to Exhibit 10.2 to the Registrant’s Current</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Report on Form 8-K filed with the Commission on July 25, 2013).#</w:t>
        </w:r>
      </w:hyperlink>
    </w:p>
    <w:p>
      <w:pPr>
        <w:spacing w:after="0" w:line="1" w:lineRule="exact"/>
        <w:rPr>
          <w:sz w:val="20"/>
          <w:szCs w:val="20"/>
          <w:color w:val="auto"/>
        </w:rPr>
      </w:pPr>
    </w:p>
    <w:p>
      <w:pPr>
        <w:jc w:val="both"/>
        <w:ind w:left="1000" w:right="9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45">
        <w:r>
          <w:rPr>
            <w:rFonts w:ascii="Arial" w:cs="Arial" w:eastAsia="Arial" w:hAnsi="Arial"/>
            <w:sz w:val="18"/>
            <w:szCs w:val="18"/>
            <w:u w:val="single" w:color="auto"/>
            <w:color w:val="0000EE"/>
          </w:rPr>
          <w:t>Form of Registration Rights Agreement by and among Lion Biotechnologies, Inc. and the Investors thereunder</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(incorporated herein by reference to Exhibit 10.2 to the Registrant’s Current Report on Form 8-K filed with the</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Commission on October 31, 2013).</w:t>
        </w:r>
      </w:hyperlink>
    </w:p>
    <w:p>
      <w:pPr>
        <w:spacing w:after="0" w:line="1" w:lineRule="exact"/>
        <w:rPr>
          <w:rFonts w:ascii="Arial" w:cs="Arial" w:eastAsia="Arial" w:hAnsi="Arial"/>
          <w:sz w:val="18"/>
          <w:szCs w:val="18"/>
          <w:u w:val="single" w:color="auto"/>
          <w:color w:val="0000EE"/>
        </w:rPr>
      </w:pPr>
    </w:p>
    <w:p>
      <w:pPr>
        <w:ind w:left="1000" w:right="1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46">
        <w:r>
          <w:rPr>
            <w:rFonts w:ascii="Arial" w:cs="Arial" w:eastAsia="Arial" w:hAnsi="Arial"/>
            <w:sz w:val="18"/>
            <w:szCs w:val="18"/>
            <w:u w:val="single" w:color="auto"/>
            <w:color w:val="0000EE"/>
          </w:rPr>
          <w:t>Cooperative Research and Development Agreement for the Development and Evaluation of the NCI Proprietary Adoptive</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Cell Transfer Immunotherapy Using Tumor Infiltrating Lymphocytes in Patients with Metastatic Melanoma, Bladder,</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Lung, Triple-negative Breast, and HPV-associated Cancers, Utilizing Lion Biotechnologies, Inc.’s Business Development</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Expertise in Adoptive Cell Transfer Immunotherapy, executed by Lion Biotechnologies, Inc. on January 22, 2015</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(incorporated herein by reference to Exhibit 10.1 to the Registrant’s Current Report on Form 8-K filed with the</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Commission on January 27, 2015).*</w:t>
        </w:r>
      </w:hyperlink>
    </w:p>
    <w:p>
      <w:pPr>
        <w:spacing w:after="0" w:line="2" w:lineRule="exact"/>
        <w:rPr>
          <w:rFonts w:ascii="Arial" w:cs="Arial" w:eastAsia="Arial" w:hAnsi="Arial"/>
          <w:sz w:val="18"/>
          <w:szCs w:val="18"/>
          <w:u w:val="single" w:color="auto"/>
          <w:color w:val="0000EE"/>
        </w:rPr>
      </w:pPr>
    </w:p>
    <w:p>
      <w:pPr>
        <w:jc w:val="both"/>
        <w:ind w:left="1000" w:right="2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47">
        <w:r>
          <w:rPr>
            <w:rFonts w:ascii="Arial" w:cs="Arial" w:eastAsia="Arial" w:hAnsi="Arial"/>
            <w:sz w:val="18"/>
            <w:szCs w:val="18"/>
            <w:u w:val="single" w:color="auto"/>
            <w:color w:val="0000EE"/>
          </w:rPr>
          <w:t>Patent License Agreement, dated February 9, 2015, by and between Lion Biotechnologies, Inc. and the National Institutes</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of Health (incorporated herein by reference to Exhibit 10.47 to the Registrant’s Annual Report on Form 10 K filed with the</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Commission on March 16, 2015).*</w:t>
        </w:r>
      </w:hyperlink>
    </w:p>
    <w:p>
      <w:pPr>
        <w:spacing w:after="0" w:line="1" w:lineRule="exact"/>
        <w:rPr>
          <w:rFonts w:ascii="Arial" w:cs="Arial" w:eastAsia="Arial" w:hAnsi="Arial"/>
          <w:sz w:val="18"/>
          <w:szCs w:val="18"/>
          <w:u w:val="single" w:color="auto"/>
          <w:color w:val="0000EE"/>
        </w:rPr>
      </w:pPr>
    </w:p>
    <w:p>
      <w:pPr>
        <w:jc w:val="both"/>
        <w:ind w:left="1000" w:right="2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48">
        <w:r>
          <w:rPr>
            <w:rFonts w:ascii="Arial" w:cs="Arial" w:eastAsia="Arial" w:hAnsi="Arial"/>
            <w:sz w:val="18"/>
            <w:szCs w:val="18"/>
            <w:u w:val="single" w:color="auto"/>
            <w:color w:val="0000EE"/>
          </w:rPr>
          <w:t>Patent License Agreement, dated February 10, 2015, by and between Lion Biotechnologies, Inc. and the National Institutes</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of Health (incorporated herein by reference to Exhibit 10.46 to the Registrant’s Annual Report on Form 10-K filed with the</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Commission on March 16, 2015).*</w:t>
        </w:r>
      </w:hyperlink>
    </w:p>
    <w:p>
      <w:pPr>
        <w:spacing w:after="0" w:line="1" w:lineRule="exact"/>
        <w:rPr>
          <w:rFonts w:ascii="Arial" w:cs="Arial" w:eastAsia="Arial" w:hAnsi="Arial"/>
          <w:sz w:val="18"/>
          <w:szCs w:val="18"/>
          <w:u w:val="single" w:color="auto"/>
          <w:color w:val="0000EE"/>
        </w:rPr>
      </w:pPr>
    </w:p>
    <w:p>
      <w:pPr>
        <w:jc w:val="both"/>
        <w:ind w:left="1000" w:right="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49">
        <w:r>
          <w:rPr>
            <w:rFonts w:ascii="Arial" w:cs="Arial" w:eastAsia="Arial" w:hAnsi="Arial"/>
            <w:sz w:val="18"/>
            <w:szCs w:val="18"/>
            <w:u w:val="single" w:color="auto"/>
            <w:color w:val="0000EE"/>
          </w:rPr>
          <w:t>First Amendment to Patent License Agreement, effective October 2, 2015, by and between Lion Biotechnologies, Inc. and</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the National Institutes of Health (incorporated herein by reference to Exhibit 10.47 to the Registrant’s Quarterly Report on</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Form 10-Q filed with the Commission on November 6, 2015).*</w:t>
        </w:r>
      </w:hyperlink>
    </w:p>
    <w:p>
      <w:pPr>
        <w:spacing w:after="0" w:line="1" w:lineRule="exact"/>
        <w:rPr>
          <w:rFonts w:ascii="Arial" w:cs="Arial" w:eastAsia="Arial" w:hAnsi="Arial"/>
          <w:sz w:val="18"/>
          <w:szCs w:val="18"/>
          <w:u w:val="single" w:color="auto"/>
          <w:color w:val="0000EE"/>
        </w:rPr>
      </w:pPr>
    </w:p>
    <w:p>
      <w:pPr>
        <w:ind w:left="1000" w:right="26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50">
        <w:r>
          <w:rPr>
            <w:rFonts w:ascii="Arial" w:cs="Arial" w:eastAsia="Arial" w:hAnsi="Arial"/>
            <w:sz w:val="18"/>
            <w:szCs w:val="18"/>
            <w:u w:val="single" w:color="auto"/>
            <w:color w:val="0000EE"/>
          </w:rPr>
          <w:t>Amended and Restated Patent License Agreement, by and between Iovance Biotherapeutics, Inc. and the National</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Institutes of Health (incorporated herein by reference to Exhibit 10.1 to the Registrant’s Quarterly Report on Form 10 Q</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filed with the Commission on August 5, 2021).*</w:t>
        </w:r>
      </w:hyperlink>
    </w:p>
    <w:p>
      <w:pPr>
        <w:spacing w:after="0" w:line="1" w:lineRule="exact"/>
        <w:rPr>
          <w:rFonts w:ascii="Arial" w:cs="Arial" w:eastAsia="Arial" w:hAnsi="Arial"/>
          <w:sz w:val="18"/>
          <w:szCs w:val="18"/>
          <w:u w:val="single" w:color="auto"/>
          <w:color w:val="0000EE"/>
        </w:rPr>
      </w:pPr>
    </w:p>
    <w:p>
      <w:pPr>
        <w:ind w:left="1000" w:right="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51">
        <w:r>
          <w:rPr>
            <w:rFonts w:ascii="Arial" w:cs="Arial" w:eastAsia="Arial" w:hAnsi="Arial"/>
            <w:sz w:val="18"/>
            <w:szCs w:val="18"/>
            <w:u w:val="single" w:color="auto"/>
            <w:color w:val="0000EE"/>
          </w:rPr>
          <w:t>Form of Securities Purchase Agreement, dated June 2, 2016, by and among Lion Biotechnologies, Inc. and the Investors</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thereunder (incorporated herein by reference to Exhibit 10.1 to the Registrant’s Current Report on Form 8-K filed with the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Commission on June 3, 2016).</w:t>
        </w:r>
      </w:hyperlink>
    </w:p>
    <w:p>
      <w:pPr>
        <w:spacing w:after="0" w:line="1" w:lineRule="exact"/>
        <w:rPr>
          <w:rFonts w:ascii="Arial" w:cs="Arial" w:eastAsia="Arial" w:hAnsi="Arial"/>
          <w:sz w:val="18"/>
          <w:szCs w:val="18"/>
          <w:u w:val="single" w:color="auto"/>
          <w:color w:val="0000EE"/>
        </w:rPr>
      </w:pPr>
    </w:p>
    <w:p>
      <w:pPr>
        <w:ind w:left="1000" w:right="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52">
        <w:r>
          <w:rPr>
            <w:rFonts w:ascii="Arial" w:cs="Arial" w:eastAsia="Arial" w:hAnsi="Arial"/>
            <w:sz w:val="18"/>
            <w:szCs w:val="18"/>
            <w:u w:val="single" w:color="auto"/>
            <w:color w:val="0000EE"/>
          </w:rPr>
          <w:t>Form of Registration Rights Agreement, dated June 2, 2016, by and among Lion Biotechnologies, Inc. and the Investors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thereunder (incorporated herein by reference to Exhibit 10.2 to the Registrant’s Current Report on Form 8-K filed with the</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Commission on June 3, 2016).</w:t>
        </w:r>
      </w:hyperlink>
    </w:p>
    <w:p>
      <w:pPr>
        <w:spacing w:after="0" w:line="1" w:lineRule="exact"/>
        <w:rPr>
          <w:rFonts w:ascii="Arial" w:cs="Arial" w:eastAsia="Arial" w:hAnsi="Arial"/>
          <w:sz w:val="18"/>
          <w:szCs w:val="18"/>
          <w:u w:val="single" w:color="auto"/>
          <w:color w:val="0000EE"/>
        </w:rPr>
      </w:pPr>
    </w:p>
    <w:p>
      <w:pPr>
        <w:ind w:left="1000" w:hanging="985"/>
        <w:spacing w:after="0" w:line="281"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153">
        <w:r>
          <w:rPr>
            <w:rFonts w:ascii="Arial" w:cs="Arial" w:eastAsia="Arial" w:hAnsi="Arial"/>
            <w:sz w:val="16"/>
            <w:szCs w:val="16"/>
            <w:u w:val="single" w:color="auto"/>
            <w:color w:val="0000EE"/>
          </w:rPr>
          <w:t>Amendment #2 to the Cooperative Research and Development Agreement #02734, dated August 18, 2016, by and between</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the National Cancer Institute and Lion Biotechnologies, Inc. (incorporated herein by reference to Exhibit 10.3 to</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Amendment No. 2 to Registrant’s Registration Statement on Form S 1 filed with the Commission on August 31, 2016).</w:t>
        </w:r>
      </w:hyperlink>
    </w:p>
    <w:p>
      <w:pPr>
        <w:spacing w:after="0" w:line="2" w:lineRule="exact"/>
        <w:rPr>
          <w:rFonts w:ascii="Arial" w:cs="Arial" w:eastAsia="Arial" w:hAnsi="Arial"/>
          <w:sz w:val="16"/>
          <w:szCs w:val="16"/>
          <w:u w:val="single" w:color="auto"/>
          <w:color w:val="0000EE"/>
        </w:rPr>
      </w:pPr>
    </w:p>
    <w:p>
      <w:pPr>
        <w:jc w:val="both"/>
        <w:ind w:left="1000" w:right="80" w:hanging="985"/>
        <w:spacing w:after="0" w:line="255"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54">
        <w:r>
          <w:rPr>
            <w:rFonts w:ascii="Arial" w:cs="Arial" w:eastAsia="Arial" w:hAnsi="Arial"/>
            <w:sz w:val="18"/>
            <w:szCs w:val="18"/>
            <w:u w:val="single" w:color="auto"/>
            <w:color w:val="0000EE"/>
          </w:rPr>
          <w:t>Manufacturing Services Agreement, dated November 23, 2015, by and between WuXi Advanced Therapies, Inc. and Lion</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Biotechnologies, Inc. (incorporated herein by reference to Exhibit 10.36 to the Registrant’s Annual Report on Form 10-K</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filed with the Commission on March 9, 2017).*</w:t>
        </w:r>
      </w:hyperlink>
    </w:p>
    <w:p>
      <w:pPr>
        <w:sectPr>
          <w:pgSz w:w="11900" w:h="16838" w:orient="portrait"/>
          <w:cols w:equalWidth="0" w:num="1">
            <w:col w:w="9880"/>
          </w:cols>
          <w:pgMar w:left="980" w:top="665" w:right="1039" w:bottom="1440" w:gutter="0" w:footer="0" w:header="0"/>
        </w:sectPr>
      </w:pPr>
    </w:p>
    <w:p>
      <w:pPr>
        <w:spacing w:after="0" w:line="200" w:lineRule="exact"/>
        <w:rPr>
          <w:rFonts w:ascii="Arial" w:cs="Arial" w:eastAsia="Arial" w:hAnsi="Arial"/>
          <w:sz w:val="18"/>
          <w:szCs w:val="18"/>
          <w:u w:val="single" w:color="auto"/>
          <w:color w:val="0000EE"/>
        </w:rPr>
      </w:pPr>
    </w:p>
    <w:p>
      <w:pPr>
        <w:spacing w:after="0" w:line="206"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6"/>
          <w:szCs w:val="16"/>
          <w:color w:val="auto"/>
        </w:rPr>
        <w:t>103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40" w:hanging="985"/>
        <w:spacing w:after="0" w:line="255"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56">
        <w:r>
          <w:rPr>
            <w:rFonts w:ascii="Arial" w:cs="Arial" w:eastAsia="Arial" w:hAnsi="Arial"/>
            <w:sz w:val="18"/>
            <w:szCs w:val="18"/>
            <w:u w:val="single" w:color="auto"/>
            <w:color w:val="0000EE"/>
          </w:rPr>
          <w:t>Strategic Alliance Agreement, effective as of April 17, 2017, between Lion Biotechnologies, Inc. and The University of</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Texas M.D. Anderson Cancer Center (incorporated herein by reference to Exhibit 10.1 to the Registrant’s Quarterly Report</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on Form 10 Q filed with the Commission on August 3, 2017).*</w:t>
        </w:r>
      </w:hyperlink>
    </w:p>
    <w:p>
      <w:pPr>
        <w:spacing w:after="0" w:line="3" w:lineRule="exact"/>
        <w:rPr>
          <w:rFonts w:ascii="Arial" w:cs="Arial" w:eastAsia="Arial" w:hAnsi="Arial"/>
          <w:sz w:val="18"/>
          <w:szCs w:val="18"/>
          <w:u w:val="single" w:color="auto"/>
          <w:color w:val="0000EE"/>
        </w:rPr>
      </w:pPr>
    </w:p>
    <w:p>
      <w:pPr>
        <w:ind w:left="1000" w:right="40" w:hanging="985"/>
        <w:spacing w:after="0" w:line="265"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10.30</w:t>
      </w:r>
      <w:r>
        <w:rPr>
          <w:sz w:val="20"/>
          <w:szCs w:val="20"/>
          <w:color w:val="auto"/>
        </w:rPr>
        <w:tab/>
      </w:r>
      <w:hyperlink r:id="rId157">
        <w:r>
          <w:rPr>
            <w:rFonts w:ascii="Arial" w:cs="Arial" w:eastAsia="Arial" w:hAnsi="Arial"/>
            <w:sz w:val="17"/>
            <w:szCs w:val="17"/>
            <w:u w:val="single" w:color="auto"/>
            <w:color w:val="0000EE"/>
          </w:rPr>
          <w:t>First Amendment to the Strategic Alliance Agreement by and between Iovance Biotherapeutics, Inc. and The University of</w:t>
        </w:r>
      </w:hyperlink>
      <w:r>
        <w:rPr>
          <w:rFonts w:ascii="Arial" w:cs="Arial" w:eastAsia="Arial" w:hAnsi="Arial"/>
          <w:sz w:val="17"/>
          <w:szCs w:val="17"/>
          <w:u w:val="single" w:color="auto"/>
          <w:color w:val="0000EE"/>
        </w:rPr>
        <w:t xml:space="preserve"> </w:t>
      </w:r>
      <w:hyperlink r:id="rId157">
        <w:r>
          <w:rPr>
            <w:rFonts w:ascii="Arial" w:cs="Arial" w:eastAsia="Arial" w:hAnsi="Arial"/>
            <w:sz w:val="17"/>
            <w:szCs w:val="17"/>
            <w:u w:val="single" w:color="auto"/>
            <w:color w:val="0000EE"/>
          </w:rPr>
          <w:t>Texas M.D. Anderson Cancer Center, effective as of August 2, 2017 (incorporated herein by reference to Exhibit 10.34 to</w:t>
        </w:r>
      </w:hyperlink>
      <w:r>
        <w:rPr>
          <w:rFonts w:ascii="Arial" w:cs="Arial" w:eastAsia="Arial" w:hAnsi="Arial"/>
          <w:sz w:val="17"/>
          <w:szCs w:val="17"/>
          <w:u w:val="single" w:color="auto"/>
          <w:color w:val="0000EE"/>
        </w:rPr>
        <w:t xml:space="preserve"> </w:t>
      </w:r>
      <w:hyperlink r:id="rId157">
        <w:r>
          <w:rPr>
            <w:rFonts w:ascii="Arial" w:cs="Arial" w:eastAsia="Arial" w:hAnsi="Arial"/>
            <w:sz w:val="17"/>
            <w:szCs w:val="17"/>
            <w:u w:val="single" w:color="auto"/>
            <w:color w:val="0000EE"/>
          </w:rPr>
          <w:t>the Registrant’s Annual Report on Form 10-K filed with the Commission on March 12, 2018).</w:t>
        </w:r>
      </w:hyperlink>
    </w:p>
    <w:p>
      <w:pPr>
        <w:jc w:val="both"/>
        <w:ind w:left="1000" w:right="20" w:hanging="985"/>
        <w:spacing w:after="0" w:line="265"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10.31</w:t>
      </w:r>
      <w:r>
        <w:rPr>
          <w:sz w:val="20"/>
          <w:szCs w:val="20"/>
          <w:color w:val="auto"/>
        </w:rPr>
        <w:tab/>
      </w:r>
      <w:hyperlink r:id="rId158">
        <w:r>
          <w:rPr>
            <w:rFonts w:ascii="Arial" w:cs="Arial" w:eastAsia="Arial" w:hAnsi="Arial"/>
            <w:sz w:val="17"/>
            <w:szCs w:val="17"/>
            <w:u w:val="single" w:color="auto"/>
            <w:color w:val="0000EE"/>
          </w:rPr>
          <w:t>Second Amendment to the Strategic Alliance Agreement by and between Iovance Biotherapeutics, Inc. and The University</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of Texas M.D. Anderson Cancer Center, effective February 16, 2018 (incorporated herein by reference to Exhibit 10.35 to</w:t>
        </w:r>
      </w:hyperlink>
      <w:r>
        <w:rPr>
          <w:rFonts w:ascii="Arial" w:cs="Arial" w:eastAsia="Arial" w:hAnsi="Arial"/>
          <w:sz w:val="17"/>
          <w:szCs w:val="17"/>
          <w:u w:val="single" w:color="auto"/>
          <w:color w:val="0000EE"/>
        </w:rPr>
        <w:t xml:space="preserve"> </w:t>
      </w:r>
      <w:hyperlink r:id="rId158">
        <w:r>
          <w:rPr>
            <w:rFonts w:ascii="Arial" w:cs="Arial" w:eastAsia="Arial" w:hAnsi="Arial"/>
            <w:sz w:val="17"/>
            <w:szCs w:val="17"/>
            <w:u w:val="single" w:color="auto"/>
            <w:color w:val="0000EE"/>
          </w:rPr>
          <w:t>the Registrant’s Annual Report on Form 10-K filed with the Commission on March 12, 2018).</w:t>
        </w:r>
      </w:hyperlink>
    </w:p>
    <w:p>
      <w:pPr>
        <w:ind w:left="1000" w:right="1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59">
        <w:r>
          <w:rPr>
            <w:rFonts w:ascii="Arial" w:cs="Arial" w:eastAsia="Arial" w:hAnsi="Arial"/>
            <w:sz w:val="18"/>
            <w:szCs w:val="18"/>
            <w:u w:val="single" w:color="auto"/>
            <w:color w:val="0000EE"/>
          </w:rPr>
          <w:t>Executive Employment Agreement, effective as of June 1, 2016, by and between Maria Fardis and Lion Biotechnologies,</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Inc. (incorporated herein by reference to Exhibit 10.3 of the Registrant’s Quarterly Report on Form 10 Q filed with the</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Commission on August 9, 2016).*#</w:t>
        </w:r>
      </w:hyperlink>
    </w:p>
    <w:p>
      <w:pPr>
        <w:spacing w:after="0" w:line="1" w:lineRule="exact"/>
        <w:rPr>
          <w:rFonts w:ascii="Arial" w:cs="Arial" w:eastAsia="Arial" w:hAnsi="Arial"/>
          <w:sz w:val="18"/>
          <w:szCs w:val="18"/>
          <w:u w:val="single" w:color="auto"/>
          <w:color w:val="0000EE"/>
        </w:rPr>
      </w:pPr>
    </w:p>
    <w:p>
      <w:pPr>
        <w:ind w:left="1000" w:right="1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60">
        <w:r>
          <w:rPr>
            <w:rFonts w:ascii="Arial" w:cs="Arial" w:eastAsia="Arial" w:hAnsi="Arial"/>
            <w:sz w:val="18"/>
            <w:szCs w:val="18"/>
            <w:u w:val="single" w:color="auto"/>
            <w:color w:val="0000EE"/>
          </w:rPr>
          <w:t>Severance Agreement and General Release, effective as of July 8, 2020, between Iovance Biotherapeutics, Inc. and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Timothy Morris (incorporated herein by reference to Exhibit 10.4 to the Registrant’s Quarterly Report on Form 10-Q filed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with the Commission on August 6, 2020).*#</w:t>
        </w:r>
      </w:hyperlink>
    </w:p>
    <w:p>
      <w:pPr>
        <w:spacing w:after="0" w:line="1" w:lineRule="exact"/>
        <w:rPr>
          <w:rFonts w:ascii="Arial" w:cs="Arial" w:eastAsia="Arial" w:hAnsi="Arial"/>
          <w:sz w:val="18"/>
          <w:szCs w:val="18"/>
          <w:u w:val="single" w:color="auto"/>
          <w:color w:val="0000EE"/>
        </w:rPr>
      </w:pPr>
    </w:p>
    <w:p>
      <w:pPr>
        <w:ind w:left="1000" w:right="1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61">
        <w:r>
          <w:rPr>
            <w:rFonts w:ascii="Arial" w:cs="Arial" w:eastAsia="Arial" w:hAnsi="Arial"/>
            <w:sz w:val="18"/>
            <w:szCs w:val="18"/>
            <w:u w:val="single" w:color="auto"/>
            <w:color w:val="0000EE"/>
          </w:rPr>
          <w:t>Executive Employment Agreement, effective as of September 30, 2016, by and between Frederick G. Vogt and Lion</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Biotechnologies, Inc. (incorporated herein by reference to Exhibit 10.32 to the Registrant’s Annual Report on Form 10 K</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filed with the Commission on March 12, 2018).#</w:t>
        </w:r>
      </w:hyperlink>
    </w:p>
    <w:p>
      <w:pPr>
        <w:spacing w:after="0" w:line="1" w:lineRule="exact"/>
        <w:rPr>
          <w:rFonts w:ascii="Arial" w:cs="Arial" w:eastAsia="Arial" w:hAnsi="Arial"/>
          <w:sz w:val="18"/>
          <w:szCs w:val="18"/>
          <w:u w:val="single" w:color="auto"/>
          <w:color w:val="0000EE"/>
        </w:rPr>
      </w:pPr>
    </w:p>
    <w:p>
      <w:pPr>
        <w:ind w:left="1000" w:right="1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62">
        <w:r>
          <w:rPr>
            <w:rFonts w:ascii="Arial" w:cs="Arial" w:eastAsia="Arial" w:hAnsi="Arial"/>
            <w:sz w:val="18"/>
            <w:szCs w:val="18"/>
            <w:u w:val="single" w:color="auto"/>
            <w:color w:val="0000EE"/>
          </w:rPr>
          <w:t>Executive Employment Agreement effective as of July 18, 2019, by and between Friedrich-Reinhard Graf Finck von</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Finckenstein, M.D. and Iovance Biotherapeutics, Inc. (incorporated herein by reference to Exhibit 10.1 of the Registrant’s</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Quarterly Report on Form 10-Q filed with the Commission on August 1, 2019).</w:t>
        </w:r>
      </w:hyperlink>
    </w:p>
    <w:p>
      <w:pPr>
        <w:spacing w:after="0" w:line="1" w:lineRule="exact"/>
        <w:rPr>
          <w:rFonts w:ascii="Arial" w:cs="Arial" w:eastAsia="Arial" w:hAnsi="Arial"/>
          <w:sz w:val="18"/>
          <w:szCs w:val="18"/>
          <w:u w:val="single" w:color="auto"/>
          <w:color w:val="0000EE"/>
        </w:rPr>
      </w:pPr>
    </w:p>
    <w:p>
      <w:pPr>
        <w:ind w:left="10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63">
        <w:r>
          <w:rPr>
            <w:rFonts w:ascii="Arial" w:cs="Arial" w:eastAsia="Arial" w:hAnsi="Arial"/>
            <w:sz w:val="18"/>
            <w:szCs w:val="18"/>
            <w:u w:val="single" w:color="auto"/>
            <w:color w:val="0000EE"/>
          </w:rPr>
          <w:t>Executive Employment Agreement, effective as of December 14, 2020, by and between Jean-Marc Bellemin and Iovance</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Biotherapeutics, Inc.#+ (incorporated herein by reference to Exhibit 10.30 of the Registrant’s Annual Report on Form 10-K</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filed with the Commission on February 25, 2021).</w:t>
        </w:r>
      </w:hyperlink>
    </w:p>
    <w:p>
      <w:pPr>
        <w:spacing w:after="0" w:line="1" w:lineRule="exact"/>
        <w:rPr>
          <w:rFonts w:ascii="Arial" w:cs="Arial" w:eastAsia="Arial" w:hAnsi="Arial"/>
          <w:sz w:val="18"/>
          <w:szCs w:val="18"/>
          <w:u w:val="single" w:color="auto"/>
          <w:color w:val="0000EE"/>
        </w:rPr>
      </w:pPr>
    </w:p>
    <w:p>
      <w:pPr>
        <w:ind w:left="1000" w:right="16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64">
        <w:r>
          <w:rPr>
            <w:rFonts w:ascii="Arial" w:cs="Arial" w:eastAsia="Arial" w:hAnsi="Arial"/>
            <w:sz w:val="18"/>
            <w:szCs w:val="18"/>
            <w:u w:val="single" w:color="auto"/>
            <w:color w:val="0000EE"/>
          </w:rPr>
          <w:t>Executive Employment Agreement, effective as of March 15, 2021, by and between Igor Bilinsky, Ph.D. and Iovance</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Biotherapeutics, Inc.#+ (incorporated herein by reference to Exhibit 10.4 of the Registrant’s Current Report on Form 8-K</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filed with the Commission on May 6, 2021).</w:t>
        </w:r>
      </w:hyperlink>
    </w:p>
    <w:p>
      <w:pPr>
        <w:spacing w:after="0" w:line="1" w:lineRule="exact"/>
        <w:rPr>
          <w:rFonts w:ascii="Arial" w:cs="Arial" w:eastAsia="Arial" w:hAnsi="Arial"/>
          <w:sz w:val="18"/>
          <w:szCs w:val="18"/>
          <w:u w:val="single" w:color="auto"/>
          <w:color w:val="0000EE"/>
        </w:rPr>
      </w:pPr>
    </w:p>
    <w:p>
      <w:pPr>
        <w:ind w:left="1000" w:right="3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65">
        <w:r>
          <w:rPr>
            <w:rFonts w:ascii="Arial" w:cs="Arial" w:eastAsia="Arial" w:hAnsi="Arial"/>
            <w:sz w:val="18"/>
            <w:szCs w:val="18"/>
            <w:u w:val="single" w:color="auto"/>
            <w:color w:val="0000EE"/>
          </w:rPr>
          <w:t>Office Lease, effective as of August 4, 2016, by and between Lion Biotechnologies, Inc. and Hudson Skyway Landing,</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LLC (incorporated herein by reference to Exhibit 10.1 of the Registrant’s Current Report on Form 8 K filed with the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Commission on August 8, 2016).</w:t>
        </w:r>
      </w:hyperlink>
    </w:p>
    <w:p>
      <w:pPr>
        <w:spacing w:after="0" w:line="1" w:lineRule="exact"/>
        <w:rPr>
          <w:rFonts w:ascii="Arial" w:cs="Arial" w:eastAsia="Arial" w:hAnsi="Arial"/>
          <w:sz w:val="18"/>
          <w:szCs w:val="18"/>
          <w:u w:val="single" w:color="auto"/>
          <w:color w:val="0000EE"/>
        </w:rPr>
      </w:pPr>
    </w:p>
    <w:p>
      <w:pPr>
        <w:ind w:left="1000" w:right="10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66">
        <w:r>
          <w:rPr>
            <w:rFonts w:ascii="Arial" w:cs="Arial" w:eastAsia="Arial" w:hAnsi="Arial"/>
            <w:sz w:val="18"/>
            <w:szCs w:val="18"/>
            <w:u w:val="single" w:color="auto"/>
            <w:color w:val="0000EE"/>
          </w:rPr>
          <w:t>Office Lease, effective as of October 19, 2018, by and between Iovance Biotechnologies, Inc. and Hudson Skyway</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Landing, LLC (incorporated herein by reference to Exhibit 10.1 to the Registrant’s Current Report on Form 8 K filed with</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the Commission on October 25, 2018).</w:t>
        </w:r>
      </w:hyperlink>
    </w:p>
    <w:p>
      <w:pPr>
        <w:spacing w:after="0" w:line="1" w:lineRule="exact"/>
        <w:rPr>
          <w:rFonts w:ascii="Arial" w:cs="Arial" w:eastAsia="Arial" w:hAnsi="Arial"/>
          <w:sz w:val="18"/>
          <w:szCs w:val="18"/>
          <w:u w:val="single" w:color="auto"/>
          <w:color w:val="0000EE"/>
        </w:rPr>
      </w:pPr>
    </w:p>
    <w:p>
      <w:pPr>
        <w:ind w:left="1000" w:right="8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67">
        <w:r>
          <w:rPr>
            <w:rFonts w:ascii="Arial" w:cs="Arial" w:eastAsia="Arial" w:hAnsi="Arial"/>
            <w:sz w:val="18"/>
            <w:szCs w:val="18"/>
            <w:u w:val="single" w:color="auto"/>
            <w:color w:val="0000EE"/>
          </w:rPr>
          <w:t>First Amendment to the Office Lease, effective as of June 19, 2019, between Iovance Biotherapeutics, Inc. and Hudson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Skyway Landing, LLC (incorporated herein by reference to Exhibit 10.1 of the Registrant’s Quarterly Report on Form 10-</w:t>
        </w:r>
      </w:hyperlink>
      <w:hyperlink r:id="rId167">
        <w:r>
          <w:rPr>
            <w:rFonts w:ascii="Arial" w:cs="Arial" w:eastAsia="Arial" w:hAnsi="Arial"/>
            <w:sz w:val="18"/>
            <w:szCs w:val="18"/>
            <w:u w:val="single" w:color="auto"/>
            <w:color w:val="0000EE"/>
          </w:rPr>
          <w:t>Q filed with the Commission on November 4, 2019).</w:t>
        </w:r>
      </w:hyperlink>
    </w:p>
    <w:p>
      <w:pPr>
        <w:spacing w:after="0" w:line="1" w:lineRule="exact"/>
        <w:rPr>
          <w:rFonts w:ascii="Arial" w:cs="Arial" w:eastAsia="Arial" w:hAnsi="Arial"/>
          <w:sz w:val="18"/>
          <w:szCs w:val="18"/>
          <w:u w:val="single" w:color="auto"/>
          <w:color w:val="0000EE"/>
        </w:rPr>
      </w:pPr>
    </w:p>
    <w:p>
      <w:pPr>
        <w:ind w:left="1000" w:right="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68">
        <w:r>
          <w:rPr>
            <w:rFonts w:ascii="Arial" w:cs="Arial" w:eastAsia="Arial" w:hAnsi="Arial"/>
            <w:sz w:val="18"/>
            <w:szCs w:val="18"/>
            <w:u w:val="single" w:color="auto"/>
            <w:color w:val="0000EE"/>
          </w:rPr>
          <w:t>Second Amendment to the Office Lease, effective as of February 8, 2021, by and between Iovance Biotherapeutics, Inc.</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and Hudson Skyway Landing, LLC (incorporated herein by reference to Exhibit 10.2 of the Registrant’s Current Report on</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Form 8-K filed with the Commission on February 9, 2021).</w:t>
        </w:r>
      </w:hyperlink>
    </w:p>
    <w:p>
      <w:pPr>
        <w:spacing w:after="0" w:line="1" w:lineRule="exact"/>
        <w:rPr>
          <w:rFonts w:ascii="Arial" w:cs="Arial" w:eastAsia="Arial" w:hAnsi="Arial"/>
          <w:sz w:val="18"/>
          <w:szCs w:val="18"/>
          <w:u w:val="single" w:color="auto"/>
          <w:color w:val="0000EE"/>
        </w:rPr>
      </w:pPr>
    </w:p>
    <w:p>
      <w:pPr>
        <w:ind w:left="1000" w:right="1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169">
        <w:r>
          <w:rPr>
            <w:rFonts w:ascii="Arial" w:cs="Arial" w:eastAsia="Arial" w:hAnsi="Arial"/>
            <w:sz w:val="18"/>
            <w:szCs w:val="18"/>
            <w:u w:val="single" w:color="auto"/>
            <w:color w:val="0000EE"/>
          </w:rPr>
          <w:t>First Amendment to the Office Lease, effective as of February 8, 2021, by and between Iovance Biotherapeutics, Inc. and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Hudson Skyway Landing, LLC (incorporated herein by reference to Exhibit 10.3 of the Registrant’s Current Report on</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Form 8-K filed with the Commission on February 9, 2021).</w:t>
        </w:r>
      </w:hyperlink>
    </w:p>
    <w:p>
      <w:pPr>
        <w:spacing w:after="0" w:line="1" w:lineRule="exact"/>
        <w:rPr>
          <w:rFonts w:ascii="Arial" w:cs="Arial" w:eastAsia="Arial" w:hAnsi="Arial"/>
          <w:sz w:val="18"/>
          <w:szCs w:val="18"/>
          <w:u w:val="single" w:color="auto"/>
          <w:color w:val="0000EE"/>
        </w:rPr>
      </w:pPr>
    </w:p>
    <w:p>
      <w:pPr>
        <w:ind w:left="1000" w:right="1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170">
        <w:r>
          <w:rPr>
            <w:rFonts w:ascii="Arial" w:cs="Arial" w:eastAsia="Arial" w:hAnsi="Arial"/>
            <w:sz w:val="18"/>
            <w:szCs w:val="18"/>
            <w:u w:val="single" w:color="auto"/>
            <w:color w:val="0000EE"/>
          </w:rPr>
          <w:t>Lease Agreement, effective as of May 28, 2019, by and between Iovance Biotherapeutics, Inc. and 300 Rouse Boulevard,</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LLC (incorporated herein by reference to Exhibit 10.1 of the Registrant’s Current Report on Form 8-K filed with the</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Commission on June 3, 2019).</w:t>
        </w:r>
      </w:hyperlink>
    </w:p>
    <w:p>
      <w:pPr>
        <w:spacing w:after="0" w:line="1" w:lineRule="exact"/>
        <w:rPr>
          <w:rFonts w:ascii="Arial" w:cs="Arial" w:eastAsia="Arial" w:hAnsi="Arial"/>
          <w:sz w:val="18"/>
          <w:szCs w:val="18"/>
          <w:u w:val="single" w:color="auto"/>
          <w:color w:val="0000EE"/>
        </w:rPr>
      </w:pPr>
    </w:p>
    <w:p>
      <w:pPr>
        <w:jc w:val="both"/>
        <w:ind w:left="1000" w:right="6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171">
        <w:r>
          <w:rPr>
            <w:rFonts w:ascii="Arial" w:cs="Arial" w:eastAsia="Arial" w:hAnsi="Arial"/>
            <w:sz w:val="18"/>
            <w:szCs w:val="18"/>
            <w:u w:val="single" w:color="auto"/>
            <w:color w:val="0000EE"/>
          </w:rPr>
          <w:t>First Amendment to the Lease Agreement, effective as of August 20, 2019, between Iovance Biotherapeutics, Inc. and 300</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Rouse Boulevard, LLC (incorporated herein by reference to Exhibit 10.2 of the Registrant’s Quarterly Report on Form 10-</w:t>
        </w:r>
      </w:hyperlink>
      <w:hyperlink r:id="rId171">
        <w:r>
          <w:rPr>
            <w:rFonts w:ascii="Arial" w:cs="Arial" w:eastAsia="Arial" w:hAnsi="Arial"/>
            <w:sz w:val="18"/>
            <w:szCs w:val="18"/>
            <w:u w:val="single" w:color="auto"/>
            <w:color w:val="0000EE"/>
          </w:rPr>
          <w:t>Q filed with the Commission on November 4, 2019).</w:t>
        </w:r>
      </w:hyperlink>
    </w:p>
    <w:p>
      <w:pPr>
        <w:spacing w:after="0" w:line="1" w:lineRule="exact"/>
        <w:rPr>
          <w:rFonts w:ascii="Arial" w:cs="Arial" w:eastAsia="Arial" w:hAnsi="Arial"/>
          <w:sz w:val="18"/>
          <w:szCs w:val="18"/>
          <w:u w:val="single" w:color="auto"/>
          <w:color w:val="0000EE"/>
        </w:rPr>
      </w:pPr>
    </w:p>
    <w:p>
      <w:pPr>
        <w:jc w:val="both"/>
        <w:ind w:left="1000" w:right="40" w:hanging="985"/>
        <w:spacing w:after="0" w:line="250"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172">
        <w:r>
          <w:rPr>
            <w:rFonts w:ascii="Arial" w:cs="Arial" w:eastAsia="Arial" w:hAnsi="Arial"/>
            <w:sz w:val="18"/>
            <w:szCs w:val="18"/>
            <w:u w:val="single" w:color="auto"/>
            <w:color w:val="0000EE"/>
          </w:rPr>
          <w:t>Second Amendment to the Lease Agreement, effective as of June 30, 2020, between Iovance Biotherapeutics, Inc. and 300</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Rouse Boulevard, LLC (incorporated herein by reference to Exhibit 10.3 of the Registrant’s Quarterly Report on Form 10-</w:t>
        </w:r>
      </w:hyperlink>
      <w:hyperlink r:id="rId172">
        <w:r>
          <w:rPr>
            <w:rFonts w:ascii="Arial" w:cs="Arial" w:eastAsia="Arial" w:hAnsi="Arial"/>
            <w:sz w:val="18"/>
            <w:szCs w:val="18"/>
            <w:u w:val="single" w:color="auto"/>
            <w:color w:val="0000EE"/>
          </w:rPr>
          <w:t>Q filed with the Commission on August 6, 2020).</w:t>
        </w:r>
      </w:hyperlink>
    </w:p>
    <w:p>
      <w:pPr>
        <w:spacing w:after="0" w:line="1" w:lineRule="exact"/>
        <w:rPr>
          <w:rFonts w:ascii="Arial" w:cs="Arial" w:eastAsia="Arial" w:hAnsi="Arial"/>
          <w:sz w:val="18"/>
          <w:szCs w:val="18"/>
          <w:u w:val="single" w:color="auto"/>
          <w:color w:val="0000EE"/>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10.46</w:t>
      </w:r>
      <w:r>
        <w:rPr>
          <w:sz w:val="20"/>
          <w:szCs w:val="20"/>
          <w:color w:val="auto"/>
        </w:rPr>
        <w:tab/>
      </w:r>
      <w:hyperlink w:anchor="page156">
        <w:r>
          <w:rPr>
            <w:rFonts w:ascii="Arial" w:cs="Arial" w:eastAsia="Arial" w:hAnsi="Arial"/>
            <w:sz w:val="16"/>
            <w:szCs w:val="16"/>
            <w:u w:val="single" w:color="auto"/>
            <w:color w:val="0000EE"/>
          </w:rPr>
          <w:t>Third Amendment to the Lease Agreement, effective as of November 1, 2021, between Iovance Biotherapeutics, Inc. and</w:t>
        </w:r>
      </w:hyperlink>
    </w:p>
    <w:p>
      <w:pPr>
        <w:spacing w:after="0" w:line="9"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300 Rouse Boulevard, LLC.**</w:t>
        </w:r>
      </w:hyperlink>
    </w:p>
    <w:p>
      <w:pPr>
        <w:sectPr>
          <w:pgSz w:w="11900" w:h="16838" w:orient="portrait"/>
          <w:cols w:equalWidth="0" w:num="1">
            <w:col w:w="9880"/>
          </w:cols>
          <w:pgMar w:left="980" w:top="665" w:right="1039" w:bottom="1440" w:gutter="0" w:footer="0" w:header="0"/>
        </w:sectPr>
      </w:pPr>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6"/>
          <w:szCs w:val="16"/>
          <w:color w:val="auto"/>
        </w:rPr>
        <w:t>104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10.47</w:t>
            </w:r>
          </w:p>
        </w:tc>
        <w:tc>
          <w:tcPr>
            <w:tcW w:w="8800" w:type="dxa"/>
            <w:vAlign w:val="bottom"/>
            <w:tcBorders>
              <w:bottom w:val="single" w:sz="8" w:color="0000EE"/>
            </w:tcBorders>
            <w:gridSpan w:val="8"/>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Lease Agreement, effective as of February 8, 2021, by and between Iovance Biotherapeutics, Inc. and ARE-San Francisco</w:t>
              </w:r>
            </w:hyperlink>
          </w:p>
        </w:tc>
      </w:tr>
      <w:tr>
        <w:trPr>
          <w:trHeight w:val="196"/>
        </w:trPr>
        <w:tc>
          <w:tcPr>
            <w:tcW w:w="1000" w:type="dxa"/>
            <w:vAlign w:val="bottom"/>
          </w:tcPr>
          <w:p>
            <w:pPr>
              <w:spacing w:after="0"/>
              <w:rPr>
                <w:sz w:val="17"/>
                <w:szCs w:val="17"/>
                <w:color w:val="auto"/>
              </w:rPr>
            </w:pPr>
          </w:p>
        </w:tc>
        <w:tc>
          <w:tcPr>
            <w:tcW w:w="87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No. 63, LLC (incorporated herein by reference to Exhibit 10.1 of the Registrant’s Current Report on Form 8-K filed with</w:t>
              </w:r>
            </w:hyperlink>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7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the Commission on February 9, 2021).</w:t>
              </w:r>
            </w:hyperlink>
          </w:p>
        </w:tc>
        <w:tc>
          <w:tcPr>
            <w:tcW w:w="6020" w:type="dxa"/>
            <w:vAlign w:val="bottom"/>
            <w:gridSpan w:val="6"/>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23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Subsidiaries of the Company.**</w:t>
              </w:r>
            </w:hyperlink>
          </w:p>
        </w:tc>
        <w:tc>
          <w:tcPr>
            <w:tcW w:w="6500" w:type="dxa"/>
            <w:vAlign w:val="bottom"/>
            <w:gridSpan w:val="7"/>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8800" w:type="dxa"/>
            <w:vAlign w:val="bottom"/>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Consent of Ernst &amp; Young LLP, Independent Registered Public Accounting Firm.</w:t>
              </w:r>
            </w:hyperlink>
            <w:r>
              <w:rPr>
                <w:rFonts w:ascii="Arial" w:cs="Arial" w:eastAsia="Arial" w:hAnsi="Arial"/>
                <w:sz w:val="18"/>
                <w:szCs w:val="18"/>
                <w:color w:val="000000"/>
              </w:rPr>
              <w:t>**</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5880" w:type="dxa"/>
            <w:vAlign w:val="bottom"/>
            <w:tcBorders>
              <w:top w:val="single" w:sz="8" w:color="0000EE"/>
            </w:tcBorders>
            <w:gridSpan w:val="6"/>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Consent of Marcum, LLP, Independent Registered Public Accounting Firm**</w:t>
              </w:r>
            </w:hyperlink>
          </w:p>
        </w:tc>
        <w:tc>
          <w:tcPr>
            <w:tcW w:w="2920" w:type="dxa"/>
            <w:vAlign w:val="bottom"/>
            <w:gridSpan w:val="2"/>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5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Power of Attorney (included on the signature page of this Annual Report).</w:t>
              </w:r>
            </w:hyperlink>
          </w:p>
        </w:tc>
        <w:tc>
          <w:tcPr>
            <w:tcW w:w="200" w:type="dxa"/>
            <w:vAlign w:val="bottom"/>
            <w:tcBorders>
              <w:top w:val="single" w:sz="8" w:color="0000EE"/>
            </w:tcBorders>
          </w:tcPr>
          <w:p>
            <w:pPr>
              <w:spacing w:after="0"/>
              <w:rPr>
                <w:sz w:val="17"/>
                <w:szCs w:val="17"/>
                <w:color w:val="auto"/>
              </w:rPr>
            </w:pPr>
          </w:p>
        </w:tc>
        <w:tc>
          <w:tcPr>
            <w:tcW w:w="3220" w:type="dxa"/>
            <w:vAlign w:val="bottom"/>
            <w:gridSpan w:val="3"/>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8800" w:type="dxa"/>
            <w:vAlign w:val="bottom"/>
            <w:gridSpan w:val="8"/>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Rule 13a-14(a)/15d-14(a) Certification of Chief Executive Officer.</w:t>
              </w:r>
            </w:hyperlink>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800" w:type="dxa"/>
            <w:vAlign w:val="bottom"/>
            <w:gridSpan w:val="8"/>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Rule 13a-14(a)/15d-14(a) Certification of Chief Financial Officer.</w:t>
              </w:r>
            </w:hyperlink>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800" w:type="dxa"/>
            <w:vAlign w:val="bottom"/>
            <w:gridSpan w:val="8"/>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Section 1350 Certification of Chief Executive Officer (furnished herewith).</w:t>
              </w:r>
            </w:hyperlink>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5380" w:type="dxa"/>
            <w:vAlign w:val="bottom"/>
            <w:tcBorders>
              <w:right w:val="single" w:sz="8" w:color="0000EE"/>
            </w:tcBorders>
            <w:gridSpan w:val="4"/>
            <w:shd w:val="clear" w:color="auto" w:fill="0000EE"/>
          </w:tcPr>
          <w:p>
            <w:pPr>
              <w:spacing w:after="0" w:line="20" w:lineRule="exact"/>
              <w:rPr>
                <w:sz w:val="1"/>
                <w:szCs w:val="1"/>
                <w:color w:val="auto"/>
              </w:rPr>
            </w:pPr>
          </w:p>
        </w:tc>
        <w:tc>
          <w:tcPr>
            <w:tcW w:w="3420" w:type="dxa"/>
            <w:vAlign w:val="bottom"/>
            <w:tcBorders>
              <w:left w:val="single" w:sz="8" w:color="0000EE"/>
            </w:tcBorders>
            <w:gridSpan w:val="4"/>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800" w:type="dxa"/>
            <w:vAlign w:val="bottom"/>
            <w:gridSpan w:val="8"/>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Section 1350 Certification of Chief Financial Officer (furnished herewith).</w:t>
              </w:r>
            </w:hyperlink>
            <w:r>
              <w:rPr>
                <w:rFonts w:ascii="Arial" w:cs="Arial" w:eastAsia="Arial" w:hAnsi="Arial"/>
                <w:sz w:val="18"/>
                <w:szCs w:val="18"/>
                <w:color w:val="000000"/>
              </w:rPr>
              <w:t>**</w:t>
            </w:r>
          </w:p>
        </w:tc>
      </w:tr>
      <w:tr>
        <w:trPr>
          <w:trHeight w:val="20"/>
        </w:trPr>
        <w:tc>
          <w:tcPr>
            <w:tcW w:w="10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 w:lineRule="exact"/>
        <w:rPr>
          <w:sz w:val="20"/>
          <w:szCs w:val="20"/>
          <w:color w:val="auto"/>
        </w:rPr>
      </w:pPr>
    </w:p>
    <w:p>
      <w:pPr>
        <w:ind w:left="1000" w:right="80" w:hanging="992"/>
        <w:spacing w:after="0" w:line="28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following financial information from the Annual Report on Form 10-K of Iovance Biotherapeutics, Inc. for the year ended December 31, 2021, formatted in XBRL (eXtensible Business Reporting Language): (1) Balance Sheets as of December 31, 2021 and 2020 (2) Statements of Income for the years ended December 31, 2021 and 2020; (3) Statements of Shareholders’ Equity for the years ended December 31, 2021 and 2020; (4) Statements of Cash Flows for the years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ended December 31, 2021 and 2020; and (5) Notes to Financial Statements.</w:t>
      </w:r>
    </w:p>
    <w:p>
      <w:pPr>
        <w:spacing w:after="0" w:line="9" w:lineRule="exact"/>
        <w:rPr>
          <w:sz w:val="20"/>
          <w:szCs w:val="20"/>
          <w:color w:val="auto"/>
        </w:rPr>
      </w:pPr>
    </w:p>
    <w:p>
      <w:pPr>
        <w:ind w:left="1000" w:right="20" w:hanging="992"/>
        <w:spacing w:after="0" w:line="260"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date file does not appear in the Interactive Date File because its XBRL tags are embedded within the Inline XBRL document.</w:t>
      </w:r>
    </w:p>
    <w:p>
      <w:pPr>
        <w:spacing w:after="0" w:line="185" w:lineRule="exact"/>
        <w:rPr>
          <w:sz w:val="20"/>
          <w:szCs w:val="20"/>
          <w:color w:val="auto"/>
        </w:rPr>
      </w:pPr>
    </w:p>
    <w:p>
      <w:pPr>
        <w:ind w:left="340" w:right="40" w:hanging="332"/>
        <w:spacing w:after="0" w:line="258"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w:t>
      </w:r>
    </w:p>
    <w:p>
      <w:pPr>
        <w:spacing w:after="0" w:line="20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5" w:right="11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7060" w:type="dxa"/>
            <w:vAlign w:val="bottom"/>
            <w:gridSpan w:val="2"/>
          </w:tcPr>
          <w:p>
            <w:pPr>
              <w:ind w:left="1940"/>
              <w:spacing w:after="0"/>
              <w:rPr>
                <w:sz w:val="20"/>
                <w:szCs w:val="20"/>
                <w:color w:val="auto"/>
              </w:rPr>
            </w:pPr>
            <w:r>
              <w:rPr>
                <w:rFonts w:ascii="Arial" w:cs="Arial" w:eastAsia="Arial" w:hAnsi="Arial"/>
                <w:sz w:val="18"/>
                <w:szCs w:val="18"/>
                <w:b w:val="1"/>
                <w:bCs w:val="1"/>
                <w:color w:val="auto"/>
              </w:rPr>
              <w:t>IOVANCE BIOTHERAPEUTICS, INC.</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Date: February 24, 2022</w:t>
            </w:r>
          </w:p>
        </w:tc>
        <w:tc>
          <w:tcPr>
            <w:tcW w:w="7060" w:type="dxa"/>
            <w:vAlign w:val="bottom"/>
            <w:gridSpan w:val="2"/>
          </w:tcPr>
          <w:p>
            <w:pPr>
              <w:ind w:left="1940"/>
              <w:spacing w:after="0"/>
              <w:rPr>
                <w:sz w:val="20"/>
                <w:szCs w:val="20"/>
                <w:color w:val="auto"/>
              </w:rPr>
            </w:pPr>
            <w:r>
              <w:rPr>
                <w:rFonts w:ascii="Arial" w:cs="Arial" w:eastAsia="Arial" w:hAnsi="Arial"/>
                <w:sz w:val="18"/>
                <w:szCs w:val="18"/>
                <w:color w:val="auto"/>
              </w:rPr>
              <w:t>By: /s/ Frederick G. Vogt</w:t>
            </w:r>
          </w:p>
        </w:tc>
      </w:tr>
      <w:tr>
        <w:trPr>
          <w:trHeight w:val="195"/>
        </w:trPr>
        <w:tc>
          <w:tcPr>
            <w:tcW w:w="2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Frederick G. Vogt, Ph.D., J.D.</w:t>
            </w:r>
          </w:p>
        </w:tc>
      </w:tr>
      <w:tr>
        <w:trPr>
          <w:trHeight w:val="216"/>
        </w:trPr>
        <w:tc>
          <w:tcPr>
            <w:tcW w:w="2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Interim Chief Executive Officer and President, and</w:t>
            </w:r>
          </w:p>
        </w:tc>
      </w:tr>
      <w:tr>
        <w:trPr>
          <w:trHeight w:val="230"/>
        </w:trPr>
        <w:tc>
          <w:tcPr>
            <w:tcW w:w="28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780" w:type="dxa"/>
            <w:vAlign w:val="bottom"/>
          </w:tcPr>
          <w:p>
            <w:pPr>
              <w:ind w:left="600"/>
              <w:spacing w:after="0"/>
              <w:rPr>
                <w:sz w:val="20"/>
                <w:szCs w:val="20"/>
                <w:color w:val="auto"/>
              </w:rPr>
            </w:pPr>
            <w:r>
              <w:rPr>
                <w:rFonts w:ascii="Arial" w:cs="Arial" w:eastAsia="Arial" w:hAnsi="Arial"/>
                <w:sz w:val="18"/>
                <w:szCs w:val="18"/>
                <w:color w:val="auto"/>
              </w:rPr>
              <w:t>General Counsel</w:t>
            </w:r>
          </w:p>
        </w:tc>
      </w:tr>
      <w:tr>
        <w:trPr>
          <w:trHeight w:val="432"/>
        </w:trPr>
        <w:tc>
          <w:tcPr>
            <w:tcW w:w="2860" w:type="dxa"/>
            <w:vAlign w:val="bottom"/>
          </w:tcPr>
          <w:p>
            <w:pPr>
              <w:spacing w:after="0"/>
              <w:rPr>
                <w:sz w:val="24"/>
                <w:szCs w:val="24"/>
                <w:color w:val="auto"/>
              </w:rPr>
            </w:pPr>
          </w:p>
        </w:tc>
        <w:tc>
          <w:tcPr>
            <w:tcW w:w="7060" w:type="dxa"/>
            <w:vAlign w:val="bottom"/>
            <w:gridSpan w:val="2"/>
          </w:tcPr>
          <w:p>
            <w:pPr>
              <w:ind w:left="110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Frederick G. Vogt, and Jean-Marc Bellemin, and each of them, as his or her true and lawful attorneys-in-fact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or her substitute or substituted, may lawfully do or cause to be done by virtue thereof.</w:t>
      </w:r>
    </w:p>
    <w:p>
      <w:pPr>
        <w:spacing w:after="0" w:line="178"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Signature</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Title</w:t>
            </w:r>
          </w:p>
        </w:tc>
        <w:tc>
          <w:tcPr>
            <w:tcW w:w="2400" w:type="dxa"/>
            <w:vAlign w:val="bottom"/>
          </w:tcPr>
          <w:p>
            <w:pPr>
              <w:spacing w:after="0"/>
              <w:rPr>
                <w:sz w:val="20"/>
                <w:szCs w:val="20"/>
                <w:color w:val="auto"/>
              </w:rPr>
            </w:pPr>
            <w:r>
              <w:rPr>
                <w:rFonts w:ascii="Arial" w:cs="Arial" w:eastAsia="Arial" w:hAnsi="Arial"/>
                <w:sz w:val="18"/>
                <w:szCs w:val="18"/>
                <w:color w:val="auto"/>
              </w:rPr>
              <w:t>Date</w:t>
            </w:r>
          </w:p>
        </w:tc>
      </w:tr>
      <w:tr>
        <w:trPr>
          <w:trHeight w:val="20"/>
        </w:trPr>
        <w:tc>
          <w:tcPr>
            <w:tcW w:w="3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426"/>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G. Vogt</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Interim Chief Executive Officer and President, and</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Frederick G. Vogt, Ph.D., J.D.</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General Counsel (Principal Executive Officer)</w:t>
            </w: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Bellemin</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Treasurer</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Jean-Marc Bellemin</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 and Accounting Officer)</w:t>
            </w: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Merrill A. McPeak</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Merrill A. McPeak</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Weiser</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Michael Weiser, M.D., Ph.D.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 Maynard</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Ryan D. Maynard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Dukes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Iain Dukes, D.Phil.</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Rothbaum</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Wayne Rothbaum</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Athena Countouriotis</w:t>
            </w:r>
          </w:p>
        </w:tc>
        <w:tc>
          <w:tcPr>
            <w:tcW w:w="43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00" w:type="dxa"/>
            <w:vAlign w:val="bottom"/>
          </w:tcPr>
          <w:p>
            <w:pPr>
              <w:spacing w:after="0"/>
              <w:rPr>
                <w:sz w:val="20"/>
                <w:szCs w:val="20"/>
                <w:color w:val="auto"/>
              </w:rPr>
            </w:pPr>
            <w:r>
              <w:rPr>
                <w:rFonts w:ascii="Arial" w:cs="Arial" w:eastAsia="Arial" w:hAnsi="Arial"/>
                <w:sz w:val="18"/>
                <w:szCs w:val="18"/>
                <w:color w:val="auto"/>
              </w:rPr>
              <w:t>February 24, 2022</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Athena Countouriotis, M.D.</w:t>
            </w:r>
          </w:p>
        </w:tc>
        <w:tc>
          <w:tcPr>
            <w:tcW w:w="2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863"/>
        </w:trPr>
        <w:tc>
          <w:tcPr>
            <w:tcW w:w="3180" w:type="dxa"/>
            <w:vAlign w:val="bottom"/>
          </w:tcPr>
          <w:p>
            <w:pPr>
              <w:spacing w:after="0"/>
              <w:rPr>
                <w:sz w:val="24"/>
                <w:szCs w:val="24"/>
                <w:color w:val="auto"/>
              </w:rPr>
            </w:pPr>
          </w:p>
        </w:tc>
        <w:tc>
          <w:tcPr>
            <w:tcW w:w="4160" w:type="dxa"/>
            <w:vAlign w:val="bottom"/>
            <w:gridSpan w:val="2"/>
          </w:tcPr>
          <w:p>
            <w:pPr>
              <w:ind w:left="16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560"/>
        </w:trPr>
        <w:tc>
          <w:tcPr>
            <w:tcW w:w="3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rPr>
              <w:t>IOVANCE BIOTHERAPEUTICS,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3"/>
          </w:tcPr>
          <w:p>
            <w:pPr>
              <w:jc w:val="center"/>
              <w:ind w:right="2740"/>
              <w:spacing w:after="0"/>
              <w:rPr>
                <w:sz w:val="20"/>
                <w:szCs w:val="20"/>
                <w:color w:val="auto"/>
              </w:rPr>
            </w:pPr>
            <w:r>
              <w:rPr>
                <w:rFonts w:ascii="Arial" w:cs="Arial" w:eastAsia="Arial" w:hAnsi="Arial"/>
                <w:sz w:val="18"/>
                <w:szCs w:val="18"/>
                <w:b w:val="1"/>
                <w:bCs w:val="1"/>
                <w:color w:val="auto"/>
                <w:w w:val="90"/>
              </w:rPr>
              <w:t>Index to Financial Statements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7"/>
              </w:rPr>
              <w:t>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1"/>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 xml:space="preserve">Report of Ernst &amp; Young LLP,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1"/>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 xml:space="preserve">Report of Ernst &amp; Young LLP,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11"/>
            <w:shd w:val="clear" w:color="auto" w:fill="CCEEFF"/>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 xml:space="preserve">Report of Marcum LLP,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688)</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Consolidated Balance Sheets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Operations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Statements of Comprehensive Loss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Consolidated Statements of Stockholders’ Equity</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Cash Flows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gridSpan w:val="2"/>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10"/>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Notes to Consolidated Financial Statements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F-12</w:t>
            </w:r>
          </w:p>
        </w:tc>
        <w:tc>
          <w:tcPr>
            <w:tcW w:w="0" w:type="dxa"/>
            <w:vAlign w:val="bottom"/>
          </w:tcPr>
          <w:p>
            <w:pPr>
              <w:spacing w:after="0"/>
              <w:rPr>
                <w:sz w:val="1"/>
                <w:szCs w:val="1"/>
                <w:color w:val="auto"/>
              </w:rPr>
            </w:pPr>
          </w:p>
        </w:tc>
      </w:tr>
      <w:tr>
        <w:trPr>
          <w:trHeight w:val="1438"/>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auto"/>
        </w:rPr>
        <w:t>REPORT OF ERNST &amp; YOUNG LLP,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Iovance Biotherapeutics,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have audited the accompanying consolidated balance sheet of Iovance Biotherapeutics, Inc. (the “Company”) as of December 31, 2021, the related consolidated statements of operations, comprehensive loss, stockholders’ equity and cash flows for the year ended December 31, 2021, and the related notes (collectively referred to as the “consolidated financial statements”). In our opinion, the consolidated financial statements present fairly, in all material respects, the financial position of the Company as of December 31, 2021 and the results of its operations and its cash flows for the year then ended, in conformity with U.S. generally accepted accounting principles.</w:t>
      </w:r>
    </w:p>
    <w:p>
      <w:pPr>
        <w:spacing w:after="0" w:line="19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24, 2022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clinical development costs</w:t>
      </w:r>
    </w:p>
    <w:p>
      <w:pPr>
        <w:spacing w:after="0" w:line="243"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During 2021, the Company incurred $38.7 million of research and development expenses and accrued</w:t>
      </w:r>
    </w:p>
    <w:p>
      <w:pPr>
        <w:spacing w:after="0" w:line="23" w:lineRule="exact"/>
        <w:rPr>
          <w:sz w:val="20"/>
          <w:szCs w:val="20"/>
          <w:color w:val="auto"/>
        </w:rPr>
      </w:pPr>
    </w:p>
    <w:p>
      <w:pPr>
        <w:ind w:left="1620" w:right="459" w:hanging="1599"/>
        <w:spacing w:after="0" w:line="286" w:lineRule="auto"/>
        <w:tabs>
          <w:tab w:leader="none" w:pos="160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$18.0 million of clinical development costs as of December 31, 2021. As described in Note 2 to the Financial Statements, the Company determines accruals for clinical development costs based on the various clinical trial activities performed pursuant to contracts with third-party contract research organizations (“CROs”), which comprise a significant component of the Company’s research and development expenses. Clinical development costs are accrued and expensed based on the percentage of work completed in accordance with agreements established with CROs. The timing and amount of payments required under each individual arrangement are often different from the pattern of costs actually incurred. The Company accrues clinical development costs under its contracts with third-party service providers based on the progress or stage of completion of trials or services completed by vendors over the life of the individual trial, number of subjects enrolled, and number of sites activated.</w:t>
      </w:r>
    </w:p>
    <w:p>
      <w:pPr>
        <w:spacing w:after="0" w:line="210" w:lineRule="exact"/>
        <w:rPr>
          <w:sz w:val="20"/>
          <w:szCs w:val="20"/>
          <w:color w:val="auto"/>
        </w:rPr>
      </w:pPr>
    </w:p>
    <w:p>
      <w:pPr>
        <w:ind w:left="1620" w:right="459"/>
        <w:spacing w:after="0" w:line="272" w:lineRule="auto"/>
        <w:rPr>
          <w:sz w:val="20"/>
          <w:szCs w:val="20"/>
          <w:color w:val="auto"/>
        </w:rPr>
      </w:pPr>
      <w:r>
        <w:rPr>
          <w:rFonts w:ascii="Arial" w:cs="Arial" w:eastAsia="Arial" w:hAnsi="Arial"/>
          <w:sz w:val="17"/>
          <w:szCs w:val="17"/>
          <w:color w:val="auto"/>
        </w:rPr>
        <w:t>Auditing management’s accounting for accrued clinical development costs is especially challenging because the evaluation is dependent on a high volume of data exchanged between third-party service providers, internal clinical personnel, and the Company’s finance team. Determining accrued amounts is based on an evaluation of the unique terms and conditions set in each respective CRO agreement. Additionally, due to the duration of clinical trial activities and the timing of invoices received from third parties, the determination of the accrual for services incurred requires management to ensure they have complete and accurate information from vendors.</w:t>
      </w:r>
    </w:p>
    <w:p>
      <w:pPr>
        <w:spacing w:after="0" w:line="191" w:lineRule="exact"/>
        <w:rPr>
          <w:sz w:val="20"/>
          <w:szCs w:val="20"/>
          <w:color w:val="auto"/>
        </w:rPr>
      </w:pPr>
    </w:p>
    <w:p>
      <w:pPr>
        <w:jc w:val="both"/>
        <w:ind w:left="20" w:right="659"/>
        <w:spacing w:after="0" w:line="291" w:lineRule="auto"/>
        <w:rPr>
          <w:sz w:val="20"/>
          <w:szCs w:val="20"/>
          <w:color w:val="auto"/>
        </w:rPr>
      </w:pPr>
      <w:r>
        <w:rPr>
          <w:rFonts w:ascii="Arial" w:cs="Arial" w:eastAsia="Arial" w:hAnsi="Arial"/>
          <w:sz w:val="16"/>
          <w:szCs w:val="16"/>
          <w:i w:val="1"/>
          <w:iCs w:val="1"/>
          <w:color w:val="auto"/>
        </w:rPr>
        <w:t xml:space="preserve">How We Addressed </w:t>
      </w:r>
      <w:r>
        <w:rPr>
          <w:rFonts w:ascii="Arial" w:cs="Arial" w:eastAsia="Arial" w:hAnsi="Arial"/>
          <w:sz w:val="16"/>
          <w:szCs w:val="16"/>
          <w:color w:val="auto"/>
        </w:rPr>
        <w:t>To test accrued clinical development costs, our audit procedures included, among others, testing the</w:t>
      </w:r>
      <w:r>
        <w:rPr>
          <w:rFonts w:ascii="Arial" w:cs="Arial" w:eastAsia="Arial" w:hAnsi="Arial"/>
          <w:sz w:val="16"/>
          <w:szCs w:val="16"/>
          <w:i w:val="1"/>
          <w:iCs w:val="1"/>
          <w:color w:val="auto"/>
        </w:rPr>
        <w:t xml:space="preserve"> the Matter in Our </w:t>
      </w:r>
      <w:r>
        <w:rPr>
          <w:rFonts w:ascii="Arial" w:cs="Arial" w:eastAsia="Arial" w:hAnsi="Arial"/>
          <w:sz w:val="16"/>
          <w:szCs w:val="16"/>
          <w:color w:val="auto"/>
        </w:rPr>
        <w:t>accuracy and completeness of the inputs used in management’s analysis to determine costs incurred.</w:t>
      </w:r>
    </w:p>
    <w:p>
      <w:pPr>
        <w:ind w:left="1620" w:right="459" w:hanging="1599"/>
        <w:spacing w:after="0" w:line="286" w:lineRule="auto"/>
        <w:tabs>
          <w:tab w:leader="none" w:pos="160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We also inspected terms and conditions for selected CRO contracts and change orders and compared these to the cost models management used in tracking the progress of service agreements. We met with internal clinical personnel to understand the status of significant clinical activities. We evaluated services provided by third parties by understanding the terms and timeline of significant projects, evaluated management’s determination of work performed, subjects enrolled, sites activated and costs incurred, and obtained external confirmation of contracts and change orders executed by the Company for a sample of CROs as well as key terms and conditions of those contracts. Further, we inspected selected invoices received from third parties after the balance sheet date and evaluated whether services performed prior to the balance sheet date had been properly included in costs accrued.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600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auto"/>
        </w:rPr>
        <w:t>REPORT OF ERNST &amp; YOUNG LLP,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Iovance Biotherapeutics,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have audited Iovance Biotherapeutics, Inc.’s internal control over financial reporting as of December 31, 2021, based on criteria established in Internal Control—Integrated Framework issued by the Committee of Sponsoring Organizations of the Treadway Commission (2013 framework) (the COSO criteria). In our opinion, Iovance Biotherapeutics, Inc. (the Company) maintained, in all material respects, effective internal control over financial reporting as of December 31, 2021, based on the COSO criteria.</w:t>
      </w:r>
    </w:p>
    <w:p>
      <w:pPr>
        <w:spacing w:after="0" w:line="1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balance sheet of the Company as of December 31, 2021 the related statements of operations, comprehensive loss, stockholders’ equity and cash flows for the year ended December 31, 2021, and the related notes, and our report dated February 24,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175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Iovance Biotherapeutics,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 of Iovance Biotherapeutics, Inc. (the “Company”) as of December 31, 2020, the related consolidated statements of operations, comprehensive loss, stockholders’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each of the two years in the period ended December 31, 2020,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Incremental Borrowing Rate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19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As discussed in Note 10 to the consolidated financial statements, the Company’s reported right-of-use assets, current lease liabilities and long-term lease liabilities, utilize discount rates to calculate the estimated present value of future lease payments. Since the Company’s leases do not provide an implicit rate, management utilized a third-party valuation specialist to assist in estimating the incremental borrowing rates used in its present value calculation, which required subjectivity. The incremental borrowing rate is the rate of interest that a lessee would have to pay to borrow on a collateralized basis over a similar term an amount equal to the lease payments in a similar economic environment. As of December 31, 2020, the weighted average incremental borrowing rate used to determine the operating lease liability is 8.3%.</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Auditing management’s assessment of its incremental borrowing rate is highly subjective and judgmental as the Company has no outstanding debt nor committed credit facilities, secured or otherwise, that would have comparable collateral or similar terms as their underlying leases. Further, changes in the incremental borrowing rate may have a material impact on the measurement of the Company’s right-of-use assets, current lease liabilities and long-term lease liabilities. Based on the level of management judgment, we have determined the incremental borrowing rate to be a critical audit matter. This required a high degree of auditor judgment and an increased extent of effort, including the need to involve our valuation specialists, when performing audit procedures to evaluate the reasonableness of management’s estimation of the incremental borrowing rate.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included, amongst others:</w:t>
      </w:r>
    </w:p>
    <w:p>
      <w:pPr>
        <w:spacing w:after="0" w:line="198" w:lineRule="exact"/>
        <w:rPr>
          <w:sz w:val="20"/>
          <w:szCs w:val="20"/>
          <w:color w:val="auto"/>
        </w:rPr>
      </w:pPr>
    </w:p>
    <w:p>
      <w:pPr>
        <w:ind w:left="680" w:right="280" w:hanging="321"/>
        <w:spacing w:after="0" w:line="263"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management’s controls with regards to the methodology, inputs, and assumptions used to determine the incremental borrowing rate, including those over management’s review of its third-party specialist valuation report.</w:t>
      </w:r>
    </w:p>
    <w:p>
      <w:pPr>
        <w:spacing w:after="0" w:line="143" w:lineRule="exact"/>
        <w:rPr>
          <w:rFonts w:ascii="Arial" w:cs="Arial" w:eastAsia="Arial" w:hAnsi="Arial"/>
          <w:sz w:val="18"/>
          <w:szCs w:val="18"/>
          <w:color w:val="auto"/>
        </w:rPr>
      </w:pPr>
    </w:p>
    <w:p>
      <w:pPr>
        <w:jc w:val="both"/>
        <w:ind w:left="680" w:right="40" w:hanging="321"/>
        <w:spacing w:after="0" w:line="286"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obtained an understanding of the factors considered and assumptions made by management and the valuation specialists in developing the estimate of the incremental borrowing rate, the sources of data relevant to these factors and assumptions and the procedures used to obtain the data, and the methods used to calculate the estimate.</w:t>
      </w:r>
    </w:p>
    <w:p>
      <w:pPr>
        <w:spacing w:after="0" w:line="124" w:lineRule="exact"/>
        <w:rPr>
          <w:rFonts w:ascii="Arial" w:cs="Arial" w:eastAsia="Arial" w:hAnsi="Arial"/>
          <w:sz w:val="17"/>
          <w:szCs w:val="17"/>
          <w:color w:val="auto"/>
        </w:rPr>
      </w:pPr>
    </w:p>
    <w:p>
      <w:pPr>
        <w:ind w:left="680" w:hanging="321"/>
        <w:spacing w:after="0" w:line="263"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reviewed the contractual terms of the lease agreements to ensure the commencement dates, any lease term extensions and/or early termination clauses were properly considered in determining the appropriate lease term for calculating the incremental borrowing rates.</w:t>
      </w:r>
    </w:p>
    <w:p>
      <w:pPr>
        <w:spacing w:after="0" w:line="156"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performed an independent estimate of the incremental borrowing rate and compared the results to the Company’s estimate.</w:t>
      </w:r>
    </w:p>
    <w:p>
      <w:pPr>
        <w:spacing w:after="0" w:line="129" w:lineRule="exact"/>
        <w:rPr>
          <w:rFonts w:ascii="Arial" w:cs="Arial" w:eastAsia="Arial" w:hAnsi="Arial"/>
          <w:sz w:val="18"/>
          <w:szCs w:val="18"/>
          <w:color w:val="auto"/>
        </w:rPr>
      </w:pPr>
    </w:p>
    <w:p>
      <w:pPr>
        <w:jc w:val="both"/>
        <w:ind w:left="680" w:right="80" w:hanging="321"/>
        <w:spacing w:after="0" w:line="263"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evaluated the reasonableness of the valuation methods and assumptions used by management and the Company’s valuation specialist to estimate the incremental borrowing rates for borrowing amounts and terms comparable to their outstanding leases by:</w:t>
      </w:r>
    </w:p>
    <w:p>
      <w:pPr>
        <w:spacing w:after="0" w:line="143" w:lineRule="exact"/>
        <w:rPr>
          <w:sz w:val="20"/>
          <w:szCs w:val="20"/>
          <w:color w:val="auto"/>
        </w:rPr>
      </w:pPr>
    </w:p>
    <w:p>
      <w:pPr>
        <w:ind w:left="1340" w:right="40" w:hanging="333"/>
        <w:spacing w:after="0" w:line="323" w:lineRule="auto"/>
        <w:tabs>
          <w:tab w:leader="none" w:pos="1340" w:val="left"/>
        </w:tabs>
        <w:numPr>
          <w:ilvl w:val="0"/>
          <w:numId w:val="46"/>
        </w:numPr>
        <w:rPr>
          <w:rFonts w:ascii="Courier New" w:cs="Courier New" w:eastAsia="Courier New" w:hAnsi="Courier New"/>
          <w:sz w:val="16"/>
          <w:szCs w:val="16"/>
          <w:color w:val="auto"/>
        </w:rPr>
      </w:pPr>
      <w:r>
        <w:rPr>
          <w:rFonts w:ascii="Arial" w:cs="Arial" w:eastAsia="Arial" w:hAnsi="Arial"/>
          <w:sz w:val="16"/>
          <w:szCs w:val="16"/>
          <w:color w:val="auto"/>
        </w:rPr>
        <w:t>Developing an independent estimate of the incremental borrowing rates with the assistance of our valuation specialists by utilizing third party data related to comparable company borrowings with comparable payment terms.</w:t>
      </w:r>
    </w:p>
    <w:p>
      <w:pPr>
        <w:spacing w:after="0" w:line="106" w:lineRule="exact"/>
        <w:rPr>
          <w:rFonts w:ascii="Courier New" w:cs="Courier New" w:eastAsia="Courier New" w:hAnsi="Courier New"/>
          <w:sz w:val="16"/>
          <w:szCs w:val="16"/>
          <w:color w:val="auto"/>
        </w:rPr>
      </w:pPr>
    </w:p>
    <w:p>
      <w:pPr>
        <w:ind w:left="1340" w:right="20" w:hanging="333"/>
        <w:spacing w:after="0" w:line="323" w:lineRule="auto"/>
        <w:tabs>
          <w:tab w:leader="none" w:pos="1340" w:val="left"/>
        </w:tabs>
        <w:numPr>
          <w:ilvl w:val="0"/>
          <w:numId w:val="46"/>
        </w:numPr>
        <w:rPr>
          <w:rFonts w:ascii="Courier New" w:cs="Courier New" w:eastAsia="Courier New" w:hAnsi="Courier New"/>
          <w:sz w:val="16"/>
          <w:szCs w:val="16"/>
          <w:color w:val="auto"/>
        </w:rPr>
      </w:pPr>
      <w:r>
        <w:rPr>
          <w:rFonts w:ascii="Arial" w:cs="Arial" w:eastAsia="Arial" w:hAnsi="Arial"/>
          <w:sz w:val="16"/>
          <w:szCs w:val="16"/>
          <w:color w:val="auto"/>
        </w:rPr>
        <w:t>Performing a sensitivity analysis on incremental borrowing rates used to determine the impact rate changes could have on the present value calculation of the Company’s operating lease right-of-use assets and operating lease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2016 to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78,229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67,329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426,181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100,938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68,983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6,084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assets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777,333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56,766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 – noncurrent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rPr>
                <w:sz w:val="20"/>
                <w:szCs w:val="20"/>
                <w:color w:val="auto"/>
              </w:rPr>
            </w:pPr>
            <w:r>
              <w:rPr>
                <w:rFonts w:ascii="Arial" w:cs="Arial" w:eastAsia="Arial" w:hAnsi="Arial"/>
                <w:sz w:val="16"/>
                <w:szCs w:val="16"/>
                <w:color w:val="auto"/>
              </w:rPr>
              <w:t>Long-term note payable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Non-Current Liabilities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66,474</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155,674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111,960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w w:val="92"/>
              </w:rPr>
              <w:t>Series A Convertible Preferred stock, $0.001 par value; 17,000 shares designated, 194 shares issued and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outstanding as of December 31, 2021 and December 31, 2020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Series B Convertible Preferred stock, $0.001 par value; 11,500,000 shares designated, 2,842,158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3,581,119 shares issued and outstanding as of December 31, 2021 and December 31, 2020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w w:val="93"/>
              </w:rPr>
              <w:t>Common stock, $0.000041666 par value; 300,000,000 shares authorized, 157,004,742 and 146,874,917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shares issued and outstanding as of December 31, 2021 and December 31, 2020,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 income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1,794,695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1,486,662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(1,172,445)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621,659</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656,498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777,333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259,039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201,727</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83,664</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342,703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261,937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(342,703)</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(261,937)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(342,252)</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(259,581)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4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24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Weighted Average Shares of Common Stock Outstanding, Basic and Diluted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153,406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138,301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124,336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(197,556)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comprehensive loss / (gain):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 (gain) on short-term investments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(342,872)</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(259,782)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(197,294)</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82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84"/>
              </w:rPr>
              <w:t>Series A</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6"/>
          </w:tcPr>
          <w:p>
            <w:pPr>
              <w:ind w:left="80"/>
              <w:spacing w:after="0"/>
              <w:rPr>
                <w:sz w:val="20"/>
                <w:szCs w:val="20"/>
                <w:color w:val="auto"/>
              </w:rPr>
            </w:pPr>
            <w:r>
              <w:rPr>
                <w:rFonts w:ascii="Arial" w:cs="Arial" w:eastAsia="Arial" w:hAnsi="Arial"/>
                <w:sz w:val="13"/>
                <w:szCs w:val="13"/>
                <w:b w:val="1"/>
                <w:bCs w:val="1"/>
                <w:color w:val="auto"/>
              </w:rPr>
              <w:t>Series B Convertible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128"/>
        </w:trPr>
        <w:tc>
          <w:tcPr>
            <w:tcW w:w="2440" w:type="dxa"/>
            <w:vAlign w:val="bottom"/>
          </w:tcPr>
          <w:p>
            <w:pPr>
              <w:spacing w:after="0"/>
              <w:rPr>
                <w:sz w:val="11"/>
                <w:szCs w:val="11"/>
                <w:color w:val="auto"/>
              </w:rPr>
            </w:pPr>
          </w:p>
        </w:tc>
        <w:tc>
          <w:tcPr>
            <w:tcW w:w="1080" w:type="dxa"/>
            <w:vAlign w:val="bottom"/>
            <w:tcBorders>
              <w:top w:val="single" w:sz="8" w:color="auto"/>
              <w:bottom w:val="single" w:sz="8" w:color="auto"/>
            </w:tcBorders>
            <w:gridSpan w:val="4"/>
          </w:tcPr>
          <w:p>
            <w:pPr>
              <w:jc w:val="center"/>
              <w:spacing w:after="0" w:line="129" w:lineRule="exact"/>
              <w:rPr>
                <w:sz w:val="20"/>
                <w:szCs w:val="20"/>
                <w:color w:val="auto"/>
              </w:rPr>
            </w:pPr>
            <w:r>
              <w:rPr>
                <w:rFonts w:ascii="Arial" w:cs="Arial" w:eastAsia="Arial" w:hAnsi="Arial"/>
                <w:sz w:val="13"/>
                <w:szCs w:val="13"/>
                <w:b w:val="1"/>
                <w:bCs w:val="1"/>
                <w:color w:val="auto"/>
                <w:w w:val="86"/>
              </w:rPr>
              <w:t>Preferred Stock</w:t>
            </w:r>
          </w:p>
        </w:tc>
        <w:tc>
          <w:tcPr>
            <w:tcW w:w="140" w:type="dxa"/>
            <w:vAlign w:val="bottom"/>
          </w:tcPr>
          <w:p>
            <w:pPr>
              <w:spacing w:after="0"/>
              <w:rPr>
                <w:sz w:val="11"/>
                <w:szCs w:val="11"/>
                <w:color w:val="auto"/>
              </w:rPr>
            </w:pPr>
          </w:p>
        </w:tc>
        <w:tc>
          <w:tcPr>
            <w:tcW w:w="108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rPr>
              <w:t>Preferred Stock</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8"/>
              </w:rPr>
              <w:t>Comprehensive</w:t>
            </w:r>
          </w:p>
        </w:tc>
        <w:tc>
          <w:tcPr>
            <w:tcW w:w="82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Stockholder</w:t>
            </w:r>
          </w:p>
        </w:tc>
      </w:tr>
      <w:tr>
        <w:trPr>
          <w:trHeight w:val="128"/>
        </w:trPr>
        <w:tc>
          <w:tcPr>
            <w:tcW w:w="2440" w:type="dxa"/>
            <w:vAlign w:val="bottom"/>
          </w:tcPr>
          <w:p>
            <w:pPr>
              <w:spacing w:after="0"/>
              <w:rPr>
                <w:sz w:val="11"/>
                <w:szCs w:val="11"/>
                <w:color w:val="auto"/>
              </w:rPr>
            </w:pPr>
          </w:p>
        </w:tc>
        <w:tc>
          <w:tcPr>
            <w:tcW w:w="58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50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2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1"/>
                <w:szCs w:val="11"/>
                <w:color w:val="auto"/>
              </w:rPr>
            </w:pPr>
          </w:p>
        </w:tc>
        <w:tc>
          <w:tcPr>
            <w:tcW w:w="70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28"/>
        </w:trPr>
        <w:tc>
          <w:tcPr>
            <w:tcW w:w="2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January 1, 2019</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5,854,845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123,415,576</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838,984</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(372,760)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466,193</w:t>
            </w:r>
          </w:p>
        </w:tc>
      </w:tr>
      <w:tr>
        <w:trPr>
          <w:trHeight w:val="135"/>
        </w:trPr>
        <w:tc>
          <w:tcPr>
            <w:tcW w:w="2440" w:type="dxa"/>
            <w:vAlign w:val="bottom"/>
          </w:tcPr>
          <w:p>
            <w:pPr>
              <w:ind w:left="120"/>
              <w:spacing w:after="0" w:line="135" w:lineRule="exact"/>
              <w:rPr>
                <w:sz w:val="20"/>
                <w:szCs w:val="20"/>
                <w:color w:val="auto"/>
              </w:rPr>
            </w:pPr>
            <w:r>
              <w:rPr>
                <w:rFonts w:ascii="Arial" w:cs="Arial" w:eastAsia="Arial" w:hAnsi="Arial"/>
                <w:sz w:val="13"/>
                <w:szCs w:val="13"/>
                <w:color w:val="auto"/>
              </w:rPr>
              <w:t>Adoption of ASU 2018-07</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296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4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24,277</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24,277</w:t>
            </w:r>
          </w:p>
        </w:tc>
      </w:tr>
      <w:tr>
        <w:trPr>
          <w:trHeight w:val="121"/>
        </w:trPr>
        <w:tc>
          <w:tcPr>
            <w:tcW w:w="2440" w:type="dxa"/>
            <w:vAlign w:val="bottom"/>
          </w:tcPr>
          <w:p>
            <w:pPr>
              <w:ind w:left="120"/>
              <w:spacing w:after="0" w:line="121" w:lineRule="exact"/>
              <w:rPr>
                <w:sz w:val="20"/>
                <w:szCs w:val="20"/>
                <w:color w:val="auto"/>
              </w:rPr>
            </w:pPr>
            <w:r>
              <w:rPr>
                <w:rFonts w:ascii="Arial" w:cs="Arial" w:eastAsia="Arial" w:hAnsi="Arial"/>
                <w:sz w:val="13"/>
                <w:szCs w:val="13"/>
                <w:color w:val="auto"/>
              </w:rPr>
              <w:t>Vesting of restricted shares issued for</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services</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27,514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4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Tax payments related to shares withheld</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 vested restricted stock units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r>
      <w:tr>
        <w:trPr>
          <w:trHeight w:val="121"/>
        </w:trPr>
        <w:tc>
          <w:tcPr>
            <w:tcW w:w="2440" w:type="dxa"/>
            <w:vAlign w:val="bottom"/>
          </w:tcPr>
          <w:p>
            <w:pPr>
              <w:ind w:left="120"/>
              <w:spacing w:after="0" w:line="121" w:lineRule="exact"/>
              <w:rPr>
                <w:sz w:val="20"/>
                <w:szCs w:val="20"/>
                <w:color w:val="auto"/>
              </w:rPr>
            </w:pPr>
            <w:r>
              <w:rPr>
                <w:rFonts w:ascii="Arial" w:cs="Arial" w:eastAsia="Arial" w:hAnsi="Arial"/>
                <w:sz w:val="13"/>
                <w:szCs w:val="13"/>
                <w:color w:val="auto"/>
              </w:rPr>
              <w:t>Common stock issued upon exercise of</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727,492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6,443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6,443</w:t>
            </w:r>
          </w:p>
        </w:tc>
      </w:tr>
      <w:tr>
        <w:trPr>
          <w:trHeight w:val="121"/>
        </w:trPr>
        <w:tc>
          <w:tcPr>
            <w:tcW w:w="24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Conversion of convertible preferred stock</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into common stock</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(2,273,726)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2,273,726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440" w:type="dxa"/>
            <w:vAlign w:val="bottom"/>
          </w:tcPr>
          <w:p>
            <w:pPr>
              <w:ind w:left="120"/>
              <w:spacing w:after="0" w:line="135" w:lineRule="exact"/>
              <w:rPr>
                <w:sz w:val="20"/>
                <w:szCs w:val="20"/>
                <w:color w:val="auto"/>
              </w:rPr>
            </w:pPr>
            <w:r>
              <w:rPr>
                <w:rFonts w:ascii="Arial" w:cs="Arial" w:eastAsia="Arial" w:hAnsi="Arial"/>
                <w:sz w:val="13"/>
                <w:szCs w:val="13"/>
                <w:color w:val="auto"/>
              </w:rPr>
              <w:t>Unrealized gain on investments</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262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262</w:t>
            </w:r>
          </w:p>
        </w:tc>
      </w:tr>
      <w:tr>
        <w:trPr>
          <w:trHeight w:val="121"/>
        </w:trPr>
        <w:tc>
          <w:tcPr>
            <w:tcW w:w="24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Cancellation of common shares from</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settlement of dispute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(32,500)</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(335)</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r>
      <w:tr>
        <w:trPr>
          <w:trHeight w:val="135"/>
        </w:trPr>
        <w:tc>
          <w:tcPr>
            <w:tcW w:w="244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(197,556)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6"/>
              </w:rPr>
              <w:t>(197,556)</w:t>
            </w:r>
          </w:p>
        </w:tc>
      </w:tr>
      <w:tr>
        <w:trPr>
          <w:trHeight w:val="128"/>
        </w:trPr>
        <w:tc>
          <w:tcPr>
            <w:tcW w:w="2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2019</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3,581,119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126,411,808</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869,354</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(570,612)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298,971</w:t>
            </w:r>
          </w:p>
        </w:tc>
      </w:tr>
      <w:tr>
        <w:trPr>
          <w:trHeight w:val="135"/>
        </w:trPr>
        <w:tc>
          <w:tcPr>
            <w:tcW w:w="244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40,775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40,775</w:t>
            </w:r>
          </w:p>
        </w:tc>
      </w:tr>
      <w:tr>
        <w:trPr>
          <w:trHeight w:val="121"/>
        </w:trPr>
        <w:tc>
          <w:tcPr>
            <w:tcW w:w="24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1"/>
              </w:rPr>
              <w:t>Vesting of restricted stock shares issued for</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21"/>
        </w:trPr>
        <w:tc>
          <w:tcPr>
            <w:tcW w:w="2440" w:type="dxa"/>
            <w:vAlign w:val="bottom"/>
          </w:tcPr>
          <w:p>
            <w:pPr>
              <w:ind w:left="120"/>
              <w:spacing w:after="0" w:line="121" w:lineRule="exact"/>
              <w:rPr>
                <w:sz w:val="20"/>
                <w:szCs w:val="20"/>
                <w:color w:val="auto"/>
              </w:rPr>
            </w:pPr>
            <w:r>
              <w:rPr>
                <w:rFonts w:ascii="Arial" w:cs="Arial" w:eastAsia="Arial" w:hAnsi="Arial"/>
                <w:sz w:val="13"/>
                <w:szCs w:val="13"/>
                <w:color w:val="auto"/>
                <w:w w:val="98"/>
              </w:rPr>
              <w:t>Tax payments related to shares withheld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for vested restricted stock units</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(284)</w:t>
            </w:r>
          </w:p>
        </w:tc>
        <w:tc>
          <w:tcPr>
            <w:tcW w:w="3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(284)</w:t>
            </w:r>
          </w:p>
        </w:tc>
      </w:tr>
      <w:tr>
        <w:trPr>
          <w:trHeight w:val="121"/>
        </w:trPr>
        <w:tc>
          <w:tcPr>
            <w:tcW w:w="24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issued upon exercise of</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options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973,854</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9,663</w:t>
            </w:r>
          </w:p>
        </w:tc>
      </w:tr>
      <w:tr>
        <w:trPr>
          <w:trHeight w:val="121"/>
        </w:trPr>
        <w:tc>
          <w:tcPr>
            <w:tcW w:w="2440" w:type="dxa"/>
            <w:vAlign w:val="bottom"/>
          </w:tcPr>
          <w:p>
            <w:pPr>
              <w:ind w:left="120"/>
              <w:spacing w:after="0" w:line="121" w:lineRule="exact"/>
              <w:rPr>
                <w:sz w:val="20"/>
                <w:szCs w:val="20"/>
                <w:color w:val="auto"/>
              </w:rPr>
            </w:pPr>
            <w:r>
              <w:rPr>
                <w:rFonts w:ascii="Arial" w:cs="Arial" w:eastAsia="Arial" w:hAnsi="Arial"/>
                <w:sz w:val="13"/>
                <w:szCs w:val="13"/>
                <w:color w:val="auto"/>
                <w:w w:val="96"/>
              </w:rPr>
              <w:t>Common stock sold in public offering, net</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of offering costs</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19,475,806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567,042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567,043</w:t>
            </w:r>
          </w:p>
        </w:tc>
      </w:tr>
      <w:tr>
        <w:trPr>
          <w:trHeight w:val="135"/>
        </w:trPr>
        <w:tc>
          <w:tcPr>
            <w:tcW w:w="24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loss on investments</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(201)</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w:t>
            </w:r>
          </w:p>
        </w:tc>
      </w:tr>
      <w:tr>
        <w:trPr>
          <w:trHeight w:val="135"/>
        </w:trPr>
        <w:tc>
          <w:tcPr>
            <w:tcW w:w="244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(259,581)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6"/>
              </w:rPr>
              <w:t>(259,581)</w:t>
            </w:r>
          </w:p>
        </w:tc>
      </w:tr>
      <w:tr>
        <w:trPr>
          <w:trHeight w:val="128"/>
        </w:trPr>
        <w:tc>
          <w:tcPr>
            <w:tcW w:w="2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2020</w:t>
            </w: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3,581,119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146,874,917</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1,486,662</w:t>
            </w: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(830,193)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656,498</w:t>
            </w:r>
          </w:p>
        </w:tc>
      </w:tr>
      <w:tr>
        <w:trPr>
          <w:trHeight w:val="135"/>
        </w:trPr>
        <w:tc>
          <w:tcPr>
            <w:tcW w:w="244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69,765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69,765</w:t>
            </w:r>
          </w:p>
        </w:tc>
      </w:tr>
      <w:tr>
        <w:trPr>
          <w:trHeight w:val="121"/>
        </w:trPr>
        <w:tc>
          <w:tcPr>
            <w:tcW w:w="24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9"/>
              </w:rPr>
              <w:t>Common stock issued upon purchase of</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employee stock purchase plan</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94,148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r>
      <w:tr>
        <w:trPr>
          <w:trHeight w:val="121"/>
        </w:trPr>
        <w:tc>
          <w:tcPr>
            <w:tcW w:w="2440" w:type="dxa"/>
            <w:vAlign w:val="bottom"/>
          </w:tcPr>
          <w:p>
            <w:pPr>
              <w:ind w:left="120"/>
              <w:spacing w:after="0" w:line="121" w:lineRule="exact"/>
              <w:rPr>
                <w:sz w:val="20"/>
                <w:szCs w:val="20"/>
                <w:color w:val="auto"/>
              </w:rPr>
            </w:pPr>
            <w:r>
              <w:rPr>
                <w:rFonts w:ascii="Arial" w:cs="Arial" w:eastAsia="Arial" w:hAnsi="Arial"/>
                <w:sz w:val="13"/>
                <w:szCs w:val="13"/>
                <w:color w:val="auto"/>
              </w:rPr>
              <w:t>Common stock issued upon exercise of</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2,822,617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33,526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33,526</w:t>
            </w:r>
          </w:p>
        </w:tc>
      </w:tr>
      <w:tr>
        <w:trPr>
          <w:trHeight w:val="121"/>
        </w:trPr>
        <w:tc>
          <w:tcPr>
            <w:tcW w:w="244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Common stock sold in public offering, net</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offering costs</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6,474,099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203,155</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203,156</w:t>
            </w:r>
          </w:p>
        </w:tc>
      </w:tr>
      <w:tr>
        <w:trPr>
          <w:trHeight w:val="121"/>
        </w:trPr>
        <w:tc>
          <w:tcPr>
            <w:tcW w:w="2440" w:type="dxa"/>
            <w:vAlign w:val="bottom"/>
          </w:tcPr>
          <w:p>
            <w:pPr>
              <w:ind w:left="120"/>
              <w:spacing w:after="0" w:line="121" w:lineRule="exact"/>
              <w:rPr>
                <w:sz w:val="20"/>
                <w:szCs w:val="20"/>
                <w:color w:val="auto"/>
              </w:rPr>
            </w:pPr>
            <w:r>
              <w:rPr>
                <w:rFonts w:ascii="Arial" w:cs="Arial" w:eastAsia="Arial" w:hAnsi="Arial"/>
                <w:sz w:val="13"/>
                <w:szCs w:val="13"/>
                <w:color w:val="auto"/>
                <w:w w:val="92"/>
              </w:rPr>
              <w:t>Common stock issued from preferred stock</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conversion</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(738,961)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700" w:type="dxa"/>
            <w:vAlign w:val="bottom"/>
          </w:tcPr>
          <w:p>
            <w:pPr>
              <w:jc w:val="right"/>
              <w:spacing w:after="0"/>
              <w:rPr>
                <w:sz w:val="20"/>
                <w:szCs w:val="20"/>
                <w:color w:val="auto"/>
              </w:rPr>
            </w:pPr>
            <w:r>
              <w:rPr>
                <w:rFonts w:ascii="Arial" w:cs="Arial" w:eastAsia="Arial" w:hAnsi="Arial"/>
                <w:sz w:val="13"/>
                <w:szCs w:val="13"/>
                <w:color w:val="auto"/>
              </w:rPr>
              <w:t>738,961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4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loss on investments</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w:t>
            </w:r>
          </w:p>
        </w:tc>
      </w:tr>
      <w:tr>
        <w:trPr>
          <w:trHeight w:val="135"/>
        </w:trPr>
        <w:tc>
          <w:tcPr>
            <w:tcW w:w="244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(342,252)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6"/>
              </w:rPr>
              <w:t>(342,252)</w:t>
            </w:r>
          </w:p>
        </w:tc>
      </w:tr>
      <w:tr>
        <w:trPr>
          <w:trHeight w:val="129"/>
        </w:trPr>
        <w:tc>
          <w:tcPr>
            <w:tcW w:w="24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2021</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2,842,158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157,004,742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1,794,695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(1,172,445)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621,659</w:t>
            </w:r>
          </w:p>
        </w:tc>
      </w:tr>
      <w:tr>
        <w:trPr>
          <w:trHeight w:val="20"/>
        </w:trPr>
        <w:tc>
          <w:tcPr>
            <w:tcW w:w="2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w w:val="91"/>
              </w:rPr>
              <w:t>Years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(342,252)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(259,581)</w:t>
            </w:r>
          </w:p>
        </w:tc>
        <w:tc>
          <w:tcPr>
            <w:tcW w:w="4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69,765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 of use asset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settlement of dispute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Accretion (amortization) of discounts and premiums on 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24,109</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(227,941)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(205,134)</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Maturities of investments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762,914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676,601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investments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(317,853)</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Proceeds from the issuance of common stock upon purchase of employee stock</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plan</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Proceeds from the issuance of debt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239,268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576,422</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50"/>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84,313</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26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w w:val="99"/>
              </w:rPr>
              <w:t>Supplemental disclosure of non-cash investing and financing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unrealized loss on short-term investments</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100"/>
              <w:spacing w:after="0" w:line="201" w:lineRule="exact"/>
              <w:rPr>
                <w:sz w:val="20"/>
                <w:szCs w:val="20"/>
                <w:color w:val="auto"/>
              </w:rPr>
            </w:pPr>
            <w:r>
              <w:rPr>
                <w:rFonts w:ascii="Arial" w:cs="Arial" w:eastAsia="Arial" w:hAnsi="Arial"/>
                <w:sz w:val="18"/>
                <w:szCs w:val="18"/>
                <w:color w:val="auto"/>
                <w:w w:val="94"/>
              </w:rPr>
              <w:t>Acquisition of property and equipment included in accounts payable and accrued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convertible preferred stock to common stock</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Vesting of restricted stock units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obtaining right-of-use asset from new leases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w w:val="94"/>
              </w:rPr>
              <w:t>Lease liabilities arising from obtaining right-of-use asset from lease modifications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right="4360"/>
        <w:spacing w:after="0" w:line="464" w:lineRule="auto"/>
        <w:rPr>
          <w:sz w:val="20"/>
          <w:szCs w:val="20"/>
          <w:color w:val="auto"/>
        </w:rPr>
      </w:pPr>
      <w:r>
        <w:rPr>
          <w:rFonts w:ascii="Arial" w:cs="Arial" w:eastAsia="Arial" w:hAnsi="Arial"/>
          <w:sz w:val="18"/>
          <w:szCs w:val="18"/>
          <w:b w:val="1"/>
          <w:bCs w:val="1"/>
          <w:u w:val="single" w:color="auto"/>
          <w:color w:val="auto"/>
        </w:rPr>
        <w:t xml:space="preserve">NOTE 1. GENERAL ORGANIZATION, BUSINESS AND LIQUIDITY </w:t>
      </w:r>
      <w:r>
        <w:rPr>
          <w:rFonts w:ascii="Arial" w:cs="Arial" w:eastAsia="Arial" w:hAnsi="Arial"/>
          <w:sz w:val="18"/>
          <w:szCs w:val="18"/>
          <w:b w:val="1"/>
          <w:bCs w:val="1"/>
          <w:i w:val="1"/>
          <w:iCs w:val="1"/>
          <w:color w:val="auto"/>
        </w:rPr>
        <w:t>General Organization and Business</w:t>
      </w:r>
    </w:p>
    <w:p>
      <w:pPr>
        <w:ind w:right="60" w:firstLine="492"/>
        <w:spacing w:after="0" w:line="268" w:lineRule="auto"/>
        <w:rPr>
          <w:sz w:val="20"/>
          <w:szCs w:val="20"/>
          <w:color w:val="auto"/>
        </w:rPr>
      </w:pPr>
      <w:r>
        <w:rPr>
          <w:rFonts w:ascii="Arial" w:cs="Arial" w:eastAsia="Arial" w:hAnsi="Arial"/>
          <w:sz w:val="17"/>
          <w:szCs w:val="17"/>
          <w:color w:val="auto"/>
        </w:rPr>
        <w:t>Iovance Biotherapeutics, Inc. (the “Company”) is a clinical-stage biopharmaceutical company pioneering a transformational approach to cure cancer by harnessing the human immune system’s ability to recognize and destroy diverse cancer cells in each patient. Tumor infiltrating lymphocyte (“TIL”) therapy is an autologous cell therapy platform technology that was originally developed by the National Cancer Institute (“NCI”), which conducted initial clinical trials in diseases such as metastatic melanoma and cervical cancer, as well as non-small cell lung cancer. The Company’s mission is to be the global leader in innovating, developing and delivering TIL therapy for patients with cancer. The Company has developed a new, shorter proprietary TIL manufacturing process known as Generation 2 (“Gen 2”), which yields a cryopreserved TIL product. This centralized, proprietary, and scalable manufacturing method is being investigated in multiple indications. The Company’s lead product candidates include lifileucel for metastatic melanoma and metastatic cervical cancer, as well as LN-145 for metastatic non-small cell lung cancer (“NSCLC”). In addition, the Company is investigating the effectiveness and safety of combinations of TIL therapy with immune checkpoint inhibitors (“ICI”), in metastatic melanoma, cervical cancer, NSCLC, and head and neck squamous cell carcinoma (“HNSCC”). The Company is investigating peripheral blood lymphocyte (“PBL”) therapy for patients with relapsed or refractory chronic lymphocytic leukemia (“CLL”) and small lymphocytic lymphoma (“SLL”) through its sponsored trials. The Company is also investigating the potential for TIL therapy in other oncology indications through academic collaborations with leading cancer research centers. On June 1, 2017, the Company reincorporated from a Nevada corporation to a Delaware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80" w:firstLine="492"/>
        <w:spacing w:after="0" w:line="254" w:lineRule="auto"/>
        <w:rPr>
          <w:sz w:val="20"/>
          <w:szCs w:val="20"/>
          <w:color w:val="auto"/>
        </w:rPr>
      </w:pPr>
      <w:r>
        <w:rPr>
          <w:rFonts w:ascii="Arial" w:cs="Arial" w:eastAsia="Arial" w:hAnsi="Arial"/>
          <w:sz w:val="18"/>
          <w:szCs w:val="18"/>
          <w:color w:val="auto"/>
        </w:rPr>
        <w:t>The Company is currently engaged in the development of therapeutics to fight cancer, specifically solid tumors. The Company currently does not have any commercial products and has not yet generated any revenues from its business, nor does the Company currently anticipate that it will generate any significant revenues from the sale or licensing of any of its product candidates during the 12 months from the date these financial statements are issued. The Company has incurred a net loss of $342.3 million for the year ended December 31, 2021 and used $227.9 million of cash in its operating activities during the year ended December 31, 2021. As of December 31, 2021, the Company had $602.1 million in cash, cash equivalents, investments, and restricted cash ($78.2 million of cash and cash equivalents, $426.2 million in short-term investments, $91.6 million in long-term investments and $6.1 million in restricted cash).</w:t>
      </w:r>
    </w:p>
    <w:p>
      <w:pPr>
        <w:spacing w:after="0" w:line="151" w:lineRule="exact"/>
        <w:rPr>
          <w:sz w:val="20"/>
          <w:szCs w:val="20"/>
          <w:color w:val="auto"/>
        </w:rPr>
      </w:pPr>
    </w:p>
    <w:p>
      <w:pPr>
        <w:ind w:right="100" w:firstLine="492"/>
        <w:spacing w:after="0" w:line="271" w:lineRule="auto"/>
        <w:rPr>
          <w:sz w:val="20"/>
          <w:szCs w:val="20"/>
          <w:color w:val="auto"/>
        </w:rPr>
      </w:pPr>
      <w:r>
        <w:rPr>
          <w:rFonts w:ascii="Arial" w:cs="Arial" w:eastAsia="Arial" w:hAnsi="Arial"/>
          <w:sz w:val="17"/>
          <w:szCs w:val="17"/>
          <w:color w:val="auto"/>
        </w:rPr>
        <w:t>The Company expects to continue its research and development activities, increase pre-commercial activities and complete the construction of the tenant improvements for the Iovance Cell Therapy Center (the “</w:t>
      </w:r>
      <w:r>
        <w:rPr>
          <w:rFonts w:ascii="Arial" w:cs="Arial" w:eastAsia="Arial" w:hAnsi="Arial"/>
          <w:sz w:val="17"/>
          <w:szCs w:val="17"/>
          <w:i w:val="1"/>
          <w:iCs w:val="1"/>
          <w:color w:val="auto"/>
        </w:rPr>
        <w:t>i</w:t>
      </w:r>
      <w:r>
        <w:rPr>
          <w:rFonts w:ascii="Arial" w:cs="Arial" w:eastAsia="Arial" w:hAnsi="Arial"/>
          <w:sz w:val="17"/>
          <w:szCs w:val="17"/>
          <w:color w:val="auto"/>
        </w:rPr>
        <w:t>CTC”) as well as its new corporate headquarters’ office in San Carlos, California, all of which are expected to increase the amount of cash used during 2022 and beyond. Specifically, the Company expects continued spending on its current and planned clinical trials, continued expansion of manufacturing activities,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9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Company is subject to credit risk from its portfolio of cash, cash equivalents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ind w:right="4300"/>
        <w:spacing w:after="0" w:line="464"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PRACTICES </w:t>
      </w:r>
      <w:r>
        <w:rPr>
          <w:rFonts w:ascii="Arial" w:cs="Arial" w:eastAsia="Arial" w:hAnsi="Arial"/>
          <w:sz w:val="18"/>
          <w:szCs w:val="18"/>
          <w:b w:val="1"/>
          <w:bCs w:val="1"/>
          <w:i w:val="1"/>
          <w:iCs w:val="1"/>
          <w:color w:val="auto"/>
        </w:rPr>
        <w:t>Cash, Cash Equivalents, and Investments</w:t>
      </w:r>
    </w:p>
    <w:p>
      <w:pPr>
        <w:ind w:right="100" w:firstLine="492"/>
        <w:spacing w:after="0" w:line="287"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investments are classified as “available-for-sale.” The Company includes these investments in current assets and carries them at fair value. Unrealized gains and losses on available-for-sale securities are included in accumulated other comprehensive loss or income. Impairment losses related to credit losses (if any) are recorded as an allowance for credit losses with an offsetting entry to net loss. No impairment losses related to credit losses were recognized for the years ended December 31, 2021 and 2020. The cost of debt securities is adjusted for the amortization of premiums and accretion of discounts to maturity. Such amortization and accretion are included in Interest income, net, in the Consolidated Statements of Operations. Gains and losses on securities sold are recorded based on the specific identification method and are included in Interest income, net, in the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except for securities issued by the U.S. government.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 xml:space="preserve">The Company maintains a required minimum balance, currently $6.1 million in a segregated bank account in connection with three letters of credit, one for $5.45 million for the benefit of the landlord for the </w:t>
      </w:r>
      <w:r>
        <w:rPr>
          <w:rFonts w:ascii="Arial" w:cs="Arial" w:eastAsia="Arial" w:hAnsi="Arial"/>
          <w:sz w:val="16"/>
          <w:szCs w:val="16"/>
          <w:i w:val="1"/>
          <w:iCs w:val="1"/>
          <w:color w:val="auto"/>
        </w:rPr>
        <w:t>i</w:t>
      </w:r>
      <w:r>
        <w:rPr>
          <w:rFonts w:ascii="Arial" w:cs="Arial" w:eastAsia="Arial" w:hAnsi="Arial"/>
          <w:sz w:val="16"/>
          <w:szCs w:val="16"/>
          <w:color w:val="auto"/>
        </w:rPr>
        <w:t>CTC used as a security deposit for the lease (See Note 10 - Leases), one for $0.1 million for the benefit of a utilities service provider, and one for $0.6 million for the benefit of the landlord for the Company’s new headquarters’ lease. The total amount is classified as Restricted Cash on the Consolidated Balance Sheets. The first letter of credit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second letter of credit of $0.1 million expired on March 9, 2021, however, it automatically extends, without written agreement, to the expiration date of December 1, 2022. The third letter of credit of $0.6 million expires on February 1, 2032, however, it will be automatically extended, without written agreement, for one-year periods to February in each succeeding calendar year. As of December 31, 2021 and 2020, restricted cash consisted of $6.1 million and $5.5 million and these balances have been classified as a non-current asset on the Company’s Consolidated Balance Sheets.</w:t>
      </w:r>
    </w:p>
    <w:p>
      <w:pPr>
        <w:spacing w:after="0" w:line="141" w:lineRule="exact"/>
        <w:rPr>
          <w:sz w:val="20"/>
          <w:szCs w:val="20"/>
          <w:color w:val="auto"/>
        </w:rPr>
      </w:pPr>
    </w:p>
    <w:p>
      <w:pPr>
        <w:ind w:right="440" w:firstLine="492"/>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same such amounts shown in the Consolidated Statements of Cash Flows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16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w:t>
            </w:r>
          </w:p>
        </w:tc>
      </w:tr>
      <w:tr>
        <w:trPr>
          <w:trHeight w:val="210"/>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2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r>
      <w:tr>
        <w:trPr>
          <w:trHeight w:val="20"/>
        </w:trPr>
        <w:tc>
          <w:tcPr>
            <w:tcW w:w="4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2780" w:type="dxa"/>
            <w:vAlign w:val="bottom"/>
            <w:gridSpan w:val="2"/>
          </w:tcPr>
          <w:p>
            <w:pPr>
              <w:jc w:val="right"/>
              <w:ind w:right="1727"/>
              <w:spacing w:after="0"/>
              <w:rPr>
                <w:sz w:val="20"/>
                <w:szCs w:val="20"/>
                <w:color w:val="auto"/>
              </w:rPr>
            </w:pPr>
            <w:r>
              <w:rPr>
                <w:rFonts w:ascii="Arial" w:cs="Arial" w:eastAsia="Arial" w:hAnsi="Arial"/>
                <w:sz w:val="18"/>
                <w:szCs w:val="18"/>
                <w:color w:val="auto"/>
              </w:rPr>
              <w:t>F-13</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and amortization. The cost of property and equipment is depreciated or amortized on the straight-line method over the following estimated useful lives. The depreciation or amortization of capitalized construction in progress costs, a component of property and equipment, net, begins once the underlying asset is placed into service and is recognized over the estimated useful lives: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Computer software</w:t>
            </w:r>
          </w:p>
        </w:tc>
        <w:tc>
          <w:tcPr>
            <w:tcW w:w="6680" w:type="dxa"/>
            <w:vAlign w:val="bottom"/>
          </w:tcPr>
          <w:p>
            <w:pPr>
              <w:ind w:left="400"/>
              <w:spacing w:after="0"/>
              <w:rPr>
                <w:sz w:val="20"/>
                <w:szCs w:val="20"/>
                <w:color w:val="auto"/>
              </w:rPr>
            </w:pPr>
            <w:r>
              <w:rPr>
                <w:rFonts w:ascii="Arial" w:cs="Arial" w:eastAsia="Arial" w:hAnsi="Arial"/>
                <w:sz w:val="18"/>
                <w:szCs w:val="18"/>
                <w:color w:val="auto"/>
              </w:rPr>
              <w:t>5 years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Lab, process, and validation equipment</w:t>
            </w:r>
          </w:p>
        </w:tc>
        <w:tc>
          <w:tcPr>
            <w:tcW w:w="6680" w:type="dxa"/>
            <w:vAlign w:val="bottom"/>
          </w:tcPr>
          <w:p>
            <w:pPr>
              <w:ind w:left="400"/>
              <w:spacing w:after="0"/>
              <w:rPr>
                <w:sz w:val="20"/>
                <w:szCs w:val="20"/>
                <w:color w:val="auto"/>
              </w:rPr>
            </w:pPr>
            <w:r>
              <w:rPr>
                <w:rFonts w:ascii="Arial" w:cs="Arial" w:eastAsia="Arial" w:hAnsi="Arial"/>
                <w:sz w:val="18"/>
                <w:szCs w:val="18"/>
                <w:color w:val="auto"/>
              </w:rPr>
              <w:t>5 years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 7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Utility equipment</w:t>
            </w:r>
          </w:p>
        </w:tc>
        <w:tc>
          <w:tcPr>
            <w:tcW w:w="6680" w:type="dxa"/>
            <w:vAlign w:val="bottom"/>
          </w:tcPr>
          <w:p>
            <w:pPr>
              <w:ind w:left="400"/>
              <w:spacing w:after="0"/>
              <w:rPr>
                <w:sz w:val="20"/>
                <w:szCs w:val="20"/>
                <w:color w:val="auto"/>
              </w:rPr>
            </w:pPr>
            <w:r>
              <w:rPr>
                <w:rFonts w:ascii="Arial" w:cs="Arial" w:eastAsia="Arial" w:hAnsi="Arial"/>
                <w:sz w:val="18"/>
                <w:szCs w:val="18"/>
                <w:color w:val="auto"/>
              </w:rPr>
              <w:t>Lesser of the remaining economic life of the asset or the lease-term</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Lesser of the remaining economic life of the asset or the lease-term</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Expenditures for maintenance and repairs are charged to operations as incurred while renewals and betterments are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disposals are included within operating expenses in the Consolidated Statements of Operations.</w:t>
      </w:r>
    </w:p>
    <w:p>
      <w:pPr>
        <w:spacing w:after="0" w:line="170" w:lineRule="exact"/>
        <w:rPr>
          <w:sz w:val="20"/>
          <w:szCs w:val="20"/>
          <w:color w:val="auto"/>
        </w:rPr>
      </w:pPr>
    </w:p>
    <w:p>
      <w:pPr>
        <w:ind w:right="40" w:firstLine="492"/>
        <w:spacing w:after="0" w:line="275" w:lineRule="auto"/>
        <w:rPr>
          <w:sz w:val="20"/>
          <w:szCs w:val="20"/>
          <w:color w:val="auto"/>
        </w:rPr>
      </w:pPr>
      <w:r>
        <w:rPr>
          <w:rFonts w:ascii="Arial" w:cs="Arial" w:eastAsia="Arial" w:hAnsi="Arial"/>
          <w:sz w:val="17"/>
          <w:szCs w:val="17"/>
          <w:color w:val="auto"/>
        </w:rPr>
        <w:t>Management assesses the carrying value of property and equipment whenever events or changes in circumstances indicate that the carrying value may not be recoverable. If there is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2021, 2020, and 2019, the Company did not recognize any impairments for its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98"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Basic net loss per share is computed by dividing the net loss by the weighted average number of common shares outstanding during the period. 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(vi) conversion of preferred stock, are only included in the calculation of diluted net loss per share when their effect is dilutive.</w:t>
      </w:r>
    </w:p>
    <w:p>
      <w:pPr>
        <w:spacing w:after="0" w:line="124"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As of December 31, 2021, 2020, and 2019, the following outstanding common stock equivalents have been excluded from the calculation of net loss per share because their impact would be anti-dilutive.</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As of December 31,</w:t>
            </w:r>
          </w:p>
        </w:tc>
        <w:tc>
          <w:tcPr>
            <w:tcW w:w="940" w:type="dxa"/>
            <w:vAlign w:val="bottom"/>
            <w:tcBorders>
              <w:bottom w:val="single" w:sz="8" w:color="auto"/>
            </w:tcBorders>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9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08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9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12,520,865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12,615,638</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9,494,712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85,227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37,259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97,000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3,581,119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r>
      <w:tr>
        <w:trPr>
          <w:trHeight w:val="210"/>
        </w:trPr>
        <w:tc>
          <w:tcPr>
            <w:tcW w:w="48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16,655,260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16,331,016</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13,195,747</w:t>
            </w: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an as-converted basis</w:t>
      </w:r>
    </w:p>
    <w:p>
      <w:pPr>
        <w:spacing w:after="0" w:line="185"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260" w:firstLine="492"/>
        <w:spacing w:after="0" w:line="257" w:lineRule="auto"/>
        <w:rPr>
          <w:sz w:val="20"/>
          <w:szCs w:val="20"/>
          <w:color w:val="auto"/>
        </w:rPr>
      </w:pPr>
      <w:r>
        <w:rPr>
          <w:rFonts w:ascii="Arial" w:cs="Arial" w:eastAsia="Arial" w:hAnsi="Arial"/>
          <w:sz w:val="18"/>
          <w:szCs w:val="18"/>
          <w:color w:val="auto"/>
        </w:rPr>
        <w:t xml:space="preserve">Under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8"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57" w:lineRule="exact"/>
        <w:rPr>
          <w:sz w:val="20"/>
          <w:szCs w:val="20"/>
          <w:color w:val="auto"/>
        </w:rPr>
      </w:pPr>
    </w:p>
    <w:p>
      <w:pPr>
        <w:ind w:left="680" w:right="20" w:hanging="159"/>
        <w:spacing w:after="0" w:line="27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129" w:lineRule="exact"/>
        <w:rPr>
          <w:rFonts w:ascii="Arial" w:cs="Arial" w:eastAsia="Arial" w:hAnsi="Arial"/>
          <w:sz w:val="18"/>
          <w:szCs w:val="18"/>
          <w:color w:val="auto"/>
        </w:rPr>
      </w:pPr>
    </w:p>
    <w:p>
      <w:pPr>
        <w:ind w:left="680" w:right="20" w:hanging="159"/>
        <w:spacing w:after="0" w:line="27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29" w:lineRule="exact"/>
        <w:rPr>
          <w:rFonts w:ascii="Arial" w:cs="Arial" w:eastAsia="Arial" w:hAnsi="Arial"/>
          <w:sz w:val="18"/>
          <w:szCs w:val="18"/>
          <w:color w:val="auto"/>
        </w:rPr>
      </w:pPr>
    </w:p>
    <w:p>
      <w:pPr>
        <w:ind w:left="680" w:right="80" w:hanging="159"/>
        <w:spacing w:after="0" w:line="277"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The Company’s financial instruments consist of cash, cash equivalents, short and long-term investments, and long-term notes payable, all of which are reported at their respective fair value or approximate fair value on its Consolidated Balance Sheets.</w:t>
      </w:r>
    </w:p>
    <w:p>
      <w:pPr>
        <w:spacing w:after="0" w:line="83"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consist of Level 1 and Level 2 assets. Where quoted prices are available in an active market, securities are classified as Level 1.</w:t>
      </w:r>
    </w:p>
    <w:p>
      <w:pPr>
        <w:spacing w:after="0" w:line="184"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When quoted market prices are not available for a specific security, the Company estimates the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interest rate curves, reported trades, broker/dealer quotes, and market reference data. Level 2 assets consist of commercial paper and government agency securities. Level 2 inputs for the valuations are limited to quoted prices for similar assets or liabilities in active markets and inputs other than quoted prices that are observable for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subsidiaries, Iovance Biotherapeutics Manufacturing LLC, Iovance Biotherapeutics GmbH, and Iovance Biotherapeutics B.V. All intercompany accounts and transactions have been eliminated. The U.S. dollar is the functional currency for all the Company's consolidated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its Consolidated Balance Sheets as Operating lease right-of-use assets and Operating lease liabilities as of December 31, 2021.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Standards Update (“ASU”) No. 2016-02 and No. 2018-10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31"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 xml:space="preserve">The Company periodically grants stock options to employees as compensation for services rendered. The Company accounts for all stock-based payment awards made to employees, including the employee stock purchase plans, in accordance with the authoritative guidance provided by the Financial Accounting Standards Board (“FASB”) where the value of the award is measured on the date of grant and recognized over the vesting period. In accordance with ASU No.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25" w:lineRule="exact"/>
        <w:rPr>
          <w:sz w:val="20"/>
          <w:szCs w:val="20"/>
          <w:color w:val="auto"/>
        </w:rPr>
      </w:pPr>
    </w:p>
    <w:p>
      <w:pPr>
        <w:ind w:right="20" w:firstLine="492"/>
        <w:spacing w:after="0" w:line="301" w:lineRule="auto"/>
        <w:rPr>
          <w:sz w:val="20"/>
          <w:szCs w:val="20"/>
          <w:color w:val="auto"/>
        </w:rPr>
      </w:pPr>
      <w:r>
        <w:rPr>
          <w:rFonts w:ascii="Arial" w:cs="Arial" w:eastAsia="Arial" w:hAnsi="Arial"/>
          <w:sz w:val="16"/>
          <w:szCs w:val="16"/>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30"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The Company issues restricted stock units (“RSUs”) and restricted stock awards (“RSAs”) from time to time as part of its equity incentive plans.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46" w:lineRule="exact"/>
        <w:rPr>
          <w:sz w:val="20"/>
          <w:szCs w:val="20"/>
          <w:color w:val="auto"/>
        </w:rPr>
      </w:pPr>
    </w:p>
    <w:p>
      <w:pPr>
        <w:ind w:right="1180" w:firstLine="492"/>
        <w:spacing w:after="0" w:line="461" w:lineRule="auto"/>
        <w:rPr>
          <w:sz w:val="20"/>
          <w:szCs w:val="20"/>
          <w:color w:val="auto"/>
        </w:rPr>
      </w:pPr>
      <w:r>
        <w:rPr>
          <w:rFonts w:ascii="Arial" w:cs="Arial" w:eastAsia="Arial" w:hAnsi="Arial"/>
          <w:sz w:val="18"/>
          <w:szCs w:val="18"/>
          <w:color w:val="auto"/>
        </w:rPr>
        <w:t xml:space="preserve">The fair value of RSUs and RSAs is based on the closing price of the Company’s common stock on the grant date. </w:t>
      </w:r>
      <w:r>
        <w:rPr>
          <w:rFonts w:ascii="Arial" w:cs="Arial" w:eastAsia="Arial" w:hAnsi="Arial"/>
          <w:sz w:val="18"/>
          <w:szCs w:val="18"/>
          <w:b w:val="1"/>
          <w:bCs w:val="1"/>
          <w:i w:val="1"/>
          <w:iCs w:val="1"/>
          <w:color w:val="auto"/>
        </w:rPr>
        <w:t>Accrued Research and Development Costs</w:t>
      </w:r>
    </w:p>
    <w:p>
      <w:pPr>
        <w:spacing w:after="0" w:line="1"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financial terms of these contracts are subject to negotiations and may vary from contract to contract and may result in uneven payment flow. The Company accrues and expenses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agreements established with CROs, CMOs and other outside service providers. The Company determines its estimates through discussions with internal clinical stakeholders and outside service providers as to the progress or stage of completion of clinical trials or services and the contracted fee to be paid for such services.</w:t>
      </w:r>
    </w:p>
    <w:p>
      <w:pPr>
        <w:spacing w:after="0" w:line="195"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Included in the Company’s clinical development costs are investigator costs, which are costs associated with treatments administered at clinical sites as required under each clinical study protocol. The Company’s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The Company accrues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makes judgements and estimates in determining the accrual balance in each reporting period.</w:t>
      </w:r>
    </w:p>
    <w:p>
      <w:pPr>
        <w:spacing w:after="0" w:line="225" w:lineRule="exact"/>
        <w:rPr>
          <w:sz w:val="20"/>
          <w:szCs w:val="20"/>
          <w:color w:val="auto"/>
        </w:rPr>
      </w:pPr>
    </w:p>
    <w:p>
      <w:pPr>
        <w:ind w:right="40" w:firstLine="492"/>
        <w:spacing w:after="0" w:line="272" w:lineRule="auto"/>
        <w:rPr>
          <w:sz w:val="20"/>
          <w:szCs w:val="20"/>
          <w:color w:val="auto"/>
        </w:rPr>
      </w:pPr>
      <w:r>
        <w:rPr>
          <w:rFonts w:ascii="Arial" w:cs="Arial" w:eastAsia="Arial" w:hAnsi="Arial"/>
          <w:sz w:val="17"/>
          <w:szCs w:val="17"/>
          <w:color w:val="auto"/>
        </w:rPr>
        <w:t>In the event advance payments are made to a CRO, CMO or other outside service provider, the payments are recorded within prepaid expenses and other current assets in the Consolidated Balance Sheets and subsequently recognized as research and development expense in the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Changes in these estimates that result in material changes to the Company’s accruals could materially affect its results of operations. The Company’s historical estimates have not been materially different from actual amounts recorded.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legal, investor relations, facilities, business development, marketing, commercial and human resources functions. Other significant costs include facility costs not otherwise included in research and development expenses, sublicense royalty expenses, legal fees relating to corporate matters, insurance, public company expenses relating to maintaining compliance with Nasdaq listing rules and Securities and Exchange Commission (“SEC”) requirements, investor relations costs, and fees for accounting and consulting services. General and administrative costs are expensed as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spacing w:after="0" w:line="161"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 provides guidance on de-recognition, classification,</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85"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The Company is subject to credit risk from its portfolio of cash, cash equivalents and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Company maintains cash, cash equivalents and investment balances at four financial institutions. Management believes that the financial institutions which hold its cash are financially sound and, accordingly, minimal credit risk exists. As of December 31, 2021, and 2020, respectively, the Company’s cash balances were in excess of insured limits maintained at the financial institutions.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540" w:firstLine="492"/>
        <w:spacing w:after="0" w:line="277" w:lineRule="auto"/>
        <w:rPr>
          <w:sz w:val="20"/>
          <w:szCs w:val="20"/>
          <w:color w:val="auto"/>
        </w:rPr>
      </w:pPr>
      <w:r>
        <w:rPr>
          <w:rFonts w:ascii="Arial" w:cs="Arial" w:eastAsia="Arial" w:hAnsi="Arial"/>
          <w:sz w:val="18"/>
          <w:szCs w:val="18"/>
          <w:color w:val="auto"/>
        </w:rPr>
        <w:t>The Company operates in one segment, focused on developing and commercializing therapies using autologous TIL for the treatment of metastatic melanoma and other solid tumor cancers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accounting for income taxes by eliminating certain exceptions to the guidance in Topic 740 related to the approach for allocating income tax expense or benefit for the year to continuing operations, discontinued operations, other comprehensive income, and other charges or credits recorded directly to stockholders’ equity; the methodology for calculating income tax expense or benefit in an interim period; and recognition of deferred tax liabilities outside basis difference. This ASU became effective for the Company on January 1, 2021, however, the adoption of this new standard did not have a material impact on its condensed consolidated financial statements and related disclosures.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EQUIVALENTS AND INVESTMENTS</w:t>
      </w:r>
    </w:p>
    <w:p>
      <w:pPr>
        <w:spacing w:after="0" w:line="202"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The amortized cost and fair value of cash equivalents and investments as of December 31, 2021 and December 31, 2020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235,316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9"/>
        </w:trPr>
        <w:tc>
          <w:tcPr>
            <w:tcW w:w="502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579,620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579,018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91,999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09"/>
        </w:trPr>
        <w:tc>
          <w:tcPr>
            <w:tcW w:w="502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611,809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611,828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 fair value of cash equivalents and investments as of December 31, 2021 and December 31, 2020 are classified as follows in the Company’s Consolidated Balance Sheets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Classified as:</w:t>
            </w:r>
          </w:p>
        </w:tc>
        <w:tc>
          <w:tcPr>
            <w:tcW w:w="3200" w:type="dxa"/>
            <w:vAlign w:val="bottom"/>
            <w:gridSpan w:val="4"/>
          </w:tcPr>
          <w:p>
            <w:pPr>
              <w:ind w:left="2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01"/>
        </w:trPr>
        <w:tc>
          <w:tcPr>
            <w:tcW w:w="3840" w:type="dxa"/>
            <w:vAlign w:val="bottom"/>
            <w:tcBorders>
              <w:bottom w:val="single" w:sz="8" w:color="CCEEFF"/>
            </w:tcBorders>
            <w:vMerge w:val="continue"/>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426,181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562,108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4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2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579,018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611,828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Cash equivalents in the tables above exclude cash demand deposits of $17.0 million and $17.6 million as of December 31, 2021 and 2020, respectively. Unrealized gains and losses are included in accumulated other comprehensive (loss) income, and as of December 31, 2021 and 2020 no unrealized losses on available-for-sale securities have resulted from credit risk. All available-for-sale securities held as of December 31, 2021 and December 31, 2020 had contractual maturities of less than two years. No significant available-for-sale securities held as of the periods presented have been in a continuous unrealized loss position for more than 12 months. The Company determined that it has the ability and intent to hold all marketable securities that have been in a continuous loss position until maturity or recovery. To date, the Company has not recorded any impairment charges on its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available-for-sale investments by contractual maturity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December 31, 2021</w:t>
            </w:r>
          </w:p>
        </w:tc>
      </w:tr>
      <w:tr>
        <w:trPr>
          <w:trHeight w:val="171"/>
        </w:trPr>
        <w:tc>
          <w:tcPr>
            <w:tcW w:w="59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487,430</w:t>
            </w: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One year to two years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91,588</w:t>
            </w:r>
          </w:p>
        </w:tc>
      </w:tr>
      <w:tr>
        <w:trPr>
          <w:trHeight w:val="210"/>
        </w:trPr>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579,620</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579,018</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92"/>
        <w:spacing w:after="0" w:line="286" w:lineRule="auto"/>
        <w:rPr>
          <w:sz w:val="20"/>
          <w:szCs w:val="20"/>
          <w:color w:val="auto"/>
        </w:rPr>
      </w:pPr>
      <w:r>
        <w:rPr>
          <w:rFonts w:ascii="Arial" w:cs="Arial" w:eastAsia="Arial" w:hAnsi="Arial"/>
          <w:sz w:val="17"/>
          <w:szCs w:val="17"/>
          <w:color w:val="auto"/>
        </w:rPr>
        <w:t>As of December 31, 2021 and 2020, the fair value of the Company’s financial assets, which consist of cash equivalents and short-term and long-term investments classified as available-for-sale securities, were measured on a recurring basis were categorized in the table below based upon the lowest level of significant input to the valuations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0"/>
          </w:tcPr>
          <w:p>
            <w:pPr>
              <w:jc w:val="right"/>
              <w:ind w:right="69"/>
              <w:spacing w:after="0"/>
              <w:rPr>
                <w:sz w:val="20"/>
                <w:szCs w:val="20"/>
                <w:color w:val="auto"/>
              </w:rPr>
            </w:pPr>
            <w:r>
              <w:rPr>
                <w:rFonts w:ascii="Arial" w:cs="Arial" w:eastAsia="Arial" w:hAnsi="Arial"/>
                <w:sz w:val="14"/>
                <w:szCs w:val="14"/>
                <w:b w:val="1"/>
                <w:bCs w:val="1"/>
                <w:color w:val="auto"/>
              </w:rPr>
              <w:t>Assets at Fair Value as of December 31, 2021</w:t>
            </w:r>
          </w:p>
        </w:tc>
        <w:tc>
          <w:tcPr>
            <w:tcW w:w="780" w:type="dxa"/>
            <w:vAlign w:val="bottom"/>
            <w:tcBorders>
              <w:bottom w:val="single" w:sz="8" w:color="auto"/>
            </w:tcBorders>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235,316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235,316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r>
      <w:tr>
        <w:trPr>
          <w:trHeight w:val="210"/>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303,017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579,018</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8"/>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69"/>
              <w:spacing w:after="0"/>
              <w:rPr>
                <w:sz w:val="20"/>
                <w:szCs w:val="20"/>
                <w:color w:val="auto"/>
              </w:rPr>
            </w:pPr>
            <w:r>
              <w:rPr>
                <w:rFonts w:ascii="Arial" w:cs="Arial" w:eastAsia="Arial" w:hAnsi="Arial"/>
                <w:sz w:val="14"/>
                <w:szCs w:val="14"/>
                <w:b w:val="1"/>
                <w:bCs w:val="1"/>
                <w:color w:val="auto"/>
              </w:rPr>
              <w:t>Assets at Fair Value as of December 31, 2020</w:t>
            </w:r>
          </w:p>
        </w:tc>
        <w:tc>
          <w:tcPr>
            <w:tcW w:w="780" w:type="dxa"/>
            <w:vAlign w:val="bottom"/>
            <w:tcBorders>
              <w:bottom w:val="single" w:sz="8" w:color="auto"/>
            </w:tcBorders>
          </w:tcPr>
          <w:p>
            <w:pPr>
              <w:spacing w:after="0"/>
              <w:rPr>
                <w:sz w:val="24"/>
                <w:szCs w:val="2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91,999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r>
      <w:tr>
        <w:trPr>
          <w:trHeight w:val="209"/>
        </w:trPr>
        <w:tc>
          <w:tcPr>
            <w:tcW w:w="540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611,828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611,828</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sectPr>
          <w:pgSz w:w="11900" w:h="16838" w:orient="portrait"/>
          <w:cols w:equalWidth="0" w:num="1">
            <w:col w:w="9920"/>
          </w:cols>
          <w:pgMar w:left="980" w:top="665" w:right="99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 NET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Lab, process, and validation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Utility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56,758</w:t>
            </w:r>
          </w:p>
        </w:tc>
      </w:tr>
      <w:tr>
        <w:trPr>
          <w:trHeight w:val="209"/>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cost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(8,689)</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(5,578)</w:t>
            </w:r>
          </w:p>
        </w:tc>
      </w:tr>
      <w:tr>
        <w:trPr>
          <w:trHeight w:val="210"/>
        </w:trPr>
        <w:tc>
          <w:tcPr>
            <w:tcW w:w="7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59,159</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 xml:space="preserve">Depreciation expense for the years ended December 31, 2021, 2020, and 2019 was approximately $3.1 million, $1.1 million and $1.2 million, respectively. During the year ended December 31, 2021, the Company placed $62.4 million of assets related to the </w:t>
      </w:r>
      <w:r>
        <w:rPr>
          <w:rFonts w:ascii="Arial" w:cs="Arial" w:eastAsia="Arial" w:hAnsi="Arial"/>
          <w:sz w:val="18"/>
          <w:szCs w:val="18"/>
          <w:i w:val="1"/>
          <w:iCs w:val="1"/>
          <w:color w:val="auto"/>
        </w:rPr>
        <w:t>i</w:t>
      </w:r>
      <w:r>
        <w:rPr>
          <w:rFonts w:ascii="Arial" w:cs="Arial" w:eastAsia="Arial" w:hAnsi="Arial"/>
          <w:sz w:val="18"/>
          <w:szCs w:val="18"/>
          <w:color w:val="auto"/>
        </w:rPr>
        <w:t>CTC in service and initiated depreciation of these assets. The depreciation expense related to these assets for the year ended December 31, 2021 was $1.6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EXPENSES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Clinical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15,661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related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Facilities related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56,766</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35,074</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certificate of incorporation, as amended, authorizes the issuance of up to 300,000,000 shares of the Company’s common stock, par value $0.000041666. As of December 31, 2021, 157,004,742 shares of the Company’s common stock were issued and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8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$567.0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 Program</w:t>
      </w:r>
    </w:p>
    <w:p>
      <w:pPr>
        <w:spacing w:after="0" w:line="18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On February 8, 2021, the Company entered into an Open Market Sale Agreement (the “Sales Agreement”) with Jefferies LLC (“Jefferies”) with respect to an “at the market” offering program, under which the Company may, from time to time, in its sole discretion, issue and sell through Jefferies, acting as sales agent, up to $350.0 million of shares of the Company’s common stock (the “Common Shares”). The issuance and sale, if any, of the Common Shares by the Company under the Sales Agreement will be made pursuant to a prospectus supplement, dated February 8, 2021, to the Company’s Registration Statement on Form S-3ASR, which became effective immediately upon filing with the Securities and Exchange Commission on May 27, 2020.</w:t>
      </w:r>
    </w:p>
    <w:p>
      <w:pPr>
        <w:spacing w:after="0" w:line="151"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Pursuant to the Sales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impose).The Company will pay Jefferies a commission of up to 3.0% of the gross sales proceeds of any Common Shares sold through Jefferies under the Sales Agreement.</w:t>
      </w:r>
    </w:p>
    <w:p>
      <w:pPr>
        <w:spacing w:after="0" w:line="152" w:lineRule="exact"/>
        <w:rPr>
          <w:sz w:val="20"/>
          <w:szCs w:val="20"/>
          <w:color w:val="auto"/>
        </w:rPr>
      </w:pPr>
    </w:p>
    <w:p>
      <w:pPr>
        <w:ind w:right="60" w:firstLine="492"/>
        <w:spacing w:after="0" w:line="286" w:lineRule="auto"/>
        <w:rPr>
          <w:sz w:val="20"/>
          <w:szCs w:val="20"/>
          <w:color w:val="auto"/>
        </w:rPr>
      </w:pPr>
      <w:r>
        <w:rPr>
          <w:rFonts w:ascii="Arial" w:cs="Arial" w:eastAsia="Arial" w:hAnsi="Arial"/>
          <w:sz w:val="17"/>
          <w:szCs w:val="17"/>
          <w:color w:val="auto"/>
        </w:rPr>
        <w:t>The Company is not obligated to make any sales of Common Shares under the Sales Agreement. The offering of Common Shares pursuant to the Sales Agreement will terminate upon the earlier to occur of (i) the issuance and sale, through Jefferies, of all Common Shares subject to the Sales Agreement and (ii) termination of the Sales Agreement in accordance with its terms.</w:t>
      </w:r>
    </w:p>
    <w:p>
      <w:pPr>
        <w:spacing w:after="0" w:line="125" w:lineRule="exact"/>
        <w:rPr>
          <w:sz w:val="20"/>
          <w:szCs w:val="20"/>
          <w:color w:val="auto"/>
        </w:rPr>
      </w:pPr>
    </w:p>
    <w:p>
      <w:pPr>
        <w:ind w:right="80" w:firstLine="492"/>
        <w:spacing w:after="0" w:line="342" w:lineRule="auto"/>
        <w:rPr>
          <w:sz w:val="20"/>
          <w:szCs w:val="20"/>
          <w:color w:val="auto"/>
        </w:rPr>
      </w:pPr>
      <w:r>
        <w:rPr>
          <w:rFonts w:ascii="Arial" w:cs="Arial" w:eastAsia="Arial" w:hAnsi="Arial"/>
          <w:sz w:val="16"/>
          <w:szCs w:val="16"/>
          <w:color w:val="auto"/>
        </w:rPr>
        <w:t>For the year ended December 31, 2021, the Company received $203.2 million in net proceeds, net of offering costs, through the sale of 6,474,099 shares of its common stock through the Sales Agreement at a weighted average price per share of $32.12,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As of December 31, 2021, 17,000 shares were designated as Series A Convertible Preferred Stock and 11,500,000 shares were designated as Series B Convertible Preferred Stock (“Series B Convertible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198"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17" w:lineRule="exact"/>
        <w:rPr>
          <w:sz w:val="20"/>
          <w:szCs w:val="20"/>
          <w:color w:val="auto"/>
        </w:rPr>
      </w:pPr>
    </w:p>
    <w:p>
      <w:pPr>
        <w:ind w:right="180" w:firstLine="492"/>
        <w:spacing w:after="0" w:line="291" w:lineRule="auto"/>
        <w:rPr>
          <w:sz w:val="20"/>
          <w:szCs w:val="20"/>
          <w:color w:val="auto"/>
        </w:rPr>
      </w:pPr>
      <w:r>
        <w:rPr>
          <w:rFonts w:ascii="Arial" w:cs="Arial" w:eastAsia="Arial" w:hAnsi="Arial"/>
          <w:sz w:val="16"/>
          <w:szCs w:val="16"/>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26"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to common stock during the year ended December 31, 2021 and 2020. As of December 31, 2021 and 2020, 194 shares of Series A Convertible Preferred Stock (that are convertible into 97,000 shares of common stock)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Preferred Stock</w:t>
      </w:r>
    </w:p>
    <w:p>
      <w:pPr>
        <w:spacing w:after="0" w:line="185"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 initial conversion price of $4.75 per share. Each share of Series B Preferred Stock is initially convertible into 1 share of common stock.</w:t>
      </w:r>
    </w:p>
    <w:p>
      <w:pPr>
        <w:spacing w:after="0" w:line="130"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51"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During the year ended December 31, 2021, 738,961 shares of Series B Convertible Preferred Stock were converted to common stock. No shares of Series B Convertible Preferred Stock were converted to common stock during the year ended December 31, 2020. At December 31, 2021 and 2020, 2,842,158 and 3,581,119 shares of Series B Preferred Stock (that are convertible into 2,842,158 and 3,581,119 shares of common stock) remained outstanding,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The Company has multiple equity incentive plans under which it grants awards. As of December 31, 2021, there are 60,785 shares available to grant under the 2014 Equity Incentive Plan (the “2014 Plan”).</w:t>
      </w:r>
    </w:p>
    <w:p>
      <w:pPr>
        <w:spacing w:after="0" w:line="143"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As of December 31, 2021, 3,866,948 shares of common stock were available for grant under the Company’s 2018 Plan.</w:t>
      </w:r>
    </w:p>
    <w:p>
      <w:pPr>
        <w:spacing w:after="0" w:line="138"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3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The Board initially reserved 1,000,000 shares of the Company’s common stock for issuance pursuant to equity awards granted under the 2021 Inducement Plan, and the 2021 Inducement Plan will be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134"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December 31, 2021, 723,525 shares of common stock were available for grant under the Inducement Plan.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740" w:firstLine="492"/>
        <w:spacing w:after="0" w:line="277" w:lineRule="auto"/>
        <w:rPr>
          <w:sz w:val="20"/>
          <w:szCs w:val="20"/>
          <w:color w:val="auto"/>
        </w:rPr>
      </w:pPr>
      <w:r>
        <w:rPr>
          <w:rFonts w:ascii="Arial" w:cs="Arial" w:eastAsia="Arial" w:hAnsi="Arial"/>
          <w:sz w:val="18"/>
          <w:szCs w:val="18"/>
          <w:color w:val="auto"/>
        </w:rPr>
        <w:t>A summary of the status of stock options as of December 31, 2021, and the changes during the three years then ended, is presented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6,889,287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4,166,600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14.73</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(833,683)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4,981,001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28.17</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(886,221)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12,615,638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Issued</w:t>
            </w:r>
          </w:p>
        </w:tc>
        <w:tc>
          <w:tcPr>
            <w:tcW w:w="1240" w:type="dxa"/>
            <w:vAlign w:val="bottom"/>
          </w:tcPr>
          <w:p>
            <w:pPr>
              <w:jc w:val="right"/>
              <w:spacing w:after="0"/>
              <w:rPr>
                <w:sz w:val="20"/>
                <w:szCs w:val="20"/>
                <w:color w:val="auto"/>
              </w:rPr>
            </w:pPr>
            <w:r>
              <w:rPr>
                <w:rFonts w:ascii="Arial" w:cs="Arial" w:eastAsia="Arial" w:hAnsi="Arial"/>
                <w:sz w:val="18"/>
                <w:szCs w:val="18"/>
                <w:color w:val="auto"/>
              </w:rPr>
              <w:t>5,528,724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(2,800,880)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12,520,865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Ending vested and expected to vest at December 31, 2021</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12,520,865</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25.05</w:t>
            </w:r>
          </w:p>
        </w:tc>
        <w:tc>
          <w:tcPr>
            <w:tcW w:w="2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7.64</w:t>
            </w:r>
          </w:p>
        </w:tc>
        <w:tc>
          <w:tcPr>
            <w:tcW w:w="2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35,047</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December 31, 2021</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6,466,673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16.67</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34,112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color w:val="auto"/>
        </w:rPr>
        <w:t>In June 2020, the Company adopted the 2020 ESPP upon its approval by the Company’s shareholders at its Annual Stockholders Meeting on June 8, 2020. The Company reserved 500,000 shares of its common stock for issuance under the 2020 ESPP.</w:t>
      </w:r>
    </w:p>
    <w:p>
      <w:pPr>
        <w:spacing w:after="0" w:line="124"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Under the 2020 ESPP, employees of the Company can purchase shares of our common stock based on a percentage of their compensation subject to certain limits. The purchase price per share is equal to the lower of 85% of the fair market value of its common stock on the offering date or the purchase date with a six month look-back feature. The 2020 ESPP purchases are settled with common stock from the 2020 ESPP’s previously authorized and available pool of shares.</w:t>
      </w:r>
    </w:p>
    <w:p>
      <w:pPr>
        <w:spacing w:after="0" w:line="131"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The compensation expense related to the 2020 ESPP for the years ended December 31, 2021 and 2020 were $1.2 million and $61,000, respectively. During the year ended December 31, 2021, the Company received proceeds of $1.6 million for the issuance of 94,148 shares under the 2020 ESPP and there was $0.4 million of unrecognized compensation cost associated with the 2020 ESPP, which will be recognized over 5.33 months. As of December 31, 2020, no shares were issued under the 2020 ESPP and there was $0.5 million of unrecognized compensation cost associated with the 2020 ESPP, to be recognized over 6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On June 1, 2016, the Company entered into an RSU agreement with the Company’s former Chief Executive Officer, pursuant to which the Company granted the former Chief Executive Officer 550,000 RSUs as an inducement of employment pursuant to the exception to The Nasdaq Global Market rules that generally require stockholder approval of equity incentive plans. These RSUs, which included certain performance vesting criteria based upon the satisfaction of certain clinical trial milestones were fully vested as of June 1, 2020. No RSUs related to this grant were outstanding at either December 31, 2021 or 2020.</w:t>
      </w:r>
    </w:p>
    <w:p>
      <w:pPr>
        <w:spacing w:after="0" w:line="176" w:lineRule="exact"/>
        <w:rPr>
          <w:sz w:val="20"/>
          <w:szCs w:val="20"/>
          <w:color w:val="auto"/>
        </w:rPr>
      </w:pPr>
    </w:p>
    <w:p>
      <w:pPr>
        <w:ind w:right="220" w:firstLine="492"/>
        <w:spacing w:after="0" w:line="342" w:lineRule="auto"/>
        <w:rPr>
          <w:sz w:val="20"/>
          <w:szCs w:val="20"/>
          <w:color w:val="auto"/>
        </w:rPr>
      </w:pPr>
      <w:r>
        <w:rPr>
          <w:rFonts w:ascii="Arial" w:cs="Arial" w:eastAsia="Arial" w:hAnsi="Arial"/>
          <w:sz w:val="16"/>
          <w:szCs w:val="16"/>
          <w:color w:val="auto"/>
        </w:rPr>
        <w:t>In June 2021, under the terms of the 2018 Plan, the Company granted 1,253,540 RSUs to its executives and employees. The awards are time-based, and each award has one of two vesting conditions. For certain RSU awards, 100% of the RSUs will vest on the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first anniversary of the grant date, and for others, 50% of the RSUs will vest on the first anniversary of the grant date with the remaining 50% vesting on December 31, 2022, assuming all time-based conditions are achieved.</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RSU activity during the years ended December 31, 2021 and 2020 is presented in the following table: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Weighted</w:t>
            </w:r>
          </w:p>
        </w:tc>
      </w:tr>
      <w:tr>
        <w:trPr>
          <w:trHeight w:val="216"/>
        </w:trPr>
        <w:tc>
          <w:tcPr>
            <w:tcW w:w="66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Average</w:t>
            </w:r>
          </w:p>
        </w:tc>
      </w:tr>
      <w:tr>
        <w:trPr>
          <w:trHeight w:val="216"/>
        </w:trPr>
        <w:tc>
          <w:tcPr>
            <w:tcW w:w="66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Grant Date</w:t>
            </w:r>
          </w:p>
        </w:tc>
      </w:tr>
      <w:tr>
        <w:trPr>
          <w:trHeight w:val="201"/>
        </w:trPr>
        <w:tc>
          <w:tcPr>
            <w:tcW w:w="66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RSUs</w:t>
            </w: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as of December 31, 2020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1,253,540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23.87</w:t>
            </w: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Canceled/Forfeited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(143,530)</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r>
      <w:tr>
        <w:trPr>
          <w:trHeight w:val="209"/>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as of December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1,110,010</w:t>
            </w: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r>
      <w:tr>
        <w:trPr>
          <w:trHeight w:val="20"/>
        </w:trPr>
        <w:tc>
          <w:tcPr>
            <w:tcW w:w="6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492"/>
        <w:spacing w:after="0" w:line="263" w:lineRule="auto"/>
        <w:rPr>
          <w:sz w:val="20"/>
          <w:szCs w:val="20"/>
          <w:color w:val="auto"/>
        </w:rPr>
      </w:pPr>
      <w:r>
        <w:rPr>
          <w:rFonts w:ascii="Arial" w:cs="Arial" w:eastAsia="Arial" w:hAnsi="Arial"/>
          <w:sz w:val="18"/>
          <w:szCs w:val="18"/>
          <w:color w:val="auto"/>
        </w:rPr>
        <w:t>As of December 31, 2021, there was $14.2 million of unrecognized stock-based compensation expense associated with unvested RSUs, which the Company expects to recognize over a remaining weighted-average period of 0.62 years. The aggregate intrinsic value of the unvested RSUs outstanding as of December 31, 2021 was $21.2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Consolidated Statements of Operations as follows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w:t>
            </w: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w:t>
            </w:r>
          </w:p>
        </w:tc>
      </w:tr>
      <w:tr>
        <w:trPr>
          <w:trHeight w:val="210"/>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69,765</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 by type of award was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w w:val="91"/>
              </w:rPr>
              <w:t>Years Ended December 31,</w:t>
            </w:r>
          </w:p>
        </w:tc>
        <w:tc>
          <w:tcPr>
            <w:tcW w:w="980" w:type="dxa"/>
            <w:vAlign w:val="bottom"/>
            <w:tcBorders>
              <w:bottom w:val="single" w:sz="8" w:color="auto"/>
            </w:tcBorders>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12,247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ESPP expense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69,765</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40,887</w:t>
            </w:r>
          </w:p>
        </w:tc>
        <w:tc>
          <w:tcPr>
            <w:tcW w:w="2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24,277</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80" w:firstLine="492"/>
        <w:spacing w:after="0" w:line="308" w:lineRule="auto"/>
        <w:rPr>
          <w:sz w:val="20"/>
          <w:szCs w:val="20"/>
          <w:color w:val="auto"/>
        </w:rPr>
      </w:pPr>
      <w:r>
        <w:rPr>
          <w:rFonts w:ascii="Arial" w:cs="Arial" w:eastAsia="Arial" w:hAnsi="Arial"/>
          <w:sz w:val="17"/>
          <w:szCs w:val="17"/>
          <w:color w:val="auto"/>
        </w:rPr>
        <w:t>As of December 31, 2021, there was $93.6 million of total unrecognized compensation expense related to unvested employee stock options, which the Company expects to recognize over a remaining weighted average period of 1.84 years.</w:t>
      </w:r>
    </w:p>
    <w:p>
      <w:pPr>
        <w:spacing w:after="0" w:line="106"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years ended December 31, 2021, 2020, and 2019 was $22.28, $17.32, and $9.48 per option respectively.</w:t>
      </w:r>
    </w:p>
    <w:p>
      <w:pPr>
        <w:spacing w:after="0" w:line="143"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year ended December 31, 2021 and the exercise price of the options, multiplied by the number of in-the-money stock options) that would have been received by the option holders had all option holders exercised their options on December 31, 2021. The intrinsic value of the Company’s stock options changes based on the closing price of the Company’s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The aggregate intrinsic value of stock options exercised during the year ended December 31, 2021, 2020, and 2019 were $21.3 million, $21.4 million, and $5.3 million, respectively.</w:t>
      </w:r>
    </w:p>
    <w:p>
      <w:pPr>
        <w:spacing w:after="0" w:line="130"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years ended December 31, 2021, 2020, and 2019:</w:t>
      </w:r>
    </w:p>
    <w:p>
      <w:pPr>
        <w:spacing w:after="0" w:line="175"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Stock Option</w:t>
            </w: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ESPP</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620" w:type="dxa"/>
            <w:vAlign w:val="bottom"/>
          </w:tcPr>
          <w:p>
            <w:pPr>
              <w:spacing w:after="0"/>
              <w:rPr>
                <w:sz w:val="10"/>
                <w:szCs w:val="10"/>
                <w:color w:val="auto"/>
              </w:rPr>
            </w:pPr>
          </w:p>
        </w:tc>
        <w:tc>
          <w:tcPr>
            <w:tcW w:w="2400" w:type="dxa"/>
            <w:vAlign w:val="bottom"/>
            <w:gridSpan w:val="5"/>
          </w:tcPr>
          <w:p>
            <w:pPr>
              <w:jc w:val="center"/>
              <w:ind w:left="576"/>
              <w:spacing w:after="0" w:line="119" w:lineRule="exact"/>
              <w:rPr>
                <w:sz w:val="20"/>
                <w:szCs w:val="20"/>
                <w:color w:val="auto"/>
              </w:rPr>
            </w:pPr>
            <w:r>
              <w:rPr>
                <w:rFonts w:ascii="Arial" w:cs="Arial" w:eastAsia="Arial" w:hAnsi="Arial"/>
                <w:sz w:val="13"/>
                <w:szCs w:val="13"/>
                <w:b w:val="1"/>
                <w:bCs w:val="1"/>
                <w:color w:val="auto"/>
                <w:w w:val="99"/>
              </w:rPr>
              <w:t>Years Ended December 31,</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0"/>
                <w:szCs w:val="10"/>
                <w:color w:val="auto"/>
              </w:rPr>
            </w:pPr>
          </w:p>
        </w:tc>
        <w:tc>
          <w:tcPr>
            <w:tcW w:w="18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Years Ended December 31,</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- 6.19</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6.14 - 6.06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0.50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w w:val="88"/>
              </w:rPr>
              <w:t>70.35%</w:t>
            </w:r>
          </w:p>
        </w:tc>
        <w:tc>
          <w:tcPr>
            <w:tcW w:w="740" w:type="dxa"/>
            <w:vAlign w:val="bottom"/>
          </w:tcPr>
          <w:p>
            <w:pPr>
              <w:ind w:left="20"/>
              <w:spacing w:after="0"/>
              <w:rPr>
                <w:sz w:val="20"/>
                <w:szCs w:val="20"/>
                <w:color w:val="auto"/>
              </w:rPr>
            </w:pPr>
            <w:r>
              <w:rPr>
                <w:rFonts w:ascii="Arial" w:cs="Arial" w:eastAsia="Arial" w:hAnsi="Arial"/>
                <w:sz w:val="18"/>
                <w:szCs w:val="18"/>
                <w:color w:val="auto"/>
                <w:w w:val="97"/>
              </w:rPr>
              <w:t>- 73.88%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1"/>
              </w:rPr>
              <w:t>69.99%</w:t>
            </w:r>
          </w:p>
        </w:tc>
        <w:tc>
          <w:tcPr>
            <w:tcW w:w="740" w:type="dxa"/>
            <w:vAlign w:val="bottom"/>
          </w:tcPr>
          <w:p>
            <w:pPr>
              <w:ind w:left="20"/>
              <w:spacing w:after="0"/>
              <w:rPr>
                <w:sz w:val="20"/>
                <w:szCs w:val="20"/>
                <w:color w:val="auto"/>
              </w:rPr>
            </w:pPr>
            <w:r>
              <w:rPr>
                <w:rFonts w:ascii="Arial" w:cs="Arial" w:eastAsia="Arial" w:hAnsi="Arial"/>
                <w:sz w:val="18"/>
                <w:szCs w:val="18"/>
                <w:color w:val="auto"/>
                <w:w w:val="97"/>
              </w:rPr>
              <w:t>- 70.99%</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71.62% - 70.63%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52.04%</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88"/>
              </w:rPr>
              <w:t>- 94.56% 54.90%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- 0.97%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2.59% - 1.62%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- 0.13%  0.09%</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right"/>
              <w:ind w:right="476"/>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380" w:type="dxa"/>
            <w:vAlign w:val="bottom"/>
            <w:gridSpan w:val="2"/>
          </w:tcPr>
          <w:p>
            <w:pPr>
              <w:jc w:val="right"/>
              <w:ind w:right="47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760" w:right="900" w:hanging="239"/>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Term (Years)</w:t>
      </w:r>
      <w:r>
        <w:rPr>
          <w:rFonts w:ascii="Arial" w:cs="Arial" w:eastAsia="Arial" w:hAnsi="Arial"/>
          <w:sz w:val="18"/>
          <w:szCs w:val="18"/>
          <w:color w:val="auto"/>
        </w:rPr>
        <w:t>—The expected term of the stock option grants was calculated based on historical exercises,</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cancellations, and forfeitures of stock options and outstanding option shares</w:t>
      </w:r>
    </w:p>
    <w:p>
      <w:pPr>
        <w:spacing w:after="0" w:line="129" w:lineRule="exact"/>
        <w:rPr>
          <w:rFonts w:ascii="Arial" w:cs="Arial" w:eastAsia="Arial" w:hAnsi="Arial"/>
          <w:sz w:val="18"/>
          <w:szCs w:val="18"/>
          <w:color w:val="auto"/>
        </w:rPr>
      </w:pPr>
    </w:p>
    <w:p>
      <w:pPr>
        <w:ind w:left="760" w:right="180" w:hanging="239"/>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based on the historical volatility for the Company's stock over a period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expected terms of the options.</w:t>
      </w:r>
    </w:p>
    <w:p>
      <w:pPr>
        <w:spacing w:after="0" w:line="129" w:lineRule="exact"/>
        <w:rPr>
          <w:rFonts w:ascii="Arial" w:cs="Arial" w:eastAsia="Arial" w:hAnsi="Arial"/>
          <w:sz w:val="18"/>
          <w:szCs w:val="18"/>
          <w:color w:val="auto"/>
        </w:rPr>
      </w:pPr>
    </w:p>
    <w:p>
      <w:pPr>
        <w:ind w:left="760" w:right="600" w:hanging="239"/>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was based on the market yield currently available on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securities with maturities approximately equal to the option’s expected term.</w:t>
      </w:r>
    </w:p>
    <w:p>
      <w:pPr>
        <w:spacing w:after="0" w:line="143" w:lineRule="exact"/>
        <w:rPr>
          <w:rFonts w:ascii="Arial" w:cs="Arial" w:eastAsia="Arial" w:hAnsi="Arial"/>
          <w:sz w:val="18"/>
          <w:szCs w:val="18"/>
          <w:color w:val="auto"/>
        </w:rPr>
      </w:pPr>
    </w:p>
    <w:p>
      <w:pPr>
        <w:ind w:left="760" w:right="300" w:hanging="239"/>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paid dividends and does not expect to pay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129" w:lineRule="exact"/>
        <w:rPr>
          <w:rFonts w:ascii="Arial" w:cs="Arial" w:eastAsia="Arial" w:hAnsi="Arial"/>
          <w:sz w:val="18"/>
          <w:szCs w:val="18"/>
          <w:color w:val="auto"/>
        </w:rPr>
      </w:pPr>
    </w:p>
    <w:p>
      <w:pPr>
        <w:ind w:left="760" w:hanging="239"/>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recognizes forfeitures as they occur.</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EMPLOYEE BENEFIT PLAN</w:t>
      </w:r>
    </w:p>
    <w:p>
      <w:pPr>
        <w:spacing w:after="0" w:line="202"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The Company maintains a defined contribution plan covering substantially all U.S. employees under Section 401(k) of the Internal Revenue Code of 1986, as amended (the “IRC”). The Company's matching contribution to the defined contribution plan was $2.2 million, $1.2 million, and $0.9 million for the years ended December 31, 2021, 2020, and 2019,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INCOME TAXES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did not record a provision or benefit for income taxes for the years ended December 31, 2021, 2020 or 2019.</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significant components of the Company’s net deferred tax assets and liabilities are summarized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203,298</w:t>
            </w:r>
          </w:p>
        </w:tc>
        <w:tc>
          <w:tcPr>
            <w:tcW w:w="160" w:type="dxa"/>
            <w:vAlign w:val="bottom"/>
          </w:tcPr>
          <w:p>
            <w:pPr>
              <w:spacing w:after="0"/>
              <w:rPr>
                <w:sz w:val="18"/>
                <w:szCs w:val="18"/>
                <w:color w:val="auto"/>
              </w:rPr>
            </w:pPr>
          </w:p>
        </w:tc>
        <w:tc>
          <w:tcPr>
            <w:tcW w:w="68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144,087</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Tax credit carryforwards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32,508</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Reserves and accruals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282,111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201,126</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(267,469)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(189,412)</w:t>
            </w:r>
          </w:p>
        </w:tc>
      </w:tr>
      <w:tr>
        <w:trPr>
          <w:trHeight w:val="209"/>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deferred income tax assets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11,714</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(14,642)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(11,714)</w:t>
            </w:r>
          </w:p>
        </w:tc>
      </w:tr>
      <w:tr>
        <w:trPr>
          <w:trHeight w:val="209"/>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of the effective income tax rate to the U.S. statutory rate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0"/>
              </w:rPr>
              <w:t>Years ended December 31,</w:t>
            </w:r>
          </w:p>
        </w:tc>
        <w:tc>
          <w:tcPr>
            <w:tcW w:w="1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3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520" w:type="dxa"/>
            <w:vAlign w:val="bottom"/>
            <w:gridSpan w:val="2"/>
          </w:tcPr>
          <w:p>
            <w:pPr>
              <w:jc w:val="right"/>
              <w:ind w:right="43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38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Orphan drug and research credits</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Permanent and other differences</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r>
      <w:tr>
        <w:trPr>
          <w:trHeight w:val="210"/>
        </w:trPr>
        <w:tc>
          <w:tcPr>
            <w:tcW w:w="49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Valuation allowance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60" w:type="dxa"/>
            <w:vAlign w:val="bottom"/>
            <w:gridSpan w:val="3"/>
          </w:tcPr>
          <w:p>
            <w:pPr>
              <w:jc w:val="right"/>
              <w:ind w:right="90"/>
              <w:spacing w:after="0"/>
              <w:rPr>
                <w:sz w:val="20"/>
                <w:szCs w:val="20"/>
                <w:color w:val="auto"/>
              </w:rPr>
            </w:pPr>
            <w:r>
              <w:rPr>
                <w:rFonts w:ascii="Arial" w:cs="Arial" w:eastAsia="Arial" w:hAnsi="Arial"/>
                <w:sz w:val="18"/>
                <w:szCs w:val="18"/>
                <w:color w:val="auto"/>
              </w:rPr>
              <w:t>(23)%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The Company had net operating loss carryforwards (“NOLs”) for federal and state income tax purposes of approximately $945.3 million and $149.6 million, respectively, as of December 31, 2021. $142.4 million of federal NOLs will expire beginning in 2027, while $803.0 million generated after the recently enacted tax reform will have an indefinite life under the Tax Cuts and Jobs Act of 2017 (the “Tax Act”). The state NOLs will expire if unused in years 2030 through 2041.</w:t>
      </w:r>
    </w:p>
    <w:p>
      <w:pPr>
        <w:spacing w:after="0" w:line="146"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 Company’s utilization of NOLs is subject to an annual limitation due to ownership changes that have occurred previously or that could occur in the future as provided in Section 382 of the Internal Revenue Code (“Section 382”), as well as similar state provisions. Section 382 limits the utilization of NOLs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multiple ownership changes as defined by Section 382, and could result in ownership change in the future upon subsequent disposition. The Company’s utilization of NOLs may also be adversely affected by future changes in federal and state tax laws and regulations.</w:t>
      </w:r>
    </w:p>
    <w:p>
      <w:pPr>
        <w:spacing w:after="0" w:line="150"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years ended</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December 31, 2021 and 2020, the change in the valuation allowance was approximately $78.1 million, $60.7 million, and $50.6 million, respectively.</w:t>
      </w:r>
    </w:p>
    <w:p>
      <w:pPr>
        <w:spacing w:after="0" w:line="130"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net operating loss carry forward or amount of tax refundable is reduced) for unrecognized tax benefit because it represents an enterprise’s potential future obligation to the taxing authority for a tax position that was not recognized as a result of applying the provisions of ASC 740.</w:t>
      </w:r>
    </w:p>
    <w:p>
      <w:pPr>
        <w:spacing w:after="0" w:line="151"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If applicable, interest costs related to the unrecognized tax benefits are required to be calculated and would be classified as income tax expenses in the Consolidated Statements of Operations. Penalties would be recognized as a component of “General and Administrative Expenses” in the Consolidated Statements of Operations.</w:t>
      </w:r>
    </w:p>
    <w:p>
      <w:pPr>
        <w:spacing w:after="0" w:line="143"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color w:val="auto"/>
        </w:rPr>
        <w:t>A reconciliation of the beginning and ending balances of the unrecognized tax benefits during the years ended December 31, 2021, 2020, and 2019 is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Gross decreases - prior period tax positions</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current period tax positions</w:t>
            </w:r>
          </w:p>
        </w:tc>
        <w:tc>
          <w:tcPr>
            <w:tcW w:w="9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Unrecognized benefit - end of period</w:t>
            </w:r>
          </w:p>
        </w:tc>
        <w:tc>
          <w:tcPr>
            <w:tcW w:w="920" w:type="dxa"/>
            <w:vAlign w:val="bottom"/>
          </w:tcPr>
          <w:p>
            <w:pPr>
              <w:spacing w:after="0"/>
              <w:rPr>
                <w:sz w:val="18"/>
                <w:szCs w:val="18"/>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10,038</w:t>
            </w:r>
          </w:p>
        </w:tc>
      </w:tr>
      <w:tr>
        <w:trPr>
          <w:trHeight w:val="20"/>
        </w:trPr>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92"/>
        <w:spacing w:after="0" w:line="308" w:lineRule="auto"/>
        <w:rPr>
          <w:sz w:val="20"/>
          <w:szCs w:val="20"/>
          <w:color w:val="auto"/>
        </w:rPr>
      </w:pPr>
      <w:r>
        <w:rPr>
          <w:rFonts w:ascii="Arial" w:cs="Arial" w:eastAsia="Arial" w:hAnsi="Arial"/>
          <w:sz w:val="17"/>
          <w:szCs w:val="17"/>
          <w:color w:val="auto"/>
        </w:rPr>
        <w:t>No interest or penalties on unpaid tax were recorded during the years ended December 31, 2021, 2020, or 2019. The Company does not anticipate any significant changes within 12 months of this reporting date of its uncertain tax positions.</w:t>
      </w:r>
    </w:p>
    <w:p>
      <w:pPr>
        <w:spacing w:after="0" w:line="106"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Company files tax returns in the U.S. federal and state jurisdictions. The U.S. federal and U.S. state taxing authorities may choose to audit tax returns for tax years beyond the statute of limitation period due to significant tax attribute carryforwards from prior years, making adjustments only to carryforward attributes. The Company is not currently under examination by income tax authorities in federal, state or other foreign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LICENSES AND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(the “NIH”) and the National Cancer Institute (the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(the “CRADA”)</w:t>
      </w:r>
    </w:p>
    <w:p>
      <w:pPr>
        <w:spacing w:after="0" w:line="185" w:lineRule="exact"/>
        <w:rPr>
          <w:sz w:val="20"/>
          <w:szCs w:val="20"/>
          <w:color w:val="auto"/>
        </w:rPr>
      </w:pPr>
    </w:p>
    <w:p>
      <w:pPr>
        <w:ind w:right="1040" w:firstLine="492"/>
        <w:spacing w:after="0" w:line="277" w:lineRule="auto"/>
        <w:rPr>
          <w:sz w:val="20"/>
          <w:szCs w:val="20"/>
          <w:color w:val="auto"/>
        </w:rPr>
      </w:pPr>
      <w:r>
        <w:rPr>
          <w:rFonts w:ascii="Arial" w:cs="Arial" w:eastAsia="Arial" w:hAnsi="Arial"/>
          <w:sz w:val="18"/>
          <w:szCs w:val="18"/>
          <w:color w:val="auto"/>
        </w:rPr>
        <w:t>In August 2011, the Company signed a five-year CRADA with the NCI to work on the development of adoptive cell immunotherapies that are designed to destroy metastatic melanoma cells.</w:t>
      </w:r>
    </w:p>
    <w:p>
      <w:pPr>
        <w:spacing w:after="0" w:line="143" w:lineRule="exact"/>
        <w:rPr>
          <w:sz w:val="20"/>
          <w:szCs w:val="20"/>
          <w:color w:val="auto"/>
        </w:rPr>
      </w:pPr>
    </w:p>
    <w:p>
      <w:pPr>
        <w:ind w:right="300" w:firstLine="492"/>
        <w:spacing w:after="0" w:line="308" w:lineRule="auto"/>
        <w:rPr>
          <w:sz w:val="20"/>
          <w:szCs w:val="20"/>
          <w:color w:val="auto"/>
        </w:rPr>
      </w:pPr>
      <w:r>
        <w:rPr>
          <w:rFonts w:ascii="Arial" w:cs="Arial" w:eastAsia="Arial" w:hAnsi="Arial"/>
          <w:sz w:val="17"/>
          <w:szCs w:val="17"/>
          <w:color w:val="auto"/>
        </w:rPr>
        <w:t>The CRADA was amended in January 2015, to include four new indications, including the development of TIL therapy for the treatment of patients with bladder, lung, triple-negative breast, and Human Papilloma Virus (“HPV”)-associated cancers.</w:t>
      </w:r>
    </w:p>
    <w:p>
      <w:pPr>
        <w:spacing w:after="0" w:line="106" w:lineRule="exact"/>
        <w:rPr>
          <w:sz w:val="20"/>
          <w:szCs w:val="20"/>
          <w:color w:val="auto"/>
        </w:rPr>
      </w:pPr>
    </w:p>
    <w:p>
      <w:pPr>
        <w:ind w:right="160" w:firstLine="492"/>
        <w:spacing w:after="0" w:line="259" w:lineRule="auto"/>
        <w:rPr>
          <w:sz w:val="20"/>
          <w:szCs w:val="20"/>
          <w:color w:val="auto"/>
        </w:rPr>
      </w:pPr>
      <w:r>
        <w:rPr>
          <w:rFonts w:ascii="Arial" w:cs="Arial" w:eastAsia="Arial" w:hAnsi="Arial"/>
          <w:sz w:val="18"/>
          <w:szCs w:val="18"/>
          <w:color w:val="auto"/>
        </w:rPr>
        <w:t>The CRADA was further amended in August 2016 to, among other things, (i) extend the term of the CRADA by another five years to August 2021, and (ii) modify 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spacing w:after="0" w:line="146"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The CRADA was further amended in August 2021 to, among other things, extend the term of the CRADA by another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$2.0 million, $2.0 million, and $2.2 million for the years ended December 31, 2021, 2020 and 2019, respectively, as research and development expenses.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98"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spacing w:after="0" w:line="136"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Effective May 6, 2021, the Company entered into an Amended and Restated Patent License Agreement with NIH (the “Amended and Restated Patent License Agreement”), which includes the grant of additional exclusive, worldwide patent rights in the Indications to cytokine-tethered TIL technology, and expands the non-exclusive, worldwide field of use to all cancers. The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Amended and Restated Patent License Agreement. The Company anticipates making milestone payments, including a payment in the low-single-digit millions of dollars in conjunction with the approval of a Biologics License Application for any of its product candidates covered by the Amended and Restated Patent License Agreement. The term of the Amended and Restated Patent License Agreement continues until the expiry of the last-to-expire patent rights licensed thereunder, and the agreement contains standard termination provisions.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98"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U.S., and the first commercial sale of a licensed product or process in any foreign country.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right="120" w:firstLine="492"/>
        <w:spacing w:after="0" w:line="291" w:lineRule="auto"/>
        <w:rPr>
          <w:sz w:val="20"/>
          <w:szCs w:val="20"/>
          <w:color w:val="auto"/>
        </w:rPr>
      </w:pPr>
      <w:r>
        <w:rPr>
          <w:rFonts w:ascii="Arial" w:cs="Arial" w:eastAsia="Arial" w:hAnsi="Arial"/>
          <w:sz w:val="16"/>
          <w:szCs w:val="16"/>
          <w:color w:val="auto"/>
        </w:rPr>
        <w:t>In December 2016, the Company entered into a new three-year Sponsored Research Agreement with H. Lee Moffitt Cancer Center (“Moffitt”) which expired in December 2019. In June 2020, the Company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In December 2016,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In the years ended December 31, 2021, 2020 and 2019, the Company recorded research and development costs of $0.4 million, $0.6 million, and $0.7 million, respectively, in connection with the research collaboration and clinical grant agreements with Moffitt.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7"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year ended December 31, 2021, 2020, and 2019.</w:t>
      </w:r>
    </w:p>
    <w:p>
      <w:pPr>
        <w:spacing w:after="0" w:line="126"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$0.1 million for the years ended December 31, 2021, 2020 and 2019 as research and development expenses in connection with this agreement. 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 &amp; Restated Second Moffitt License, the Company paid an upfront licensing fee in the amount of $0.2 million in 2021. In addition, the Company agreed to pay an annual commercial use payment for each indication for which a first sale has occurred for products relating to the use of 4-1BB antagonists and for products relating to the use of tumor digests covered by the license.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University of Texas 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color w:val="auto"/>
        </w:rPr>
        <w:t>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The Company recorded $0.5 million, $1.1 million and $3.4 million associated with the SAA for the year ended December 31, 2021, 2020, and 2019 as research and development expenses, respectively.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Advanced Therapies, Inc.</w:t>
      </w:r>
    </w:p>
    <w:p>
      <w:pPr>
        <w:spacing w:after="0" w:line="189" w:lineRule="exact"/>
        <w:rPr>
          <w:sz w:val="20"/>
          <w:szCs w:val="20"/>
          <w:color w:val="auto"/>
        </w:rPr>
      </w:pPr>
    </w:p>
    <w:p>
      <w:pPr>
        <w:ind w:right="40" w:firstLine="492"/>
        <w:spacing w:after="0" w:line="290"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Advanced Therapies, Inc. (“WuXi”) pursuant to which WuXi agreed to provide manufacturing and other services, which has since been amended and assigned to our subsidiary Iovance Biotherapeutics Manufacturing LLC. Under the agreement, the Company entered into two statements of work for two cGMP manufacturing suites to be established and operated by WuXi for the Company, both of the suites are expected to be capable of being used for the commercial manufacture of its products. The terms of the related statements of work currently extend to February 2022 for the first statement of work and were extended to December 2022 for the second statement of work. The Company recorded costs associated with agreements with WuXi of $17.5 million, $20.6 million, and $28.4 million for the years ended December 31, 2021, 2020, and 2019 respectively, as research and development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w:t>
      </w:r>
      <w:r>
        <w:rPr>
          <w:rFonts w:ascii="Arial" w:cs="Arial" w:eastAsia="Arial" w:hAnsi="Arial"/>
          <w:sz w:val="18"/>
          <w:szCs w:val="18"/>
          <w:i w:val="1"/>
          <w:iCs w:val="1"/>
          <w:color w:val="auto"/>
        </w:rPr>
        <w:t>.</w:t>
      </w:r>
    </w:p>
    <w:p>
      <w:pPr>
        <w:spacing w:after="0" w:line="189"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the license agreement from Cellectis of $0.4 million the years ended December 31, 2021, and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202"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On January 9, 2020, the Company obtained a license from Novartis Pharma AG (“Novartis”) to develop and commercialize an antibody cytokine engrafted protein, which the Company refers to as IOV-3001. Under the agreement, the Company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The Company leases corporate office space in California, including 49,918 square feet for its new corporate headquarters’ office space in San Carlos, California, manufacturing, research and development lab facilities and office space in Pennsylvania, including 136,000 square feet of commercial manufacturing and lab space in Philadelphia, Pennsylvania, and research and development lab facilities in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w:t>
      </w:r>
    </w:p>
    <w:p>
      <w:pPr>
        <w:spacing w:after="0" w:line="151"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The Company’s leases have remaining lease terms of less than one year to approximately 20 years. Some of our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36"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 Such costs that are not fixed in nature are recognized as incurred.</w:t>
      </w:r>
    </w:p>
    <w:p>
      <w:pPr>
        <w:spacing w:after="0" w:line="130" w:lineRule="exact"/>
        <w:rPr>
          <w:sz w:val="20"/>
          <w:szCs w:val="20"/>
          <w:color w:val="auto"/>
        </w:rPr>
      </w:pPr>
    </w:p>
    <w:p>
      <w:pPr>
        <w:ind w:right="20" w:firstLine="492"/>
        <w:spacing w:after="0" w:line="340" w:lineRule="auto"/>
        <w:rPr>
          <w:sz w:val="20"/>
          <w:szCs w:val="20"/>
          <w:color w:val="auto"/>
        </w:rPr>
      </w:pPr>
      <w:r>
        <w:rPr>
          <w:rFonts w:ascii="Arial" w:cs="Arial" w:eastAsia="Arial" w:hAnsi="Arial"/>
          <w:sz w:val="15"/>
          <w:szCs w:val="15"/>
          <w:color w:val="auto"/>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ectPr>
          <w:pgSz w:w="11900" w:h="16838" w:orient="portrait"/>
          <w:cols w:equalWidth="0" w:num="1">
            <w:col w:w="9920"/>
          </w:cols>
          <w:pgMar w:left="980" w:top="665" w:right="99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41"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balance sheet classification of the Company’s right-of-use asset and lease liabilities was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68,983</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54,756</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Operating lease liabilities</w:t>
            </w: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included in current liabilities</w:t>
            </w:r>
          </w:p>
        </w:tc>
        <w:tc>
          <w:tcPr>
            <w:tcW w:w="1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Long-term portion included in non-current liabilities</w:t>
            </w:r>
          </w:p>
        </w:tc>
        <w:tc>
          <w:tcPr>
            <w:tcW w:w="16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65,474</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16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70,531</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expenses in the Company’s Consolidated Statements of Operations, and other information related to our operating leases as follows (in thousands, except weighted-average remaining lease terms and discount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For the Year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2021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20,109</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paid for amounts included in the measurement of lease liabilities included in</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cashflows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2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Right-of-use assets obtained from entering new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17,617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50,327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right-of-use assets from lease modifications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Weighted-average remaining lease terms (years)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780" w:firstLine="492"/>
        <w:spacing w:after="0" w:line="277" w:lineRule="auto"/>
        <w:rPr>
          <w:sz w:val="20"/>
          <w:szCs w:val="20"/>
          <w:color w:val="auto"/>
        </w:rPr>
      </w:pPr>
      <w:r>
        <w:rPr>
          <w:rFonts w:ascii="Arial" w:cs="Arial" w:eastAsia="Arial" w:hAnsi="Arial"/>
          <w:sz w:val="18"/>
          <w:szCs w:val="18"/>
          <w:color w:val="auto"/>
        </w:rPr>
        <w:t>As of December 31, 2021, future payments associated with the Company's operating lease liabilities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CMO</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embedded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leases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leases</w:t>
            </w:r>
          </w:p>
        </w:tc>
        <w:tc>
          <w:tcPr>
            <w:tcW w:w="240" w:type="dxa"/>
            <w:vAlign w:val="bottom"/>
          </w:tcPr>
          <w:p>
            <w:pPr>
              <w:spacing w:after="0"/>
              <w:rPr>
                <w:sz w:val="17"/>
                <w:szCs w:val="17"/>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2025</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91,952</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133,744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Future tenant improvement reimbursement</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0"/>
        </w:trPr>
        <w:tc>
          <w:tcPr>
            <w:tcW w:w="46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5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70,531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92"/>
        <w:spacing w:after="0" w:line="342" w:lineRule="auto"/>
        <w:rPr>
          <w:sz w:val="20"/>
          <w:szCs w:val="20"/>
          <w:color w:val="auto"/>
        </w:rPr>
      </w:pPr>
      <w:r>
        <w:rPr>
          <w:rFonts w:ascii="Arial" w:cs="Arial" w:eastAsia="Arial" w:hAnsi="Arial"/>
          <w:sz w:val="16"/>
          <w:szCs w:val="16"/>
          <w:color w:val="auto"/>
        </w:rPr>
        <w:t>For its new corporate headquarters’ office, the Company was provided a tenant improvement allowance of $8.2 million. As of December 31, 2021, the Company has received reimbursement associated with this tenant improvement allowance of $1.6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LEGAL PROCEEDINGS</w:t>
      </w:r>
    </w:p>
    <w:p>
      <w:pPr>
        <w:spacing w:after="0" w:line="20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u w:val="single" w:color="auto"/>
          <w:color w:val="auto"/>
        </w:rPr>
        <w:t>Derivative Lawsuit.</w:t>
      </w:r>
      <w:r>
        <w:rPr>
          <w:rFonts w:ascii="Arial" w:cs="Arial" w:eastAsia="Arial" w:hAnsi="Arial"/>
          <w:sz w:val="17"/>
          <w:szCs w:val="17"/>
          <w:color w:val="auto"/>
        </w:rPr>
        <w:t xml:space="preserve"> On December 11, 2020, a purported stockholder derivative complaint was filed by plaintiff Leo Shumacher against the Company, as nominal defendant, and its current directors, as defendants, in the Court of Chancery in the State of Delaware. The complaint alleges breach of fiduciary duty and a claim for unjust enrichment in connection with alleged excessive compensation of certain non-executive directors of the Company and seeks unspecified damages on behalf of the Company. The defendants intend to vigorously defend against the foregoing complaints. Based on the early stage of the litigation, it is not possible to estimate the amount or range of possible loss that might result from these matters.</w:t>
      </w:r>
    </w:p>
    <w:p>
      <w:pPr>
        <w:spacing w:after="0" w:line="137" w:lineRule="exact"/>
        <w:rPr>
          <w:sz w:val="20"/>
          <w:szCs w:val="20"/>
          <w:color w:val="auto"/>
        </w:rPr>
      </w:pPr>
    </w:p>
    <w:p>
      <w:pPr>
        <w:ind w:right="20" w:firstLine="492"/>
        <w:spacing w:after="0" w:line="267"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(“the First Solomon Suit”) titled </w:t>
      </w:r>
      <w:r>
        <w:rPr>
          <w:rFonts w:ascii="Arial" w:cs="Arial" w:eastAsia="Arial" w:hAnsi="Arial"/>
          <w:sz w:val="17"/>
          <w:szCs w:val="17"/>
          <w:i w:val="1"/>
          <w:iCs w:val="1"/>
          <w:color w:val="auto"/>
        </w:rPr>
        <w:t>Solomon Capital, LLC, Solomon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401(K) Trust, Solomon Sharbat and Shelhav Raff v. Lion Biotechnologies, Inc. </w:t>
      </w:r>
      <w:r>
        <w:rPr>
          <w:rFonts w:ascii="Arial" w:cs="Arial" w:eastAsia="Arial" w:hAnsi="Arial"/>
          <w:sz w:val="17"/>
          <w:szCs w:val="17"/>
          <w:color w:val="auto"/>
        </w:rPr>
        <w:t>was filed by Solomon Capital, LLC, Solomon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401(k) Trust, Solomon Sharbat and Shelhav Raff (“Solomon Plaintiffs”) against the Company in the Supreme Court of the State of New York, County of New York (index no. 651881/2016).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40" w:firstLine="492"/>
        <w:spacing w:after="0" w:line="267" w:lineRule="auto"/>
        <w:rPr>
          <w:sz w:val="20"/>
          <w:szCs w:val="20"/>
          <w:color w:val="auto"/>
        </w:rPr>
      </w:pPr>
      <w:r>
        <w:rPr>
          <w:rFonts w:ascii="Arial" w:cs="Arial" w:eastAsia="Arial" w:hAnsi="Arial"/>
          <w:sz w:val="17"/>
          <w:szCs w:val="17"/>
          <w:color w:val="auto"/>
        </w:rPr>
        <w:t xml:space="preserve">On September 27, 2019, the Solomon Plaintiffs filed a new lawsuit (through new legal counsel) (“the Second Solomon Suit”) titled </w:t>
      </w:r>
      <w:r>
        <w:rPr>
          <w:rFonts w:ascii="Arial" w:cs="Arial" w:eastAsia="Arial" w:hAnsi="Arial"/>
          <w:sz w:val="17"/>
          <w:szCs w:val="17"/>
          <w:i w:val="1"/>
          <w:iCs w:val="1"/>
          <w:color w:val="auto"/>
        </w:rPr>
        <w:t>Solomon Capital, LLC, Solomon Capital 401(K) Trust, Solomon Sharbat and Shelhav Raff v. Iovance Biotherapeutics, Inc., f/k/a/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f/k/a/ Genesis Biopharma Inc., and Manish Singh </w:t>
      </w:r>
      <w:r>
        <w:rPr>
          <w:rFonts w:ascii="Arial" w:cs="Arial" w:eastAsia="Arial" w:hAnsi="Arial"/>
          <w:sz w:val="17"/>
          <w:szCs w:val="17"/>
          <w:color w:val="auto"/>
        </w:rPr>
        <w:t>in the Supreme Court of the State of New York, County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Court granted the Company’s motions for judgement on the pleadings, dismissing the second and third claims against the Company and dismissing all claims against Singh.</w:t>
      </w:r>
    </w:p>
    <w:p>
      <w:pPr>
        <w:spacing w:after="0" w:line="148"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57"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LONG-TERM NOTE PAYABLE</w:t>
      </w:r>
    </w:p>
    <w:p>
      <w:pPr>
        <w:spacing w:after="0" w:line="189"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On January 26, 2021, the Company entered into a Loan Note and accompanying Economic Stimulus Program Loan Agreement with PIDC – Local Development Corporation, a Pennsylvania nonprofit corporation (the “Lender”), pursuant to which the Lender agreed to make a loan (the “Job Creation Loan”) to the Company in a principal amount of $1.0 million. The Job Creation Loan will be for a term of five years starting on February 18, 2021, the date of the issuance of a final certificate of occupancy for the Company’s leased premises in Philadelphia, Pennsylvania. The Job Creation Loan is unsecured, bears no interest, and will be forgiven by the Lender in the amount of $2,000 per full-time or “full time equivalent” (defined as two or more part time employees whose working hours total at least 35 hours a week) employee with an average salary of at least $80,000 (“FT Employees”), up to a maximum amount equal to the amount of the Job Creation Loan, as calculated based on the average number of FT Employees employed at the Company’s premises during the period of the 5-year term beginning on the date that is nine months prior to the maturity date and ending on the maturity date. If the Job Creation Loan is not forgiven in full by the maturity date, the remaining balance of the loan not forgiven will become payable on the maturity date. The Loan Note includes customary events of default. Upon the occurrence of an event of default, the Lender will have the right to exercise remedies against the Company, including the right to require immediate payment of all amounts due under the Loan Note.</w:t>
      </w:r>
    </w:p>
    <w:p>
      <w:pPr>
        <w:spacing w:after="0" w:line="127" w:lineRule="exact"/>
        <w:rPr>
          <w:sz w:val="20"/>
          <w:szCs w:val="20"/>
          <w:color w:val="auto"/>
        </w:rPr>
      </w:pPr>
    </w:p>
    <w:p>
      <w:pPr>
        <w:ind w:right="60" w:firstLine="492"/>
        <w:spacing w:after="0" w:line="311" w:lineRule="auto"/>
        <w:rPr>
          <w:sz w:val="20"/>
          <w:szCs w:val="20"/>
          <w:color w:val="auto"/>
        </w:rPr>
      </w:pPr>
      <w:r>
        <w:rPr>
          <w:rFonts w:ascii="Arial" w:cs="Arial" w:eastAsia="Arial" w:hAnsi="Arial"/>
          <w:sz w:val="16"/>
          <w:szCs w:val="16"/>
          <w:color w:val="auto"/>
        </w:rPr>
        <w:t xml:space="preserve">The Company concluded that it is not reasonably assured that all or a portion of the loan will be forgiven as of December 31, 2021, and therefore accounted for the Job Creation Loan as debt in accordance with ASC Topic 470, </w:t>
      </w:r>
      <w:r>
        <w:rPr>
          <w:rFonts w:ascii="Arial" w:cs="Arial" w:eastAsia="Arial" w:hAnsi="Arial"/>
          <w:sz w:val="16"/>
          <w:szCs w:val="16"/>
          <w:i w:val="1"/>
          <w:iCs w:val="1"/>
          <w:color w:val="auto"/>
        </w:rPr>
        <w:t>Debt</w:t>
      </w:r>
      <w:r>
        <w:rPr>
          <w:rFonts w:ascii="Arial" w:cs="Arial" w:eastAsia="Arial" w:hAnsi="Arial"/>
          <w:sz w:val="16"/>
          <w:szCs w:val="16"/>
          <w:color w:val="auto"/>
        </w:rPr>
        <w:t>, as opposed to an in-substance government grant, and classified as a long-term debt in its Condensed Consolidated Balance Sheets as of December 31,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9" w:name="page140"/>
    <w:bookmarkEnd w:id="139"/>
    <w:p>
      <w:pPr>
        <w:ind w:left="8700"/>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 AMENDED AND RESTATED 2021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222885</wp:posOffset>
            </wp:positionV>
            <wp:extent cx="55378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2021 INDUCEMENT EQUITY INCENTIVE PLAN</w:t>
      </w:r>
    </w:p>
    <w:p>
      <w:pPr>
        <w:spacing w:after="0" w:line="229" w:lineRule="exact"/>
        <w:rPr>
          <w:sz w:val="20"/>
          <w:szCs w:val="20"/>
          <w:color w:val="auto"/>
        </w:rPr>
      </w:pPr>
    </w:p>
    <w:p>
      <w:pPr>
        <w:jc w:val="both"/>
        <w:ind w:firstLine="656"/>
        <w:spacing w:after="0" w:line="283" w:lineRule="auto"/>
        <w:tabs>
          <w:tab w:leader="none" w:pos="828"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Iovance Biotherapeutics, Inc. Amended and Restated 2021 Inducement Equity Incentive Plan (as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amends and restates, in its entirety, the Iovance Biotherapeutics, Inc. 2021 Inducement Equity Incentive Plan (as originally adopted by the Board of Directors of the Company on September 22, 2021) and is intended to help Iovance Biotherapeutics, Inc., a Delaware corporation (including any successor thereto, the “</w:t>
      </w:r>
      <w:r>
        <w:rPr>
          <w:rFonts w:ascii="Arial" w:cs="Arial" w:eastAsia="Arial" w:hAnsi="Arial"/>
          <w:sz w:val="16"/>
          <w:szCs w:val="16"/>
          <w:b w:val="1"/>
          <w:bCs w:val="1"/>
          <w:color w:val="auto"/>
        </w:rPr>
        <w:t>Company</w:t>
      </w:r>
      <w:r>
        <w:rPr>
          <w:rFonts w:ascii="Arial" w:cs="Arial" w:eastAsia="Arial" w:hAnsi="Arial"/>
          <w:sz w:val="16"/>
          <w:szCs w:val="16"/>
          <w:color w:val="auto"/>
        </w:rPr>
        <w:t>”), and its Affiliates attract new employees by providing them the opportunity to acquire an equity interest in the Company or other incentive compensation measured by reference to the value of Common Stock and to align the interests of key personnel with those of the Company’s stockholders. The purpose of the Plan is to provide an Award (as defined below) to individuals as an inducement material to the individual's entering into employment with the Company, who are not previously employees or non-employee directors of the Company. The only persons eligible to receive grants of Awards under this Plan are individuals who satisfy the standards for inducement grants under Nasdaq Marketplace Rule 5635(c)</w:t>
      </w:r>
    </w:p>
    <w:p>
      <w:pPr>
        <w:spacing w:after="0" w:line="5" w:lineRule="exact"/>
        <w:rPr>
          <w:rFonts w:ascii="Arial" w:cs="Arial" w:eastAsia="Arial" w:hAnsi="Arial"/>
          <w:sz w:val="16"/>
          <w:szCs w:val="16"/>
          <w:color w:val="auto"/>
        </w:rPr>
      </w:pPr>
    </w:p>
    <w:p>
      <w:pPr>
        <w:jc w:val="both"/>
        <w:ind w:firstLine="8"/>
        <w:spacing w:after="0" w:line="270" w:lineRule="auto"/>
        <w:tabs>
          <w:tab w:leader="none" w:pos="266"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or 5635(c)(3), if applicable, and the related guidance under Nasdaq IM 5635-1. A person who previously served as an employee or director will not be eligible to receive Awards under the Plan, other than following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period of non-employment. These Awards must be approved by either a majority of the Company’s “Independent Directors” (as such term is defined in Nasdaq Marketplace Rule 5605(a)(2)) (“</w:t>
      </w:r>
      <w:r>
        <w:rPr>
          <w:rFonts w:ascii="Arial" w:cs="Arial" w:eastAsia="Arial" w:hAnsi="Arial"/>
          <w:sz w:val="17"/>
          <w:szCs w:val="17"/>
          <w:b w:val="1"/>
          <w:bCs w:val="1"/>
          <w:color w:val="auto"/>
        </w:rPr>
        <w:t>Independent Directors</w:t>
      </w:r>
      <w:r>
        <w:rPr>
          <w:rFonts w:ascii="Arial" w:cs="Arial" w:eastAsia="Arial" w:hAnsi="Arial"/>
          <w:sz w:val="17"/>
          <w:szCs w:val="17"/>
          <w:color w:val="auto"/>
        </w:rPr>
        <w:t>”) or the Committee (as defined below), provided the Committee is comprised solely of Independent Directors of the Company in order to comply with the exemption from the stockholder approval requirement for “inducement grants” provided under Rule 5635(c)(4) of the Nasdaq Marketplace Rules.</w:t>
      </w:r>
    </w:p>
    <w:p>
      <w:pPr>
        <w:spacing w:after="0" w:line="174" w:lineRule="exact"/>
        <w:rPr>
          <w:rFonts w:ascii="Arial" w:cs="Arial" w:eastAsia="Arial" w:hAnsi="Arial"/>
          <w:sz w:val="17"/>
          <w:szCs w:val="17"/>
          <w:color w:val="auto"/>
        </w:rPr>
      </w:pPr>
    </w:p>
    <w:p>
      <w:pPr>
        <w:jc w:val="both"/>
        <w:ind w:firstLine="656"/>
        <w:spacing w:after="0" w:line="261" w:lineRule="auto"/>
        <w:tabs>
          <w:tab w:leader="none" w:pos="82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Effective Date; Duration</w:t>
      </w:r>
      <w:r>
        <w:rPr>
          <w:rFonts w:ascii="Arial" w:cs="Arial" w:eastAsia="Arial" w:hAnsi="Arial"/>
          <w:sz w:val="18"/>
          <w:szCs w:val="18"/>
          <w:color w:val="auto"/>
        </w:rPr>
        <w:t>. The Plan will become effective upon the date (the “</w:t>
      </w:r>
      <w:r>
        <w:rPr>
          <w:rFonts w:ascii="Arial" w:cs="Arial" w:eastAsia="Arial" w:hAnsi="Arial"/>
          <w:sz w:val="18"/>
          <w:szCs w:val="18"/>
          <w:b w:val="1"/>
          <w:bCs w:val="1"/>
          <w:color w:val="auto"/>
        </w:rPr>
        <w:t>Effective Date</w:t>
      </w:r>
      <w:r>
        <w:rPr>
          <w:rFonts w:ascii="Arial" w:cs="Arial" w:eastAsia="Arial" w:hAnsi="Arial"/>
          <w:sz w:val="18"/>
          <w:szCs w:val="18"/>
          <w:color w:val="auto"/>
        </w:rPr>
        <w:t>”) that the Plan is approved by the board of directors of the Company. The expiration date of the Plan, on and after which date no Awards may be granted, shall be the tenth anniversary of the Effective Date; provided, however, that such expiration shall not affect Awards then outstanding, and the terms and conditions of the Plan shall continue to apply to such Awards.</w:t>
      </w:r>
    </w:p>
    <w:p>
      <w:pPr>
        <w:spacing w:after="0" w:line="183" w:lineRule="exact"/>
        <w:rPr>
          <w:rFonts w:ascii="Arial" w:cs="Arial" w:eastAsia="Arial" w:hAnsi="Arial"/>
          <w:sz w:val="18"/>
          <w:szCs w:val="18"/>
          <w:color w:val="auto"/>
        </w:rPr>
      </w:pPr>
    </w:p>
    <w:p>
      <w:pPr>
        <w:ind w:firstLine="656"/>
        <w:spacing w:after="0" w:line="277" w:lineRule="auto"/>
        <w:tabs>
          <w:tab w:leader="none" w:pos="82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When used herein, the following capitalized terms shall have the meanings indicated, and their plural forms shall have the pluralized forms of their meanings indicated:</w:t>
      </w:r>
    </w:p>
    <w:p>
      <w:pPr>
        <w:spacing w:after="0" w:line="166" w:lineRule="exact"/>
        <w:rPr>
          <w:rFonts w:ascii="Arial" w:cs="Arial" w:eastAsia="Arial" w:hAnsi="Arial"/>
          <w:sz w:val="18"/>
          <w:szCs w:val="18"/>
          <w:color w:val="auto"/>
        </w:rPr>
      </w:pPr>
    </w:p>
    <w:p>
      <w:pPr>
        <w:jc w:val="both"/>
        <w:ind w:firstLine="1304"/>
        <w:spacing w:after="0" w:line="258" w:lineRule="auto"/>
        <w:tabs>
          <w:tab w:leader="none" w:pos="1554"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83" w:lineRule="exact"/>
        <w:rPr>
          <w:rFonts w:ascii="Arial" w:cs="Arial" w:eastAsia="Arial" w:hAnsi="Arial"/>
          <w:sz w:val="18"/>
          <w:szCs w:val="18"/>
          <w:color w:val="auto"/>
        </w:rPr>
      </w:pPr>
    </w:p>
    <w:p>
      <w:pPr>
        <w:ind w:right="20" w:firstLine="1304"/>
        <w:spacing w:after="0" w:line="282" w:lineRule="auto"/>
        <w:tabs>
          <w:tab w:leader="none" w:pos="1578"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Nonqualified Stock Option, Stock Appreciation Right, Restricted Stock, Restricted Stock Unit, or Other Stock-Based Award granted under the Plan.</w:t>
      </w:r>
    </w:p>
    <w:p>
      <w:pPr>
        <w:spacing w:after="0" w:line="161" w:lineRule="exact"/>
        <w:rPr>
          <w:rFonts w:ascii="Arial" w:cs="Arial" w:eastAsia="Arial" w:hAnsi="Arial"/>
          <w:sz w:val="18"/>
          <w:szCs w:val="18"/>
          <w:color w:val="auto"/>
        </w:rPr>
      </w:pPr>
    </w:p>
    <w:p>
      <w:pPr>
        <w:ind w:right="20" w:firstLine="1304"/>
        <w:spacing w:after="0" w:line="282" w:lineRule="auto"/>
        <w:tabs>
          <w:tab w:leader="none" w:pos="1541"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agreement (whether in written or electronic form) or other instrument or document evidencing any Award granted under the Plan.</w:t>
      </w:r>
    </w:p>
    <w:p>
      <w:pPr>
        <w:spacing w:after="0" w:line="161" w:lineRule="exact"/>
        <w:rPr>
          <w:rFonts w:ascii="Arial" w:cs="Arial" w:eastAsia="Arial" w:hAnsi="Arial"/>
          <w:sz w:val="18"/>
          <w:szCs w:val="18"/>
          <w:color w:val="auto"/>
        </w:rPr>
      </w:pPr>
    </w:p>
    <w:p>
      <w:pPr>
        <w:ind w:left="1560" w:hanging="256"/>
        <w:spacing w:after="0"/>
        <w:tabs>
          <w:tab w:leader="none" w:pos="1560" w:val="left"/>
        </w:tabs>
        <w:numPr>
          <w:ilvl w:val="2"/>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w:t>
      </w:r>
      <w:r>
        <w:rPr>
          <w:rFonts w:ascii="Arial" w:cs="Arial" w:eastAsia="Arial" w:hAnsi="Arial"/>
          <w:sz w:val="16"/>
          <w:szCs w:val="16"/>
          <w:color w:val="auto"/>
        </w:rPr>
        <w:t>” has the meaning set forth in Rule 13d-3 promulgated under Section 13 of the Exchange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06" w:lineRule="exact"/>
        <w:rPr>
          <w:rFonts w:ascii="Arial" w:cs="Arial" w:eastAsia="Arial" w:hAnsi="Arial"/>
          <w:sz w:val="16"/>
          <w:szCs w:val="16"/>
          <w:color w:val="auto"/>
        </w:rPr>
      </w:pPr>
    </w:p>
    <w:p>
      <w:pPr>
        <w:ind w:left="1540" w:hanging="236"/>
        <w:spacing w:after="0"/>
        <w:tabs>
          <w:tab w:leader="none" w:pos="15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jc w:val="both"/>
        <w:ind w:firstLine="1304"/>
        <w:spacing w:after="0" w:line="292" w:lineRule="auto"/>
        <w:tabs>
          <w:tab w:leader="none" w:pos="1521" w:val="left"/>
        </w:tabs>
        <w:numPr>
          <w:ilvl w:val="2"/>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any of its Affiliates, or severance plan in which the Participant is eligible to participate, in either case in effect at the time of the Participant’s termination of employment or service with the Company and its Affiliates, or (ii) if “cause” (or term of similar import) is not defined in, or in the absence of, any such employment, consulting, change-in-control, severance or any other agreement between the Participant and the Company or any of its Affiliates, or severance plan in which the Participant is eligible to participate, means: (A) the Participant’s conviction of, or entry of a plea of no contest to (x) a felony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456565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or (y) a misdemeanor involving moral turpitude, (B) the Participant’s gross negligence or willful misconduct, or a willful failure to attempt in good faith to substantially perform his or her duties (other than due to physical illness or</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incapacity), (C) the Participant’s material breach of a material provision of any employment agreement, consulting agreement, directorship agreement or similar services agreement or offer letter between the Participant and the Company or any of its Affiliates, or any non-competition, non-disclosure or non-solicitation agreement with the Company or any of its Affiliates, (D) the Participant’s material violation of any written policies adopted by the Company or any of its Affiliates governing the conduct of persons performing services on behalf of the Company or any of its Affiliates, (E) the Participant’s obtaining any material improper personal benefit as result of breach by the Participant of any covenant or agreement (including a breach by the Participant of the Company’s code of ethics or a material breach by the Participant of other written policies furnished to the Participant relating to personal investment transactions) of which the Participant was or should have been aware, (F) the Participant’s fraud or misappropriation, embezzlement or material misuse of funds or property belonging to the Company or any of its Affiliates, (G) the Participant’s use of alcohol or drugs that materially interferes with the performance of his or her duties, or (H) willful or reckless misconduct in respect of the Participant’s obligations to the Company or its Affiliates or other acts of misconduct by the Participant occurring during the course of the Participant’s employment or service that in either case results in or could reasonably be expected to result in material damage to the property, business or reputation of the Company or its Affiliates. Notwithstanding anything to the contrary herein, and except where provided otherwise by an applicable agreement, if, within six (6) months following a Participant’s termination of employment or service for any reason other than by the Company for Cause, the Company determines that such Participant’s termination of employment or service could have been for Cause, such Participant’s termination of employment or service will be deemed to have been for Cause for all purposes, and such Participant will be required to disgorge to the Company all amounts received under this Plan, any Award Agreement or otherwise that would not have been payable to such Participant had such termination of employment or service been by the Company for Cause. The determination of whether Cause exists shall be made by the Committee in its sole discretion.</w:t>
      </w:r>
    </w:p>
    <w:p>
      <w:pPr>
        <w:spacing w:after="0" w:line="165" w:lineRule="exact"/>
        <w:rPr>
          <w:sz w:val="20"/>
          <w:szCs w:val="20"/>
          <w:color w:val="auto"/>
        </w:rPr>
      </w:pPr>
    </w:p>
    <w:p>
      <w:pPr>
        <w:jc w:val="both"/>
        <w:ind w:firstLine="1304"/>
        <w:spacing w:after="0" w:line="266" w:lineRule="auto"/>
        <w:tabs>
          <w:tab w:leader="none" w:pos="15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in the case of a particular Award, unless the applicable Award Agreement (or any employment, consulting, change-in-control, severance or other agreement between the Participant and the Company or any of its Affiliates) states otherwise, the first to occur of any of the following events:</w:t>
      </w:r>
    </w:p>
    <w:p>
      <w:pPr>
        <w:spacing w:after="0" w:line="179" w:lineRule="exact"/>
        <w:rPr>
          <w:rFonts w:ascii="Arial" w:cs="Arial" w:eastAsia="Arial" w:hAnsi="Arial"/>
          <w:sz w:val="18"/>
          <w:szCs w:val="18"/>
          <w:color w:val="auto"/>
        </w:rPr>
      </w:pPr>
    </w:p>
    <w:p>
      <w:pPr>
        <w:jc w:val="both"/>
        <w:ind w:left="660" w:firstLine="1292"/>
        <w:spacing w:after="0" w:line="271" w:lineRule="auto"/>
        <w:tabs>
          <w:tab w:leader="none" w:pos="2171"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acquisition by any Person or related “group” (as such term is used in Section 13(d) and Section 14(d) of the Exchange Act)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(the “</w:t>
      </w:r>
      <w:r>
        <w:rPr>
          <w:rFonts w:ascii="Arial" w:cs="Arial" w:eastAsia="Arial" w:hAnsi="Arial"/>
          <w:sz w:val="17"/>
          <w:szCs w:val="17"/>
          <w:b w:val="1"/>
          <w:bCs w:val="1"/>
          <w:color w:val="auto"/>
        </w:rPr>
        <w:t>Outstanding Company Common Stock</w:t>
      </w:r>
      <w:r>
        <w:rPr>
          <w:rFonts w:ascii="Arial" w:cs="Arial" w:eastAsia="Arial" w:hAnsi="Arial"/>
          <w:sz w:val="17"/>
          <w:szCs w:val="17"/>
          <w:color w:val="auto"/>
        </w:rPr>
        <w:t>”), or (B) the combined voting power of the then-outstanding voting securities of the Company entitled to vote in the election of directors (the “</w:t>
      </w:r>
      <w:r>
        <w:rPr>
          <w:rFonts w:ascii="Arial" w:cs="Arial" w:eastAsia="Arial" w:hAnsi="Arial"/>
          <w:sz w:val="17"/>
          <w:szCs w:val="17"/>
          <w:b w:val="1"/>
          <w:bCs w:val="1"/>
          <w:color w:val="auto"/>
        </w:rPr>
        <w:t>Outstanding Company</w:t>
      </w:r>
      <w:r>
        <w:rPr>
          <w:rFonts w:ascii="Arial" w:cs="Arial" w:eastAsia="Arial" w:hAnsi="Arial"/>
          <w:sz w:val="17"/>
          <w:szCs w:val="17"/>
          <w:color w:val="auto"/>
        </w:rPr>
        <w:t xml:space="preserve"> </w:t>
      </w:r>
      <w:r>
        <w:rPr>
          <w:rFonts w:ascii="Arial" w:cs="Arial" w:eastAsia="Arial" w:hAnsi="Arial"/>
          <w:sz w:val="17"/>
          <w:szCs w:val="17"/>
          <w:b w:val="1"/>
          <w:bCs w:val="1"/>
          <w:color w:val="auto"/>
        </w:rPr>
        <w:t>Voting Securities</w:t>
      </w:r>
      <w:r>
        <w:rPr>
          <w:rFonts w:ascii="Arial" w:cs="Arial" w:eastAsia="Arial" w:hAnsi="Arial"/>
          <w:sz w:val="17"/>
          <w:szCs w:val="17"/>
          <w:color w:val="auto"/>
        </w:rPr>
        <w:t>”), but excluding any acquisition by the Company or any of its Affiliates or by any employee benefit plan</w:t>
      </w:r>
      <w:r>
        <w:rPr>
          <w:rFonts w:ascii="Arial" w:cs="Arial" w:eastAsia="Arial" w:hAnsi="Arial"/>
          <w:sz w:val="17"/>
          <w:szCs w:val="17"/>
          <w:b w:val="1"/>
          <w:bCs w:val="1"/>
          <w:color w:val="auto"/>
        </w:rPr>
        <w:t xml:space="preserve"> </w:t>
      </w:r>
      <w:r>
        <w:rPr>
          <w:rFonts w:ascii="Arial" w:cs="Arial" w:eastAsia="Arial" w:hAnsi="Arial"/>
          <w:sz w:val="17"/>
          <w:szCs w:val="17"/>
          <w:color w:val="auto"/>
        </w:rPr>
        <w:t>sponsored or maintained by the Company or any of its Affiliates;</w:t>
      </w:r>
    </w:p>
    <w:p>
      <w:pPr>
        <w:spacing w:after="0" w:line="178" w:lineRule="exact"/>
        <w:rPr>
          <w:rFonts w:ascii="Arial" w:cs="Arial" w:eastAsia="Arial" w:hAnsi="Arial"/>
          <w:sz w:val="17"/>
          <w:szCs w:val="17"/>
          <w:color w:val="auto"/>
        </w:rPr>
      </w:pPr>
    </w:p>
    <w:p>
      <w:pPr>
        <w:jc w:val="both"/>
        <w:ind w:left="660" w:firstLine="1292"/>
        <w:spacing w:after="0" w:line="254" w:lineRule="auto"/>
        <w:tabs>
          <w:tab w:leader="none" w:pos="224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members of the Board during any consecutive 12-month period (the “</w:t>
      </w:r>
      <w:r>
        <w:rPr>
          <w:rFonts w:ascii="Arial" w:cs="Arial" w:eastAsia="Arial" w:hAnsi="Arial"/>
          <w:sz w:val="18"/>
          <w:szCs w:val="18"/>
          <w:b w:val="1"/>
          <w:bCs w:val="1"/>
          <w:color w:val="auto"/>
        </w:rPr>
        <w:t>Incumbent Directors</w:t>
      </w:r>
      <w:r>
        <w:rPr>
          <w:rFonts w:ascii="Arial" w:cs="Arial" w:eastAsia="Arial" w:hAnsi="Arial"/>
          <w:sz w:val="18"/>
          <w:szCs w:val="18"/>
          <w:color w:val="auto"/>
        </w:rPr>
        <w:t>”) cease to constitute a majority of the Board. Any person becoming a director through election or nomination for election approved by a valid vote of at least two thirds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p>
      <w:pPr>
        <w:spacing w:after="0" w:line="194" w:lineRule="exact"/>
        <w:rPr>
          <w:rFonts w:ascii="Arial" w:cs="Arial" w:eastAsia="Arial" w:hAnsi="Arial"/>
          <w:sz w:val="18"/>
          <w:szCs w:val="18"/>
          <w:color w:val="auto"/>
        </w:rPr>
      </w:pPr>
    </w:p>
    <w:p>
      <w:pPr>
        <w:ind w:left="2280" w:hanging="328"/>
        <w:spacing w:after="0"/>
        <w:tabs>
          <w:tab w:leader="none" w:pos="22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approval by the stockholders of the Company of a plan of complete dissolution or liquidation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 and</w:t>
      </w:r>
    </w:p>
    <w:p>
      <w:pPr>
        <w:spacing w:after="0" w:line="210" w:lineRule="exact"/>
        <w:rPr>
          <w:rFonts w:ascii="Arial" w:cs="Arial" w:eastAsia="Arial" w:hAnsi="Arial"/>
          <w:sz w:val="16"/>
          <w:szCs w:val="16"/>
          <w:color w:val="auto"/>
        </w:rPr>
      </w:pPr>
    </w:p>
    <w:p>
      <w:pPr>
        <w:jc w:val="both"/>
        <w:ind w:left="660" w:firstLine="1292"/>
        <w:spacing w:after="0" w:line="284" w:lineRule="auto"/>
        <w:tabs>
          <w:tab w:leader="none" w:pos="2286"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amalgamation, consolidation, statutory share exchange or similar form of corporate transaction involving the Company (a “</w:t>
      </w:r>
      <w:r>
        <w:rPr>
          <w:rFonts w:ascii="Arial" w:cs="Arial" w:eastAsia="Arial" w:hAnsi="Arial"/>
          <w:sz w:val="16"/>
          <w:szCs w:val="16"/>
          <w:b w:val="1"/>
          <w:bCs w:val="1"/>
          <w:color w:val="auto"/>
        </w:rPr>
        <w:t>Business Combination</w:t>
      </w:r>
      <w:r>
        <w:rPr>
          <w:rFonts w:ascii="Arial" w:cs="Arial" w:eastAsia="Arial" w:hAnsi="Arial"/>
          <w:sz w:val="16"/>
          <w:szCs w:val="16"/>
          <w:color w:val="auto"/>
        </w:rPr>
        <w:t>”), or sale, transfer or other disposition of all or substantially all of the business or assets of the Company to an entity that is not an Affiliate of the Company (a “</w:t>
      </w:r>
      <w:r>
        <w:rPr>
          <w:rFonts w:ascii="Arial" w:cs="Arial" w:eastAsia="Arial" w:hAnsi="Arial"/>
          <w:sz w:val="16"/>
          <w:szCs w:val="16"/>
          <w:b w:val="1"/>
          <w:bCs w:val="1"/>
          <w:color w:val="auto"/>
        </w:rPr>
        <w:t>Sale</w:t>
      </w:r>
      <w:r>
        <w:rPr>
          <w:rFonts w:ascii="Arial" w:cs="Arial" w:eastAsia="Arial" w:hAnsi="Arial"/>
          <w:sz w:val="16"/>
          <w:szCs w:val="16"/>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6"/>
          <w:szCs w:val="16"/>
          <w:b w:val="1"/>
          <w:bCs w:val="1"/>
          <w:color w:val="auto"/>
        </w:rPr>
        <w:t>Surviving Company</w:t>
      </w:r>
      <w:r>
        <w:rPr>
          <w:rFonts w:ascii="Arial" w:cs="Arial" w:eastAsia="Arial" w:hAnsi="Arial"/>
          <w:sz w:val="16"/>
          <w:szCs w:val="16"/>
          <w:color w:val="auto"/>
        </w:rPr>
        <w:t>”), or the ultimate parent</w:t>
      </w:r>
    </w:p>
    <w:p>
      <w:pPr>
        <w:spacing w:after="0" w:line="4" w:lineRule="exact"/>
        <w:rPr>
          <w:rFonts w:ascii="Arial" w:cs="Arial" w:eastAsia="Arial" w:hAnsi="Arial"/>
          <w:sz w:val="16"/>
          <w:szCs w:val="16"/>
          <w:color w:val="auto"/>
        </w:rPr>
      </w:pPr>
    </w:p>
    <w:p>
      <w:pPr>
        <w:ind w:left="660" w:right="300"/>
        <w:spacing w:after="0" w:line="302" w:lineRule="auto"/>
        <w:rPr>
          <w:rFonts w:ascii="Arial" w:cs="Arial" w:eastAsia="Arial" w:hAnsi="Arial"/>
          <w:sz w:val="16"/>
          <w:szCs w:val="16"/>
          <w:color w:val="auto"/>
        </w:rPr>
      </w:pPr>
      <w:r>
        <w:rPr>
          <w:rFonts w:ascii="Arial" w:cs="Arial" w:eastAsia="Arial" w:hAnsi="Arial"/>
          <w:sz w:val="16"/>
          <w:szCs w:val="16"/>
          <w:color w:val="auto"/>
        </w:rPr>
        <w:t>entity that has Beneficial Ownership of sufficient voting power to elect a majority of the board of directors (or analogous governing body) of the Surviving Company (the “</w:t>
      </w:r>
      <w:r>
        <w:rPr>
          <w:rFonts w:ascii="Arial" w:cs="Arial" w:eastAsia="Arial" w:hAnsi="Arial"/>
          <w:sz w:val="16"/>
          <w:szCs w:val="16"/>
          <w:b w:val="1"/>
          <w:bCs w:val="1"/>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Sale (or, if applicable, is represented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450215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ind w:left="660" w:right="60"/>
        <w:spacing w:after="0" w:line="269" w:lineRule="auto"/>
        <w:rPr>
          <w:sz w:val="20"/>
          <w:szCs w:val="20"/>
          <w:color w:val="auto"/>
        </w:rPr>
      </w:pPr>
      <w:r>
        <w:rPr>
          <w:rFonts w:ascii="Arial" w:cs="Arial" w:eastAsia="Arial" w:hAnsi="Arial"/>
          <w:sz w:val="17"/>
          <w:szCs w:val="17"/>
          <w:color w:val="auto"/>
        </w:rPr>
        <w:t>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181" w:lineRule="exact"/>
        <w:rPr>
          <w:sz w:val="20"/>
          <w:szCs w:val="20"/>
          <w:color w:val="auto"/>
        </w:rPr>
      </w:pPr>
    </w:p>
    <w:p>
      <w:pPr>
        <w:jc w:val="both"/>
        <w:ind w:firstLine="1304"/>
        <w:spacing w:after="0" w:line="266" w:lineRule="auto"/>
        <w:tabs>
          <w:tab w:leader="none" w:pos="15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175" w:lineRule="exact"/>
        <w:rPr>
          <w:rFonts w:ascii="Arial" w:cs="Arial" w:eastAsia="Arial" w:hAnsi="Arial"/>
          <w:sz w:val="18"/>
          <w:szCs w:val="18"/>
          <w:color w:val="auto"/>
        </w:rPr>
      </w:pPr>
    </w:p>
    <w:p>
      <w:pPr>
        <w:jc w:val="both"/>
        <w:ind w:firstLine="1304"/>
        <w:spacing w:after="0" w:line="314" w:lineRule="auto"/>
        <w:tabs>
          <w:tab w:leader="none" w:pos="1511"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Committee of the Board or a subcommittee thereof if required with respect to actions taken to comply with Rule 16b-3 promulgated under the Exchange Act in respect of Awards or, if no such Compensation Committee or subcommittee thereof exists, or if the Board otherwise takes action hereunder on behalf of the Committee, the Board.</w:t>
      </w:r>
    </w:p>
    <w:p>
      <w:pPr>
        <w:spacing w:after="0" w:line="141" w:lineRule="exact"/>
        <w:rPr>
          <w:rFonts w:ascii="Arial" w:cs="Arial" w:eastAsia="Arial" w:hAnsi="Arial"/>
          <w:sz w:val="16"/>
          <w:szCs w:val="16"/>
          <w:color w:val="auto"/>
        </w:rPr>
      </w:pPr>
    </w:p>
    <w:p>
      <w:pPr>
        <w:ind w:right="20" w:firstLine="1304"/>
        <w:spacing w:after="0" w:line="282" w:lineRule="auto"/>
        <w:tabs>
          <w:tab w:leader="none" w:pos="15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par value $0.000041666 per share (and any stock or other securities into which such common stock may be converted or into which it may be exchanged).</w:t>
      </w:r>
    </w:p>
    <w:p>
      <w:pPr>
        <w:spacing w:after="0" w:line="161" w:lineRule="exact"/>
        <w:rPr>
          <w:rFonts w:ascii="Arial" w:cs="Arial" w:eastAsia="Arial" w:hAnsi="Arial"/>
          <w:sz w:val="18"/>
          <w:szCs w:val="18"/>
          <w:color w:val="auto"/>
        </w:rPr>
      </w:pPr>
    </w:p>
    <w:p>
      <w:pPr>
        <w:jc w:val="both"/>
        <w:ind w:firstLine="1304"/>
        <w:spacing w:after="0" w:line="266" w:lineRule="auto"/>
        <w:tabs>
          <w:tab w:leader="none" w:pos="15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175" w:lineRule="exact"/>
        <w:rPr>
          <w:rFonts w:ascii="Arial" w:cs="Arial" w:eastAsia="Arial" w:hAnsi="Arial"/>
          <w:sz w:val="18"/>
          <w:szCs w:val="18"/>
          <w:color w:val="auto"/>
        </w:rPr>
      </w:pPr>
    </w:p>
    <w:p>
      <w:pPr>
        <w:ind w:left="1520" w:hanging="216"/>
        <w:spacing w:after="0"/>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shall refer to the United States dollars.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Director</w:t>
      </w:r>
      <w:r>
        <w:rPr>
          <w:rFonts w:ascii="Arial" w:cs="Arial" w:eastAsia="Arial" w:hAnsi="Arial"/>
          <w:sz w:val="18"/>
          <w:szCs w:val="18"/>
          <w:color w:val="auto"/>
        </w:rPr>
        <w:t>” means a director who satisfies the conditions set forth in Section 4(a) of the Plan.</w:t>
      </w:r>
    </w:p>
    <w:p>
      <w:pPr>
        <w:spacing w:after="0" w:line="225" w:lineRule="exact"/>
        <w:rPr>
          <w:rFonts w:ascii="Arial" w:cs="Arial" w:eastAsia="Arial" w:hAnsi="Arial"/>
          <w:sz w:val="18"/>
          <w:szCs w:val="18"/>
          <w:color w:val="auto"/>
        </w:rPr>
      </w:pPr>
    </w:p>
    <w:p>
      <w:pPr>
        <w:jc w:val="both"/>
        <w:ind w:firstLine="1304"/>
        <w:spacing w:after="0" w:line="274" w:lineRule="auto"/>
        <w:tabs>
          <w:tab w:leader="none" w:pos="1551"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Person</w:t>
      </w:r>
      <w:r>
        <w:rPr>
          <w:rFonts w:ascii="Arial" w:cs="Arial" w:eastAsia="Arial" w:hAnsi="Arial"/>
          <w:sz w:val="17"/>
          <w:szCs w:val="17"/>
          <w:color w:val="auto"/>
        </w:rPr>
        <w:t>” means any (i) individual employed by the Company or a Subsidiary; provided, however, that no such employee covered by a collective bargaining agreement shall be an Eligible Person, (ii) director or officer of the Company or a Subsidiary, (iii) consultant or advisor to the Company or an Affiliate who may be offered securities registrable on Form S-8 under the Securities Act, or (iv) prospective employee, director, officer, consultant or advisor who has accepted an offer of employment or service from the Company or its Subsidiaries (and would satisfy the provisions of clause (i), (ii) or (iii) above once such individual begins employment with or providing services to the Company or a Subsidiary).</w:t>
      </w:r>
    </w:p>
    <w:p>
      <w:pPr>
        <w:spacing w:after="0" w:line="173" w:lineRule="exact"/>
        <w:rPr>
          <w:rFonts w:ascii="Arial" w:cs="Arial" w:eastAsia="Arial" w:hAnsi="Arial"/>
          <w:sz w:val="17"/>
          <w:szCs w:val="17"/>
          <w:color w:val="auto"/>
        </w:rPr>
      </w:pPr>
    </w:p>
    <w:p>
      <w:pPr>
        <w:jc w:val="both"/>
        <w:ind w:firstLine="1304"/>
        <w:spacing w:after="0" w:line="266" w:lineRule="auto"/>
        <w:tabs>
          <w:tab w:leader="none" w:pos="15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175" w:lineRule="exact"/>
        <w:rPr>
          <w:rFonts w:ascii="Arial" w:cs="Arial" w:eastAsia="Arial" w:hAnsi="Arial"/>
          <w:sz w:val="18"/>
          <w:szCs w:val="18"/>
          <w:color w:val="auto"/>
        </w:rPr>
      </w:pPr>
    </w:p>
    <w:p>
      <w:pPr>
        <w:ind w:left="1560" w:hanging="256"/>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has the meaning set forth in Section 7(b) of the Plan.</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(i) with respect to Common Stock on a given date, (x) if the Common Stock is listed on a national securities exchange, the closing sales price of a share of Common Stock reported on such exchange on such date, or if there is no such sale on that date, then on the last preceding date on which such</w:t>
      </w:r>
    </w:p>
    <w:p>
      <w:pPr>
        <w:spacing w:after="0" w:line="1" w:lineRule="exact"/>
        <w:rPr>
          <w:rFonts w:ascii="Arial" w:cs="Arial" w:eastAsia="Arial" w:hAnsi="Arial"/>
          <w:sz w:val="18"/>
          <w:szCs w:val="18"/>
          <w:color w:val="auto"/>
        </w:rPr>
      </w:pPr>
    </w:p>
    <w:p>
      <w:pPr>
        <w:ind w:right="240"/>
        <w:spacing w:after="0" w:line="265" w:lineRule="auto"/>
        <w:rPr>
          <w:rFonts w:ascii="Arial" w:cs="Arial" w:eastAsia="Arial" w:hAnsi="Arial"/>
          <w:sz w:val="18"/>
          <w:szCs w:val="18"/>
          <w:color w:val="auto"/>
        </w:rPr>
      </w:pPr>
      <w:r>
        <w:rPr>
          <w:rFonts w:ascii="Arial" w:cs="Arial" w:eastAsia="Arial" w:hAnsi="Arial"/>
          <w:sz w:val="17"/>
          <w:szCs w:val="17"/>
          <w:color w:val="auto"/>
        </w:rPr>
        <w:t>a sale was reported, or (y) if the Common Stock is not listed on any national securities exchange, the amount determined by the Committee in good faith to be the fair market value of the Common Stock, or (ii) with respect to any other property on any given date, the amount determined by the Committee in good faith to be the fair market value of such other property as of such date.</w:t>
      </w:r>
    </w:p>
    <w:p>
      <w:pPr>
        <w:ind w:left="1520" w:hanging="216"/>
        <w:spacing w:after="0"/>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 Members</w:t>
      </w:r>
      <w:r>
        <w:rPr>
          <w:rFonts w:ascii="Arial" w:cs="Arial" w:eastAsia="Arial" w:hAnsi="Arial"/>
          <w:sz w:val="18"/>
          <w:szCs w:val="18"/>
          <w:color w:val="auto"/>
        </w:rPr>
        <w:t>” has the meaning set forth in Section 14(b)(ii) of the Plan.</w:t>
      </w:r>
    </w:p>
    <w:p>
      <w:pPr>
        <w:spacing w:after="0" w:line="206" w:lineRule="exact"/>
        <w:rPr>
          <w:rFonts w:ascii="Arial" w:cs="Arial" w:eastAsia="Arial" w:hAnsi="Arial"/>
          <w:sz w:val="18"/>
          <w:szCs w:val="18"/>
          <w:color w:val="auto"/>
        </w:rPr>
      </w:pPr>
    </w:p>
    <w:p>
      <w:pPr>
        <w:ind w:left="1540" w:hanging="236"/>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Person</w:t>
      </w:r>
      <w:r>
        <w:rPr>
          <w:rFonts w:ascii="Arial" w:cs="Arial" w:eastAsia="Arial" w:hAnsi="Arial"/>
          <w:sz w:val="18"/>
          <w:szCs w:val="18"/>
          <w:color w:val="auto"/>
        </w:rPr>
        <w:t>” has the meaning set forth in Section 4(e) of the Plan.</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ind w:firstLine="1304"/>
        <w:spacing w:after="0" w:line="282" w:lineRule="auto"/>
        <w:tabs>
          <w:tab w:leader="none" w:pos="15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that is not designated by the Committee as an incentive stock option as described in Section 422 of the Code.</w:t>
      </w:r>
    </w:p>
    <w:p>
      <w:pPr>
        <w:spacing w:after="0" w:line="161" w:lineRule="exact"/>
        <w:rPr>
          <w:rFonts w:ascii="Arial" w:cs="Arial" w:eastAsia="Arial" w:hAnsi="Arial"/>
          <w:sz w:val="18"/>
          <w:szCs w:val="18"/>
          <w:color w:val="auto"/>
        </w:rPr>
      </w:pPr>
    </w:p>
    <w:p>
      <w:pPr>
        <w:ind w:left="1560" w:hanging="256"/>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Award granted under Section 7 of the Plan.</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has the meaning set forth in Section 7(c) of the Plan.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Award granted under Section 10 of the Plan.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set forth in Section 6 of the Plan.</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has the meaning set forth in Section 14(b)(ii) of the Plan.</w:t>
      </w:r>
    </w:p>
    <w:p>
      <w:pPr>
        <w:spacing w:after="0" w:line="225" w:lineRule="exact"/>
        <w:rPr>
          <w:sz w:val="20"/>
          <w:szCs w:val="20"/>
          <w:color w:val="auto"/>
        </w:rPr>
      </w:pPr>
    </w:p>
    <w:p>
      <w:pPr>
        <w:jc w:val="both"/>
        <w:ind w:firstLine="1304"/>
        <w:spacing w:after="0" w:line="277" w:lineRule="auto"/>
        <w:tabs>
          <w:tab w:leader="none" w:pos="1621" w:val="left"/>
        </w:tabs>
        <w:numPr>
          <w:ilvl w:val="1"/>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Common Stock of the Company.</w:t>
      </w:r>
    </w:p>
    <w:p>
      <w:pPr>
        <w:spacing w:after="0" w:line="167" w:lineRule="exact"/>
        <w:rPr>
          <w:rFonts w:ascii="Arial" w:cs="Arial" w:eastAsia="Arial" w:hAnsi="Arial"/>
          <w:sz w:val="17"/>
          <w:szCs w:val="17"/>
          <w:color w:val="auto"/>
        </w:rPr>
      </w:pPr>
    </w:p>
    <w:p>
      <w:pPr>
        <w:ind w:left="1640" w:hanging="336"/>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Released Unit</w:t>
      </w:r>
      <w:r>
        <w:rPr>
          <w:rFonts w:ascii="Arial" w:cs="Arial" w:eastAsia="Arial" w:hAnsi="Arial"/>
          <w:sz w:val="18"/>
          <w:szCs w:val="18"/>
          <w:color w:val="auto"/>
        </w:rPr>
        <w:t>” has the meaning set forth in Section 9(d)(ii) of the Plan.</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has the meaning set forth in Section 9(a) of the Plan.</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 Award of Common Stock, subject to certain specified restrictions, granted under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 of the Plan.</w:t>
      </w:r>
    </w:p>
    <w:p>
      <w:pPr>
        <w:spacing w:after="0" w:line="206" w:lineRule="exact"/>
        <w:rPr>
          <w:rFonts w:ascii="Arial" w:cs="Arial" w:eastAsia="Arial" w:hAnsi="Arial"/>
          <w:sz w:val="16"/>
          <w:szCs w:val="16"/>
          <w:color w:val="auto"/>
        </w:rPr>
      </w:pPr>
    </w:p>
    <w:p>
      <w:pPr>
        <w:ind w:firstLine="1304"/>
        <w:spacing w:after="0" w:line="347" w:lineRule="auto"/>
        <w:tabs>
          <w:tab w:leader="none" w:pos="1634"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Unit</w:t>
      </w:r>
      <w:r>
        <w:rPr>
          <w:rFonts w:ascii="Arial" w:cs="Arial" w:eastAsia="Arial" w:hAnsi="Arial"/>
          <w:sz w:val="16"/>
          <w:szCs w:val="16"/>
          <w:color w:val="auto"/>
        </w:rPr>
        <w:t>” means an Award of an unfunded and unsecured promise to deliver shares of Common Stock, cash, other securities or other property, subject to certain specified restrictions, granted under Section 9 of the Plan.</w:t>
      </w:r>
    </w:p>
    <w:p>
      <w:pPr>
        <w:spacing w:after="0" w:line="115" w:lineRule="exact"/>
        <w:rPr>
          <w:rFonts w:ascii="Arial" w:cs="Arial" w:eastAsia="Arial" w:hAnsi="Arial"/>
          <w:sz w:val="16"/>
          <w:szCs w:val="16"/>
          <w:color w:val="auto"/>
        </w:rPr>
      </w:pPr>
    </w:p>
    <w:p>
      <w:pPr>
        <w:ind w:left="1580" w:hanging="276"/>
        <w:spacing w:after="0"/>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 Period</w:t>
      </w:r>
      <w:r>
        <w:rPr>
          <w:rFonts w:ascii="Arial" w:cs="Arial" w:eastAsia="Arial" w:hAnsi="Arial"/>
          <w:sz w:val="18"/>
          <w:szCs w:val="18"/>
          <w:color w:val="auto"/>
        </w:rPr>
        <w:t>” has the meaning set forth in Section 8(c) of the Plan.</w:t>
      </w:r>
    </w:p>
    <w:p>
      <w:pPr>
        <w:spacing w:after="0" w:line="225" w:lineRule="exact"/>
        <w:rPr>
          <w:rFonts w:ascii="Arial" w:cs="Arial" w:eastAsia="Arial" w:hAnsi="Arial"/>
          <w:sz w:val="18"/>
          <w:szCs w:val="18"/>
          <w:color w:val="auto"/>
        </w:rPr>
      </w:pPr>
    </w:p>
    <w:p>
      <w:pPr>
        <w:jc w:val="both"/>
        <w:ind w:firstLine="1304"/>
        <w:spacing w:after="0" w:line="261" w:lineRule="auto"/>
        <w:tabs>
          <w:tab w:leader="none" w:pos="1641"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other interpretive guidance.</w:t>
      </w:r>
    </w:p>
    <w:p>
      <w:pPr>
        <w:spacing w:after="0" w:line="179" w:lineRule="exact"/>
        <w:rPr>
          <w:rFonts w:ascii="Arial" w:cs="Arial" w:eastAsia="Arial" w:hAnsi="Arial"/>
          <w:sz w:val="18"/>
          <w:szCs w:val="18"/>
          <w:color w:val="auto"/>
        </w:rPr>
      </w:pPr>
    </w:p>
    <w:p>
      <w:pPr>
        <w:ind w:left="1640" w:hanging="336"/>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Strike Price</w:t>
      </w:r>
      <w:r>
        <w:rPr>
          <w:rFonts w:ascii="Arial" w:cs="Arial" w:eastAsia="Arial" w:hAnsi="Arial"/>
          <w:sz w:val="18"/>
          <w:szCs w:val="18"/>
          <w:color w:val="auto"/>
        </w:rPr>
        <w:t>” has the meaning set forth in Section 8(b) of the Plan.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225" w:lineRule="exact"/>
        <w:rPr>
          <w:rFonts w:ascii="Arial" w:cs="Arial" w:eastAsia="Arial" w:hAnsi="Arial"/>
          <w:sz w:val="18"/>
          <w:szCs w:val="18"/>
          <w:color w:val="auto"/>
        </w:rPr>
      </w:pPr>
    </w:p>
    <w:p>
      <w:pPr>
        <w:ind w:firstLine="1304"/>
        <w:spacing w:after="0" w:line="282" w:lineRule="auto"/>
        <w:tabs>
          <w:tab w:leader="none" w:pos="15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a majority of whose outstanding voting stock or voting power is beneficially owned directly or indirectly by the Company.</w:t>
      </w:r>
    </w:p>
    <w:p>
      <w:pPr>
        <w:spacing w:after="0" w:line="161" w:lineRule="exact"/>
        <w:rPr>
          <w:rFonts w:ascii="Arial" w:cs="Arial" w:eastAsia="Arial" w:hAnsi="Arial"/>
          <w:sz w:val="18"/>
          <w:szCs w:val="18"/>
          <w:color w:val="auto"/>
        </w:rPr>
      </w:pPr>
    </w:p>
    <w:p>
      <w:pPr>
        <w:ind w:left="1640" w:hanging="336"/>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has the meaning set forth in Section 5(e) of the Plan.</w:t>
      </w:r>
    </w:p>
    <w:p>
      <w:pPr>
        <w:spacing w:after="0" w:line="229" w:lineRule="exact"/>
        <w:rPr>
          <w:rFonts w:ascii="Arial" w:cs="Arial" w:eastAsia="Arial" w:hAnsi="Arial"/>
          <w:sz w:val="18"/>
          <w:szCs w:val="18"/>
          <w:color w:val="auto"/>
        </w:rPr>
      </w:pPr>
    </w:p>
    <w:p>
      <w:pPr>
        <w:ind w:left="840" w:hanging="184"/>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1558"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Plan shall be administered by the Committee or, in the Board's sole discretion, by the Board. Subject to the terms of the Plan, the Committee (or the Board) shall have the sole and plenary authority to (i) designate Participants, (ii) determine the type, size, and terms and conditions of Awards to be granted and to grant such Awards, (iii) determine the method by which an Award may be settled, exercised, canceled, forfeited, suspended, or repurchased by the Company, (iv) determine the circumstances under which the delivery of cash, property or other amounts payable with respect to an Award may be deferred, either automatically or at the Participant’s or Committee’s election, (v) interpret, administer, reconcile any inconsistency in, correct any defect in and supply any omission in the Plan and any Award granted under the Plan, (vi) establish, amend, suspend, or waive any rules and regulations and appoint such agents as the Committee shall deem appropriate for the proper administration of the Plan, (vii) accelerate the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delivery or exercisability of, or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any exception or exemption under applicable securities laws or the applicable NASDAQ rules or the rules of any other securities exchange or inter-dealer quotation service on which the Common Stock is listed or quoted, as applicable, it is intended that each member of the Committee shall, at the time such member takes any action with respect to an Award under the Plan, be (1) a “non-employee director” within the meaning of Rule 16b-3 promulgated under the Exchange Act or (2) an “independent director” under NASDAQ rules or the rules of any other securities exchange or inter-dealer quotation service on which the Common Stock is listed or quoted, or a person meeting any similar requirement under any successor rule or regulation (“</w:t>
      </w:r>
      <w:r>
        <w:rPr>
          <w:rFonts w:ascii="Arial" w:cs="Arial" w:eastAsia="Arial" w:hAnsi="Arial"/>
          <w:sz w:val="17"/>
          <w:szCs w:val="17"/>
          <w:b w:val="1"/>
          <w:bCs w:val="1"/>
          <w:color w:val="auto"/>
        </w:rPr>
        <w:t>Eligible Director</w:t>
      </w:r>
      <w:r>
        <w:rPr>
          <w:rFonts w:ascii="Arial" w:cs="Arial" w:eastAsia="Arial" w:hAnsi="Arial"/>
          <w:sz w:val="17"/>
          <w:szCs w:val="17"/>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179" w:lineRule="exact"/>
        <w:rPr>
          <w:sz w:val="20"/>
          <w:szCs w:val="20"/>
          <w:color w:val="auto"/>
        </w:rPr>
      </w:pPr>
    </w:p>
    <w:p>
      <w:pPr>
        <w:jc w:val="both"/>
        <w:ind w:firstLine="1304"/>
        <w:spacing w:after="0" w:line="263" w:lineRule="auto"/>
        <w:tabs>
          <w:tab w:leader="none" w:pos="157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Committee may delegate all or any portion of its responsibilities and powers to any persons selected by it, except for grants of Awards to persons who are non-employee members of the Board or are otherwise subject to Section 16 of the Exchange Act. Any such delegation may be revoked by the Committee at any time.</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63" w:val="left"/>
        </w:tabs>
        <w:numPr>
          <w:ilvl w:val="1"/>
          <w:numId w:val="56"/>
        </w:numPr>
        <w:rPr>
          <w:rFonts w:ascii="Arial" w:cs="Arial" w:eastAsia="Arial" w:hAnsi="Arial"/>
          <w:sz w:val="16"/>
          <w:szCs w:val="16"/>
          <w:color w:val="auto"/>
        </w:rPr>
      </w:pPr>
      <w:r>
        <w:rPr>
          <w:rFonts w:ascii="Arial" w:cs="Arial" w:eastAsia="Arial" w:hAnsi="Arial"/>
          <w:sz w:val="16"/>
          <w:szCs w:val="16"/>
          <w:color w:val="auto"/>
        </w:rPr>
        <w:t>As further set forth in Section 14(f)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stockholder approval if such approval is required by applicable securities laws or regulation or NASDAQ rules or the rules of any other securities exchange or inter-dealer quotation service on which the Common Stock is listed or quoted.</w:t>
      </w:r>
    </w:p>
    <w:p>
      <w:pPr>
        <w:spacing w:after="0" w:line="161" w:lineRule="exact"/>
        <w:rPr>
          <w:rFonts w:ascii="Arial" w:cs="Arial" w:eastAsia="Arial" w:hAnsi="Arial"/>
          <w:sz w:val="16"/>
          <w:szCs w:val="16"/>
          <w:color w:val="auto"/>
        </w:rPr>
      </w:pPr>
    </w:p>
    <w:p>
      <w:pPr>
        <w:jc w:val="both"/>
        <w:ind w:firstLine="1304"/>
        <w:spacing w:after="0" w:line="257" w:lineRule="auto"/>
        <w:tabs>
          <w:tab w:leader="none" w:pos="16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and entities, including, without limitation, the Company, any Affiliate, any Participant, any holder or beneficiary of any Award, and any stockholder of the Company.</w:t>
      </w:r>
    </w:p>
    <w:p>
      <w:pPr>
        <w:spacing w:after="0" w:line="187" w:lineRule="exact"/>
        <w:rPr>
          <w:rFonts w:ascii="Arial" w:cs="Arial" w:eastAsia="Arial" w:hAnsi="Arial"/>
          <w:sz w:val="18"/>
          <w:szCs w:val="18"/>
          <w:color w:val="auto"/>
        </w:rPr>
      </w:pPr>
    </w:p>
    <w:p>
      <w:pPr>
        <w:jc w:val="both"/>
        <w:ind w:firstLine="1304"/>
        <w:spacing w:after="0" w:line="266" w:lineRule="auto"/>
        <w:tabs>
          <w:tab w:leader="none" w:pos="1564" w:val="left"/>
        </w:tabs>
        <w:numPr>
          <w:ilvl w:val="1"/>
          <w:numId w:val="56"/>
        </w:numPr>
        <w:rPr>
          <w:rFonts w:ascii="Arial" w:cs="Arial" w:eastAsia="Arial" w:hAnsi="Arial"/>
          <w:sz w:val="17"/>
          <w:szCs w:val="17"/>
          <w:color w:val="auto"/>
        </w:rPr>
      </w:pPr>
      <w:r>
        <w:rPr>
          <w:rFonts w:ascii="Arial" w:cs="Arial" w:eastAsia="Arial" w:hAnsi="Arial"/>
          <w:sz w:val="17"/>
          <w:szCs w:val="17"/>
          <w:color w:val="auto"/>
        </w:rPr>
        <w:t>No member of the Board or the Committee, nor any employee or agent of the Company (each such person, an “</w:t>
      </w:r>
      <w:r>
        <w:rPr>
          <w:rFonts w:ascii="Arial" w:cs="Arial" w:eastAsia="Arial" w:hAnsi="Arial"/>
          <w:sz w:val="17"/>
          <w:szCs w:val="17"/>
          <w:b w:val="1"/>
          <w:bCs w:val="1"/>
          <w:color w:val="auto"/>
        </w:rPr>
        <w:t>Indemnifiable Person</w:t>
      </w:r>
      <w:r>
        <w:rPr>
          <w:rFonts w:ascii="Arial" w:cs="Arial" w:eastAsia="Arial" w:hAnsi="Arial"/>
          <w:sz w:val="17"/>
          <w:szCs w:val="17"/>
          <w:color w:val="auto"/>
        </w:rPr>
        <w:t>”), shall be liable for any action taken or omitted to be taken or any determination made with respect to the Plan or any Award hereunder (unless constituting fraud or a willful criminal act or willful criminal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w:t>
      </w:r>
    </w:p>
    <w:p>
      <w:pPr>
        <w:spacing w:after="0" w:line="7" w:lineRule="exact"/>
        <w:rPr>
          <w:rFonts w:ascii="Arial" w:cs="Arial" w:eastAsia="Arial" w:hAnsi="Arial"/>
          <w:sz w:val="17"/>
          <w:szCs w:val="17"/>
          <w:color w:val="auto"/>
        </w:rPr>
      </w:pPr>
    </w:p>
    <w:p>
      <w:pPr>
        <w:jc w:val="both"/>
        <w:spacing w:after="0" w:line="285" w:lineRule="auto"/>
        <w:rPr>
          <w:rFonts w:ascii="Arial" w:cs="Arial" w:eastAsia="Arial" w:hAnsi="Arial"/>
          <w:sz w:val="17"/>
          <w:szCs w:val="17"/>
          <w:color w:val="auto"/>
        </w:rPr>
      </w:pPr>
      <w:r>
        <w:rPr>
          <w:rFonts w:ascii="Arial" w:cs="Arial" w:eastAsia="Arial" w:hAnsi="Arial"/>
          <w:sz w:val="16"/>
          <w:szCs w:val="16"/>
          <w:color w:val="auto"/>
        </w:rPr>
        <w:t>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willful criminal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171" w:lineRule="exact"/>
        <w:rPr>
          <w:rFonts w:ascii="Arial" w:cs="Arial" w:eastAsia="Arial" w:hAnsi="Arial"/>
          <w:sz w:val="17"/>
          <w:szCs w:val="17"/>
          <w:color w:val="auto"/>
        </w:rPr>
      </w:pPr>
    </w:p>
    <w:p>
      <w:pPr>
        <w:ind w:right="20" w:firstLine="1304"/>
        <w:spacing w:after="0" w:line="277" w:lineRule="auto"/>
        <w:tabs>
          <w:tab w:leader="none" w:pos="154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Grant of Awards; Shares Subject to the Plan; Limitations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ind w:left="1540" w:hanging="236"/>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 The Committee may grant Awards to one or more Eligible Persons.</w:t>
      </w:r>
    </w:p>
    <w:p>
      <w:pPr>
        <w:spacing w:after="0" w:line="225" w:lineRule="exact"/>
        <w:rPr>
          <w:rFonts w:ascii="Arial" w:cs="Arial" w:eastAsia="Arial" w:hAnsi="Arial"/>
          <w:sz w:val="18"/>
          <w:szCs w:val="18"/>
          <w:color w:val="auto"/>
        </w:rPr>
      </w:pPr>
    </w:p>
    <w:p>
      <w:pPr>
        <w:ind w:firstLine="1304"/>
        <w:spacing w:after="0" w:line="308" w:lineRule="auto"/>
        <w:tabs>
          <w:tab w:leader="none" w:pos="1551"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Share Limits</w:t>
      </w:r>
      <w:r>
        <w:rPr>
          <w:rFonts w:ascii="Arial" w:cs="Arial" w:eastAsia="Arial" w:hAnsi="Arial"/>
          <w:sz w:val="17"/>
          <w:szCs w:val="17"/>
          <w:color w:val="auto"/>
        </w:rPr>
        <w:t xml:space="preserve">. Subject to adjustment as provided in the Plan, no more than </w:t>
      </w:r>
      <w:r>
        <w:rPr>
          <w:rFonts w:ascii="Arial" w:cs="Arial" w:eastAsia="Arial" w:hAnsi="Arial"/>
          <w:sz w:val="17"/>
          <w:szCs w:val="17"/>
          <w:u w:val="single" w:color="auto"/>
          <w:color w:val="auto"/>
        </w:rPr>
        <w:t>1,750,000</w:t>
      </w:r>
      <w:r>
        <w:rPr>
          <w:rFonts w:ascii="Arial" w:cs="Arial" w:eastAsia="Arial" w:hAnsi="Arial"/>
          <w:sz w:val="17"/>
          <w:szCs w:val="17"/>
          <w:color w:val="auto"/>
        </w:rPr>
        <w:t xml:space="preserve"> shares of Common Stock may be reserved for issuance and delivered in the aggregate pursuant to Awards granted under the Plan (the “</w:t>
      </w:r>
      <w:r>
        <w:rPr>
          <w:rFonts w:ascii="Arial" w:cs="Arial" w:eastAsia="Arial" w:hAnsi="Arial"/>
          <w:sz w:val="17"/>
          <w:szCs w:val="17"/>
          <w:b w:val="1"/>
          <w:bCs w:val="1"/>
          <w:color w:val="auto"/>
        </w:rPr>
        <w:t>Share Pool</w:t>
      </w:r>
      <w:r>
        <w:rPr>
          <w:rFonts w:ascii="Arial" w:cs="Arial" w:eastAsia="Arial" w:hAnsi="Arial"/>
          <w:sz w:val="17"/>
          <w:szCs w:val="17"/>
          <w:color w:val="auto"/>
        </w:rPr>
        <w:t>”) .</w:t>
      </w:r>
    </w:p>
    <w:p>
      <w:pPr>
        <w:spacing w:after="0" w:line="146" w:lineRule="exact"/>
        <w:rPr>
          <w:rFonts w:ascii="Arial" w:cs="Arial" w:eastAsia="Arial" w:hAnsi="Arial"/>
          <w:sz w:val="17"/>
          <w:szCs w:val="17"/>
          <w:color w:val="auto"/>
        </w:rPr>
      </w:pPr>
    </w:p>
    <w:p>
      <w:pPr>
        <w:jc w:val="both"/>
        <w:ind w:firstLine="1304"/>
        <w:spacing w:after="0" w:line="269" w:lineRule="auto"/>
        <w:tabs>
          <w:tab w:leader="none" w:pos="1568"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Share Counting</w:t>
      </w:r>
      <w:r>
        <w:rPr>
          <w:rFonts w:ascii="Arial" w:cs="Arial" w:eastAsia="Arial" w:hAnsi="Arial"/>
          <w:sz w:val="17"/>
          <w:szCs w:val="17"/>
          <w:color w:val="auto"/>
        </w:rPr>
        <w:t>. The Share Pool shall be reduced, on the date of grant,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Pool. If and to the extent that Awards originating from the Share Pool terminate, expire, or are canceled, forfeited, exchanged, or surrendered without having been exercised, vested, or settled, the shares of Common Stock subject to such Awards shall again be available for Awards under the Share Pool. Notwithstanding the foregoing, the following shares of Common Stock shall not become available for issuance under the Plan: (i) shares of Common Stock tendered by Participants, or withheld by the Company, as full or partial payment to the Company upon the exercise of Stock Options granted under the Plan; (ii) shares of Common Stock reserved for issuance upon the grant of Stock Appreciation Rights, to the extent that the number of reserved shares of Common Stock exceeds the number of shares of Common Stock actually issued upon the exercise of the Stock Appreciation Rights; and (iii) shares of Common Stock withheld by, or otherwise remitted to, the Company to satisfy a Participant’s tax withholding obligations upon the lapse of restrictions on, settlement of, or exercise of Awards granted under the Plan.</w:t>
      </w:r>
    </w:p>
    <w:p>
      <w:pPr>
        <w:spacing w:after="0" w:line="178" w:lineRule="exact"/>
        <w:rPr>
          <w:rFonts w:ascii="Arial" w:cs="Arial" w:eastAsia="Arial" w:hAnsi="Arial"/>
          <w:sz w:val="17"/>
          <w:szCs w:val="17"/>
          <w:color w:val="auto"/>
        </w:rPr>
      </w:pPr>
    </w:p>
    <w:p>
      <w:pPr>
        <w:jc w:val="both"/>
        <w:ind w:right="20" w:firstLine="1304"/>
        <w:spacing w:after="0" w:line="263" w:lineRule="auto"/>
        <w:tabs>
          <w:tab w:leader="none" w:pos="1551"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Source of Shares</w:t>
      </w:r>
      <w:r>
        <w:rPr>
          <w:rFonts w:ascii="Arial" w:cs="Arial" w:eastAsia="Arial" w:hAnsi="Arial"/>
          <w:sz w:val="18"/>
          <w:szCs w:val="18"/>
          <w:color w:val="auto"/>
        </w:rPr>
        <w:t>. 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41"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18"/>
          <w:szCs w:val="18"/>
          <w:b w:val="1"/>
          <w:bCs w:val="1"/>
          <w:color w:val="auto"/>
        </w:rPr>
        <w:t>Substitute Awards</w:t>
      </w:r>
      <w:r>
        <w:rPr>
          <w:rFonts w:ascii="Arial" w:cs="Arial" w:eastAsia="Arial" w:hAnsi="Arial"/>
          <w:sz w:val="18"/>
          <w:szCs w:val="18"/>
          <w:color w:val="auto"/>
        </w:rPr>
        <w:t>”), and such Substitute Awards shall not be counted against the aggregate number of shares of Common Stock available for Awards.</w:t>
      </w:r>
    </w:p>
    <w:p>
      <w:pPr>
        <w:spacing w:after="0" w:line="186" w:lineRule="exact"/>
        <w:rPr>
          <w:rFonts w:ascii="Arial" w:cs="Arial" w:eastAsia="Arial" w:hAnsi="Arial"/>
          <w:sz w:val="18"/>
          <w:szCs w:val="18"/>
          <w:color w:val="auto"/>
        </w:rPr>
      </w:pPr>
    </w:p>
    <w:p>
      <w:pPr>
        <w:ind w:firstLine="656"/>
        <w:spacing w:after="0" w:line="342" w:lineRule="auto"/>
        <w:tabs>
          <w:tab w:leader="none" w:pos="82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Participation shall be limited to Eligible Persons who have been selected by the Committee and who have entered into an Award Agreement with respect to an Award granted to them under the Plan (each such Eligible Person, a “</w:t>
      </w: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840" w:hanging="184"/>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68"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Option shall be subject to the conditions set forth in the Plan and in the applicable Award Agreement. All Options granted under the Plan shall be Nonqualified Stock Options unless the Award Agreement expressly states otherwise.</w:t>
      </w:r>
    </w:p>
    <w:p>
      <w:pPr>
        <w:spacing w:after="0" w:line="179" w:lineRule="exact"/>
        <w:rPr>
          <w:rFonts w:ascii="Arial" w:cs="Arial" w:eastAsia="Arial" w:hAnsi="Arial"/>
          <w:sz w:val="18"/>
          <w:szCs w:val="18"/>
          <w:color w:val="auto"/>
        </w:rPr>
      </w:pPr>
    </w:p>
    <w:p>
      <w:pPr>
        <w:jc w:val="both"/>
        <w:ind w:firstLine="1304"/>
        <w:spacing w:after="0" w:line="289" w:lineRule="auto"/>
        <w:tabs>
          <w:tab w:leader="none" w:pos="1564"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w:t>
      </w:r>
      <w:r>
        <w:rPr>
          <w:rFonts w:ascii="Arial" w:cs="Arial" w:eastAsia="Arial" w:hAnsi="Arial"/>
          <w:sz w:val="17"/>
          <w:szCs w:val="17"/>
          <w:b w:val="1"/>
          <w:bCs w:val="1"/>
          <w:color w:val="auto"/>
        </w:rPr>
        <w:t>Exercise Price</w:t>
      </w:r>
      <w:r>
        <w:rPr>
          <w:rFonts w:ascii="Arial" w:cs="Arial" w:eastAsia="Arial" w:hAnsi="Arial"/>
          <w:sz w:val="17"/>
          <w:szCs w:val="17"/>
          <w:color w:val="auto"/>
        </w:rPr>
        <w:t>”) per share of Common Stock for each Option (that is not a Substitute Award) shall not be less than 100% of the Fair Market Value of such share, determined as of the date of grant. Any modification to the Exercise Price of an outstanding Option shall be subject to the prohibition on repricing set forth in Section 13(b).</w:t>
      </w:r>
    </w:p>
    <w:p>
      <w:pPr>
        <w:spacing w:after="0" w:line="161" w:lineRule="exact"/>
        <w:rPr>
          <w:rFonts w:ascii="Arial" w:cs="Arial" w:eastAsia="Arial" w:hAnsi="Arial"/>
          <w:sz w:val="17"/>
          <w:szCs w:val="17"/>
          <w:color w:val="auto"/>
        </w:rPr>
      </w:pPr>
    </w:p>
    <w:p>
      <w:pPr>
        <w:jc w:val="both"/>
        <w:ind w:firstLine="1304"/>
        <w:spacing w:after="0" w:line="254" w:lineRule="auto"/>
        <w:tabs>
          <w:tab w:leader="none" w:pos="155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Vesting, Exercise and Expiration</w:t>
      </w:r>
      <w:r>
        <w:rPr>
          <w:rFonts w:ascii="Arial" w:cs="Arial" w:eastAsia="Arial" w:hAnsi="Arial"/>
          <w:sz w:val="18"/>
          <w:szCs w:val="18"/>
          <w:color w:val="auto"/>
        </w:rPr>
        <w:t>. The Committee shall determine the manner and timing of vesting, exercise and expiration of Options. The period between the date of grant and the scheduled expiration date of the Option (“</w:t>
      </w:r>
      <w:r>
        <w:rPr>
          <w:rFonts w:ascii="Arial" w:cs="Arial" w:eastAsia="Arial" w:hAnsi="Arial"/>
          <w:sz w:val="18"/>
          <w:szCs w:val="18"/>
          <w:b w:val="1"/>
          <w:bCs w:val="1"/>
          <w:color w:val="auto"/>
        </w:rPr>
        <w:t>Option Period</w:t>
      </w:r>
      <w:r>
        <w:rPr>
          <w:rFonts w:ascii="Arial" w:cs="Arial" w:eastAsia="Arial" w:hAnsi="Arial"/>
          <w:sz w:val="18"/>
          <w:szCs w:val="18"/>
          <w:color w:val="auto"/>
        </w:rPr>
        <w:t>”) shall not exceed ten years, unless the Option Period would expire at a time when trading in the shares of Common Stock is prohibited by the Company’s insider-trading policy or a Company-imposed “blackout period,” in which case the Option Period shall be extended automatically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194" w:lineRule="exact"/>
        <w:rPr>
          <w:rFonts w:ascii="Arial" w:cs="Arial" w:eastAsia="Arial" w:hAnsi="Arial"/>
          <w:sz w:val="18"/>
          <w:szCs w:val="18"/>
          <w:color w:val="auto"/>
        </w:rPr>
      </w:pPr>
    </w:p>
    <w:p>
      <w:pPr>
        <w:jc w:val="both"/>
        <w:ind w:firstLine="1304"/>
        <w:spacing w:after="0" w:line="290" w:lineRule="auto"/>
        <w:tabs>
          <w:tab w:leader="none" w:pos="1551"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No shares of Common Stock shall be delivered pursuant to any exercise of an Option until the Participant has paid the Exercise Price to the Company in full,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third-party administrator) in accordance with the terms of the Option and the Award Agreement accompanied by payment of the Exercise Price and such applicable taxes. The Exercise Price and delivery of all applicable required withholding taxes shall be payable (i) in cash, by check or cash equivalent, or (ii) by such other method as elected by the Participant and that the Committee may permit, in its sole discretion, including without limitation: (A) shares of Common Stock valued at the Fair Market Value at the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Option is exercised (including, pursuant to procedures approved by the Committee, by means of attestation of ownership of a sufficient number of shares of Common Stock in lieu of actual delivery of such shares to the Company) or any combination of the foregoing; provided, that such shares of Common Stock are not subject to any pledge or other security interest; (B) in the form of other property having a Fair Market Value on the date of exercise equal to the Exercise Price and all applicable required withholding taxes; (C) if there is a public market for the shares of Common Stock at such time, by means of a broker-assisted “cashless exercise” pursuant to which the Company or its designee (including third-party administrators) is delivered a copy of irrevocable instructions to a stockbroker to sell the shares of Common Stock otherwise deliverable upon the exercise of the Option and to deliver promptly to the Company an amount equal to the Exercise Price and all applicable required withholding taxes against delivery of the shares of Common Stock to settle the applicable trade; or (D) by means of a “net exercise” procedure effected by withholding the minimum number of shares of Common Stock otherwise deliverable in respect of an Option that are needed to pay for the Exercise Price and up to the maximum required withholding taxes. In all events of cashless or net exercise, any fractional shares of Common Stock shall be settled in cash.</w:t>
      </w:r>
    </w:p>
    <w:p>
      <w:pPr>
        <w:spacing w:after="0" w:line="172" w:lineRule="exact"/>
        <w:rPr>
          <w:sz w:val="20"/>
          <w:szCs w:val="20"/>
          <w:color w:val="auto"/>
        </w:rPr>
      </w:pPr>
    </w:p>
    <w:p>
      <w:pPr>
        <w:jc w:val="both"/>
        <w:ind w:firstLine="1304"/>
        <w:spacing w:after="0" w:line="279" w:lineRule="auto"/>
        <w:tabs>
          <w:tab w:leader="none" w:pos="1541"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Notwithstanding the foregoing, in no event shall the Participant be permitted to exercise an Option in a manner that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171" w:lineRule="exact"/>
        <w:rPr>
          <w:rFonts w:ascii="Arial" w:cs="Arial" w:eastAsia="Arial" w:hAnsi="Arial"/>
          <w:sz w:val="17"/>
          <w:szCs w:val="17"/>
          <w:color w:val="auto"/>
        </w:rPr>
      </w:pPr>
    </w:p>
    <w:p>
      <w:pPr>
        <w:ind w:left="840" w:hanging="184"/>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 (SARs)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308" w:lineRule="auto"/>
        <w:tabs>
          <w:tab w:leader="none" w:pos="1541"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SAR shall be subject to the conditions set forth in the Plan and the Award Agreement. Any Option granted under the Plan may include a tandem SAR. The Committee also may award SARs independent of any Option.</w:t>
      </w:r>
    </w:p>
    <w:p>
      <w:pPr>
        <w:spacing w:after="0" w:line="142" w:lineRule="exact"/>
        <w:rPr>
          <w:rFonts w:ascii="Arial" w:cs="Arial" w:eastAsia="Arial" w:hAnsi="Arial"/>
          <w:sz w:val="17"/>
          <w:szCs w:val="17"/>
          <w:color w:val="auto"/>
        </w:rPr>
      </w:pPr>
    </w:p>
    <w:p>
      <w:pPr>
        <w:jc w:val="both"/>
        <w:ind w:firstLine="1304"/>
        <w:spacing w:after="0" w:line="303" w:lineRule="auto"/>
        <w:tabs>
          <w:tab w:leader="none" w:pos="1564"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Strike Price</w:t>
      </w:r>
      <w:r>
        <w:rPr>
          <w:rFonts w:ascii="Arial" w:cs="Arial" w:eastAsia="Arial" w:hAnsi="Arial"/>
          <w:sz w:val="16"/>
          <w:szCs w:val="16"/>
          <w:color w:val="auto"/>
        </w:rPr>
        <w:t>. The strike price (“</w:t>
      </w:r>
      <w:r>
        <w:rPr>
          <w:rFonts w:ascii="Arial" w:cs="Arial" w:eastAsia="Arial" w:hAnsi="Arial"/>
          <w:sz w:val="16"/>
          <w:szCs w:val="16"/>
          <w:b w:val="1"/>
          <w:bCs w:val="1"/>
          <w:color w:val="auto"/>
        </w:rPr>
        <w:t>Strike Price</w:t>
      </w:r>
      <w:r>
        <w:rPr>
          <w:rFonts w:ascii="Arial" w:cs="Arial" w:eastAsia="Arial" w:hAnsi="Arial"/>
          <w:sz w:val="16"/>
          <w:szCs w:val="16"/>
          <w:color w:val="auto"/>
        </w:rPr>
        <w:t>”) per share of Common Stock for each SAR shall not be less than 100% of the Fair Market Value of such share, determined as of the date of grant; provided, however,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13(b).</w:t>
      </w:r>
    </w:p>
    <w:p>
      <w:pPr>
        <w:spacing w:after="0" w:line="154" w:lineRule="exact"/>
        <w:rPr>
          <w:rFonts w:ascii="Arial" w:cs="Arial" w:eastAsia="Arial" w:hAnsi="Arial"/>
          <w:sz w:val="16"/>
          <w:szCs w:val="16"/>
          <w:color w:val="auto"/>
        </w:rPr>
      </w:pPr>
    </w:p>
    <w:p>
      <w:pPr>
        <w:jc w:val="both"/>
        <w:ind w:firstLine="1304"/>
        <w:spacing w:after="0" w:line="289" w:lineRule="auto"/>
        <w:tabs>
          <w:tab w:leader="none" w:pos="1554"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Vesting and Expiration</w:t>
      </w:r>
      <w:r>
        <w:rPr>
          <w:rFonts w:ascii="Arial" w:cs="Arial" w:eastAsia="Arial" w:hAnsi="Arial"/>
          <w:sz w:val="16"/>
          <w:szCs w:val="16"/>
          <w:color w:val="auto"/>
        </w:rPr>
        <w:t>. A SAR granted in tandem with an Option shall vest and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6"/>
          <w:szCs w:val="16"/>
          <w:b w:val="1"/>
          <w:bCs w:val="1"/>
          <w:color w:val="auto"/>
        </w:rPr>
        <w:t>SAR Period</w:t>
      </w:r>
      <w:r>
        <w:rPr>
          <w:rFonts w:ascii="Arial" w:cs="Arial" w:eastAsia="Arial" w:hAnsi="Arial"/>
          <w:sz w:val="16"/>
          <w:szCs w:val="16"/>
          <w:color w:val="auto"/>
        </w:rPr>
        <w:t>”); provided, however,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insider trading policy or a Company-imposed “blackout period,” the SAR Period shall be automatically extended until the 30th day following the expiration of such prohibition (so long as such extension shall not violate Section 409A of the Code).</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551"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SARs may be exercised by delivery of written or electronic notice of exercise to the Company or its designee (including a third-party administrator) in accordance with the terms of the Award, specifying the number of SARs to be exercised and the date on which such SARs were awarded.</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541"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as determined on the date of exercise, or any combination thereof, as determined by the Committee. Any fractional shares of Common Stock shall be settled in cash.</w:t>
      </w:r>
    </w:p>
    <w:p>
      <w:pPr>
        <w:spacing w:after="0" w:line="164" w:lineRule="exact"/>
        <w:rPr>
          <w:rFonts w:ascii="Arial" w:cs="Arial" w:eastAsia="Arial" w:hAnsi="Arial"/>
          <w:sz w:val="16"/>
          <w:szCs w:val="16"/>
          <w:color w:val="auto"/>
        </w:rPr>
      </w:pPr>
    </w:p>
    <w:p>
      <w:pPr>
        <w:ind w:left="840" w:hanging="184"/>
        <w:spacing w:after="0"/>
        <w:tabs>
          <w:tab w:leader="none" w:pos="8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41"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Each Restricted Stock and Restricted Stock Unit Award shall be subject to the conditions set forth in the Plan and the applicable Award Agreement. The Committee shall establish restrictions applicable to Restricted Stock and Restricted Stock Units, including the period over which the restrictions shall apply (the “</w:t>
      </w:r>
      <w:r>
        <w:rPr>
          <w:rFonts w:ascii="Arial" w:cs="Arial" w:eastAsia="Arial" w:hAnsi="Arial"/>
          <w:sz w:val="16"/>
          <w:szCs w:val="16"/>
          <w:b w:val="1"/>
          <w:bCs w:val="1"/>
          <w:color w:val="auto"/>
        </w:rPr>
        <w:t>Restricted Period</w:t>
      </w:r>
      <w:r>
        <w:rPr>
          <w:rFonts w:ascii="Arial" w:cs="Arial" w:eastAsia="Arial" w:hAnsi="Arial"/>
          <w:sz w:val="16"/>
          <w:szCs w:val="16"/>
          <w:color w:val="auto"/>
        </w:rPr>
        <w:t>”), and the time or times at which Restricted Stock or Restricted Stock Units shall become vested (which, for the avoidance of doubt, may include service- and/or performance-based vesting conditions). Subject to such rules, approvals, and conditions as the Committee may impose from time to time, an Eligible Person who is a non-employee director may elect to receive all or a portion of such Eligible Person’s cash director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456565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6" w:name="page147"/>
    <w:bookmarkEnd w:id="146"/>
    <w:p>
      <w:pPr>
        <w:ind w:left="8700"/>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other cash director compensation payable for director services provided to the Company by such Eligible Person in any fiscal year, in whole or in part, in the form of Restricted Stock Units. The Committee may accelerate the vesting and/or the lapse of any or all of the restrictions on Restricted Stock and Restricted Stock Units which acceleration shall not affect any other terms and conditions of such Awards. No share of Common Stock shall be issued at the time an Award of Restricted Stock Units is made, and the Company will not be required to set aside a fund for the payment of any such Award.</w:t>
      </w:r>
    </w:p>
    <w:p>
      <w:pPr>
        <w:spacing w:after="0" w:line="188" w:lineRule="exact"/>
        <w:rPr>
          <w:sz w:val="20"/>
          <w:szCs w:val="20"/>
          <w:color w:val="auto"/>
        </w:rPr>
      </w:pPr>
    </w:p>
    <w:p>
      <w:pPr>
        <w:jc w:val="both"/>
        <w:ind w:firstLine="1304"/>
        <w:spacing w:after="0" w:line="284" w:lineRule="auto"/>
        <w:tabs>
          <w:tab w:leader="none" w:pos="1551"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Stock Certificates; Escrow or Similar Arrangement</w:t>
      </w:r>
      <w:r>
        <w:rPr>
          <w:rFonts w:ascii="Arial" w:cs="Arial" w:eastAsia="Arial" w:hAnsi="Arial"/>
          <w:sz w:val="16"/>
          <w:szCs w:val="16"/>
          <w:color w:val="auto"/>
        </w:rPr>
        <w:t>. Upon the grant of Restricted Stock, the Committee shall cause share(s) of Common Stock to be registered in the name of the Participant and held in book-entry form subject to the Company’s directions. The Committee may also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or its designee (including third-party administrators)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w:t>
      </w:r>
    </w:p>
    <w:p>
      <w:pPr>
        <w:ind w:right="120"/>
        <w:spacing w:after="0" w:line="323" w:lineRule="auto"/>
        <w:rPr>
          <w:rFonts w:ascii="Arial" w:cs="Arial" w:eastAsia="Arial" w:hAnsi="Arial"/>
          <w:sz w:val="16"/>
          <w:szCs w:val="16"/>
          <w:color w:val="auto"/>
        </w:rPr>
      </w:pPr>
      <w:r>
        <w:rPr>
          <w:rFonts w:ascii="Arial" w:cs="Arial" w:eastAsia="Arial" w:hAnsi="Arial"/>
          <w:sz w:val="16"/>
          <w:szCs w:val="16"/>
          <w:color w:val="auto"/>
        </w:rPr>
        <w:t>be null and void. Subject to the restrictions set forth in this Section 9 and the Award Agreement, the Participant shall have the rights and privileges of a stockholder as to such Restricted Stock, including without limitation the right to vote such Restricted Stock.</w:t>
      </w:r>
    </w:p>
    <w:p>
      <w:pPr>
        <w:spacing w:after="0" w:line="138" w:lineRule="exact"/>
        <w:rPr>
          <w:rFonts w:ascii="Arial" w:cs="Arial" w:eastAsia="Arial" w:hAnsi="Arial"/>
          <w:sz w:val="16"/>
          <w:szCs w:val="16"/>
          <w:color w:val="auto"/>
        </w:rPr>
      </w:pPr>
    </w:p>
    <w:p>
      <w:pPr>
        <w:jc w:val="both"/>
        <w:ind w:firstLine="1304"/>
        <w:spacing w:after="0" w:line="270" w:lineRule="auto"/>
        <w:tabs>
          <w:tab w:leader="none" w:pos="1541"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Restrictions; Forfeiture</w:t>
      </w:r>
      <w:r>
        <w:rPr>
          <w:rFonts w:ascii="Arial" w:cs="Arial" w:eastAsia="Arial" w:hAnsi="Arial"/>
          <w:sz w:val="17"/>
          <w:szCs w:val="17"/>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stockholder with respect thereto), and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grant of the Restricted Stock Award or Restricted Stock Unit Award, such action is appropriate.</w:t>
      </w:r>
    </w:p>
    <w:p>
      <w:pPr>
        <w:spacing w:after="0" w:line="180" w:lineRule="exact"/>
        <w:rPr>
          <w:rFonts w:ascii="Arial" w:cs="Arial" w:eastAsia="Arial" w:hAnsi="Arial"/>
          <w:sz w:val="17"/>
          <w:szCs w:val="17"/>
          <w:color w:val="auto"/>
        </w:rPr>
      </w:pPr>
    </w:p>
    <w:p>
      <w:pPr>
        <w:ind w:left="1560" w:hanging="256"/>
        <w:spacing w:after="0"/>
        <w:tabs>
          <w:tab w:leader="none" w:pos="156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Delivery of Restricted Stock and Settlement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3" w:lineRule="auto"/>
        <w:tabs>
          <w:tab w:leader="none" w:pos="2210" w:val="left"/>
        </w:tabs>
        <w:numPr>
          <w:ilvl w:val="2"/>
          <w:numId w:val="62"/>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such Participant’s beneficiary (via book-entry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(or a combination of cash and shares of Common Stock) equal to the amount of such dividends, upon the release of restrictions on the Restricted Stock.</w:t>
      </w:r>
    </w:p>
    <w:p>
      <w:pPr>
        <w:spacing w:after="0" w:line="196" w:lineRule="exact"/>
        <w:rPr>
          <w:rFonts w:ascii="Arial" w:cs="Arial" w:eastAsia="Arial" w:hAnsi="Arial"/>
          <w:sz w:val="18"/>
          <w:szCs w:val="18"/>
          <w:color w:val="auto"/>
        </w:rPr>
      </w:pPr>
    </w:p>
    <w:p>
      <w:pPr>
        <w:jc w:val="both"/>
        <w:ind w:left="660" w:firstLine="1292"/>
        <w:spacing w:after="0" w:line="284" w:lineRule="auto"/>
        <w:tabs>
          <w:tab w:leader="none" w:pos="2269" w:val="left"/>
        </w:tabs>
        <w:numPr>
          <w:ilvl w:val="2"/>
          <w:numId w:val="62"/>
        </w:numPr>
        <w:rPr>
          <w:rFonts w:ascii="Arial" w:cs="Arial" w:eastAsia="Arial" w:hAnsi="Arial"/>
          <w:sz w:val="16"/>
          <w:szCs w:val="16"/>
          <w:color w:val="auto"/>
        </w:rPr>
      </w:pPr>
      <w:r>
        <w:rPr>
          <w:rFonts w:ascii="Arial" w:cs="Arial" w:eastAsia="Arial" w:hAnsi="Arial"/>
          <w:sz w:val="16"/>
          <w:szCs w:val="16"/>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such Participant’s beneficiary (via book-entry notation or, if applicable, in stock certificate form), one share of Common Stock (or other securities or other property, as applicable) for each such outstanding Restricted Stock Unit that has not then been forfeited and with respect to which the Restricted Period has expired and any other such vesting criteria are attained (“</w:t>
      </w:r>
      <w:r>
        <w:rPr>
          <w:rFonts w:ascii="Arial" w:cs="Arial" w:eastAsia="Arial" w:hAnsi="Arial"/>
          <w:sz w:val="16"/>
          <w:szCs w:val="16"/>
          <w:b w:val="1"/>
          <w:bCs w:val="1"/>
          <w:color w:val="auto"/>
        </w:rPr>
        <w:t>Released Unit</w:t>
      </w:r>
      <w:r>
        <w:rPr>
          <w:rFonts w:ascii="Arial" w:cs="Arial" w:eastAsia="Arial" w:hAnsi="Arial"/>
          <w:sz w:val="16"/>
          <w:szCs w:val="16"/>
          <w:color w:val="auto"/>
        </w:rPr>
        <w:t>”); provided, however, that the Committee may elect to</w:t>
      </w:r>
    </w:p>
    <w:p>
      <w:pPr>
        <w:spacing w:after="0" w:line="4" w:lineRule="exact"/>
        <w:rPr>
          <w:rFonts w:ascii="Arial" w:cs="Arial" w:eastAsia="Arial" w:hAnsi="Arial"/>
          <w:sz w:val="16"/>
          <w:szCs w:val="16"/>
          <w:color w:val="auto"/>
        </w:rPr>
      </w:pPr>
    </w:p>
    <w:p>
      <w:pPr>
        <w:jc w:val="both"/>
        <w:ind w:left="660" w:hanging="4"/>
        <w:spacing w:after="0" w:line="252" w:lineRule="auto"/>
        <w:tabs>
          <w:tab w:leader="none" w:pos="9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 cash or part cash and part Common Stock in lieu of delivering only shares of Common Stock in respect of such Released Units or (B) establish a program for deferred delivery of Common Stock (or cash or part Common Stock and part cash, as the case may be) beyond the expiration of the Restricted Period in compliance with Section 409A of the Code. If a cash payment is made in lieu of delivering shares of Common Stock, the amount of such payment shall be equal to the Fair Market Value of the Common Stock as of the date on which the shares of Common Stock would have otherwise been delivered to the Participant in respect of such Restricted Stock Units.</w:t>
      </w:r>
    </w:p>
    <w:p>
      <w:pPr>
        <w:spacing w:after="0" w:line="193" w:lineRule="exact"/>
        <w:rPr>
          <w:rFonts w:ascii="Arial" w:cs="Arial" w:eastAsia="Arial" w:hAnsi="Arial"/>
          <w:sz w:val="18"/>
          <w:szCs w:val="18"/>
          <w:color w:val="auto"/>
        </w:rPr>
      </w:pPr>
    </w:p>
    <w:p>
      <w:pPr>
        <w:jc w:val="both"/>
        <w:ind w:left="660" w:firstLine="1292"/>
        <w:spacing w:after="0" w:line="301" w:lineRule="auto"/>
        <w:tabs>
          <w:tab w:leader="none" w:pos="2277" w:val="left"/>
        </w:tabs>
        <w:numPr>
          <w:ilvl w:val="2"/>
          <w:numId w:val="63"/>
        </w:numPr>
        <w:rPr>
          <w:rFonts w:ascii="Arial" w:cs="Arial" w:eastAsia="Arial" w:hAnsi="Arial"/>
          <w:sz w:val="16"/>
          <w:szCs w:val="16"/>
          <w:color w:val="auto"/>
        </w:rPr>
      </w:pPr>
      <w:r>
        <w:rPr>
          <w:rFonts w:ascii="Arial" w:cs="Arial" w:eastAsia="Arial" w:hAnsi="Arial"/>
          <w:sz w:val="16"/>
          <w:szCs w:val="16"/>
          <w:color w:val="auto"/>
        </w:rPr>
        <w:t>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as of the date of payment (or a combination of cash and shares of Common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451485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(in the case of Restricted Stock Units, following the release of restrictions on such Restricted Stock Units), and if such Restricted Stock Units are forfeited, the holder thereof shall have no right to such dividend equivalent payments.</w:t>
      </w:r>
    </w:p>
    <w:p>
      <w:pPr>
        <w:spacing w:after="0" w:line="200" w:lineRule="exact"/>
        <w:rPr>
          <w:sz w:val="20"/>
          <w:szCs w:val="20"/>
          <w:color w:val="auto"/>
        </w:rPr>
      </w:pPr>
    </w:p>
    <w:p>
      <w:pPr>
        <w:spacing w:after="0" w:line="204" w:lineRule="exact"/>
        <w:rPr>
          <w:sz w:val="20"/>
          <w:szCs w:val="20"/>
          <w:color w:val="auto"/>
        </w:rPr>
      </w:pPr>
    </w:p>
    <w:p>
      <w:pPr>
        <w:jc w:val="both"/>
        <w:ind w:firstLine="1304"/>
        <w:spacing w:after="0" w:line="263" w:lineRule="auto"/>
        <w:tabs>
          <w:tab w:leader="none" w:pos="155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TRANSFER OF THIS CERTIFICATE AND THE SHARES REPRESENTED HEREBY IS RESTRICTED PURSUANT TO THE TERMS OF THE IOVANCE BIOTHERAPEUTICS, INC. 2018 EQUITY INCENTIVE PLAN AND A RESTRICTED STOCK AWARD AGREEMENT, DATED AS OF, BETWEEN IOVANCE BIOTHERAPEUTICS, INC. AND. A COPY OF SUCH PLAN AND AWARD AGREEMENT IS ON FILE AT THE PRINCIPAL EXECUTIVE OFFICES OF IOVANCE BIOTHERAPEUTICS, INC.</w:t>
      </w:r>
    </w:p>
    <w:p>
      <w:pPr>
        <w:spacing w:after="0" w:line="171" w:lineRule="exact"/>
        <w:rPr>
          <w:sz w:val="20"/>
          <w:szCs w:val="20"/>
          <w:color w:val="auto"/>
        </w:rPr>
      </w:pPr>
    </w:p>
    <w:p>
      <w:pPr>
        <w:jc w:val="both"/>
        <w:ind w:firstLine="656"/>
        <w:spacing w:after="0" w:line="293" w:lineRule="auto"/>
        <w:tabs>
          <w:tab w:leader="none" w:pos="94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Other Stock-Based Awards</w:t>
      </w:r>
      <w:r>
        <w:rPr>
          <w:rFonts w:ascii="Arial" w:cs="Arial" w:eastAsia="Arial" w:hAnsi="Arial"/>
          <w:sz w:val="16"/>
          <w:szCs w:val="16"/>
          <w:color w:val="auto"/>
        </w:rPr>
        <w:t>. The Committee may issue unrestricted Common Stock, rights to receive future grants of Awards, or other Awards denominated in Common Stock (including performance 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Arial" w:cs="Arial" w:eastAsia="Arial" w:hAnsi="Arial"/>
          <w:sz w:val="16"/>
          <w:szCs w:val="16"/>
          <w:b w:val="1"/>
          <w:bCs w:val="1"/>
          <w:color w:val="auto"/>
        </w:rPr>
        <w:t>Other Stock-Based</w:t>
      </w:r>
      <w:r>
        <w:rPr>
          <w:rFonts w:ascii="Arial" w:cs="Arial" w:eastAsia="Arial" w:hAnsi="Arial"/>
          <w:sz w:val="16"/>
          <w:szCs w:val="16"/>
          <w:color w:val="auto"/>
        </w:rPr>
        <w:t xml:space="preserve"> </w:t>
      </w:r>
      <w:r>
        <w:rPr>
          <w:rFonts w:ascii="Arial" w:cs="Arial" w:eastAsia="Arial" w:hAnsi="Arial"/>
          <w:sz w:val="16"/>
          <w:szCs w:val="16"/>
          <w:b w:val="1"/>
          <w:bCs w:val="1"/>
          <w:color w:val="auto"/>
        </w:rPr>
        <w:t>Awards</w:t>
      </w:r>
      <w:r>
        <w:rPr>
          <w:rFonts w:ascii="Arial" w:cs="Arial" w:eastAsia="Arial" w:hAnsi="Arial"/>
          <w:sz w:val="16"/>
          <w:szCs w:val="16"/>
          <w:color w:val="auto"/>
        </w:rPr>
        <w:t>”). Each Other Stock-Based Award shall be evidenced by an Award Agreement, which may include conditions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the payment by the Participant of the Fair Market Value of such shares of Common Stock on the date of grant.</w:t>
      </w:r>
    </w:p>
    <w:p>
      <w:pPr>
        <w:spacing w:after="0" w:line="164" w:lineRule="exact"/>
        <w:rPr>
          <w:rFonts w:ascii="Arial" w:cs="Arial" w:eastAsia="Arial" w:hAnsi="Arial"/>
          <w:sz w:val="16"/>
          <w:szCs w:val="16"/>
          <w:color w:val="auto"/>
        </w:rPr>
      </w:pPr>
    </w:p>
    <w:p>
      <w:pPr>
        <w:jc w:val="both"/>
        <w:ind w:firstLine="656"/>
        <w:spacing w:after="0" w:line="269" w:lineRule="auto"/>
        <w:tabs>
          <w:tab w:leader="none" w:pos="92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Changes in Capital Structure and Similar Events</w:t>
      </w:r>
      <w:r>
        <w:rPr>
          <w:rFonts w:ascii="Arial" w:cs="Arial" w:eastAsia="Arial" w:hAnsi="Arial"/>
          <w:sz w:val="17"/>
          <w:szCs w:val="17"/>
          <w:color w:val="auto"/>
        </w:rPr>
        <w:t>. In the event of (a) any dividend (other than regular cash dividends) or other distribution (whether in the form of cash, shares of Common Stock, other securities or other property), recapitalization, stock split, reverse stock split, reorganization, merger, amalgamation,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w:t>
      </w:r>
    </w:p>
    <w:p>
      <w:pPr>
        <w:spacing w:after="0" w:line="181" w:lineRule="exact"/>
        <w:rPr>
          <w:rFonts w:ascii="Arial" w:cs="Arial" w:eastAsia="Arial" w:hAnsi="Arial"/>
          <w:sz w:val="17"/>
          <w:szCs w:val="17"/>
          <w:color w:val="auto"/>
        </w:rPr>
      </w:pPr>
    </w:p>
    <w:p>
      <w:pPr>
        <w:jc w:val="both"/>
        <w:ind w:left="660" w:firstLine="1292"/>
        <w:spacing w:after="0" w:line="254" w:lineRule="auto"/>
        <w:tabs>
          <w:tab w:leader="none" w:pos="2179" w:val="left"/>
        </w:tabs>
        <w:numPr>
          <w:ilvl w:val="1"/>
          <w:numId w:val="65"/>
        </w:numPr>
        <w:rPr>
          <w:rFonts w:ascii="Arial" w:cs="Arial" w:eastAsia="Arial" w:hAnsi="Arial"/>
          <w:sz w:val="18"/>
          <w:szCs w:val="18"/>
          <w:color w:val="auto"/>
        </w:rPr>
      </w:pPr>
      <w:r>
        <w:rPr>
          <w:rFonts w:ascii="Arial" w:cs="Arial" w:eastAsia="Arial" w:hAnsi="Arial"/>
          <w:sz w:val="18"/>
          <w:szCs w:val="18"/>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and/or (3) any applicable performance measures;</w:t>
      </w:r>
    </w:p>
    <w:p>
      <w:pPr>
        <w:spacing w:after="0" w:line="194" w:lineRule="exact"/>
        <w:rPr>
          <w:rFonts w:ascii="Arial" w:cs="Arial" w:eastAsia="Arial" w:hAnsi="Arial"/>
          <w:sz w:val="18"/>
          <w:szCs w:val="18"/>
          <w:color w:val="auto"/>
        </w:rPr>
      </w:pPr>
    </w:p>
    <w:p>
      <w:pPr>
        <w:jc w:val="both"/>
        <w:ind w:left="660" w:firstLine="1292"/>
        <w:spacing w:after="0" w:line="257" w:lineRule="auto"/>
        <w:tabs>
          <w:tab w:leader="none" w:pos="22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or become no longer exercisable upon the occurrence of such event); and</w:t>
      </w:r>
    </w:p>
    <w:p>
      <w:pPr>
        <w:spacing w:after="0" w:line="187" w:lineRule="exact"/>
        <w:rPr>
          <w:rFonts w:ascii="Arial" w:cs="Arial" w:eastAsia="Arial" w:hAnsi="Arial"/>
          <w:sz w:val="18"/>
          <w:szCs w:val="18"/>
          <w:color w:val="auto"/>
        </w:rPr>
      </w:pPr>
    </w:p>
    <w:p>
      <w:pPr>
        <w:jc w:val="both"/>
        <w:ind w:left="660" w:firstLine="1292"/>
        <w:spacing w:after="0" w:line="293" w:lineRule="auto"/>
        <w:tabs>
          <w:tab w:leader="none" w:pos="2283" w:val="left"/>
        </w:tabs>
        <w:numPr>
          <w:ilvl w:val="1"/>
          <w:numId w:val="65"/>
        </w:numPr>
        <w:rPr>
          <w:rFonts w:ascii="Arial" w:cs="Arial" w:eastAsia="Arial" w:hAnsi="Arial"/>
          <w:sz w:val="16"/>
          <w:szCs w:val="16"/>
          <w:color w:val="auto"/>
        </w:rPr>
      </w:pPr>
      <w:r>
        <w:rPr>
          <w:rFonts w:ascii="Arial" w:cs="Arial" w:eastAsia="Arial" w:hAnsi="Arial"/>
          <w:sz w:val="16"/>
          <w:szCs w:val="16"/>
          <w:color w:val="auto"/>
        </w:rPr>
        <w:t>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456565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Exercise Price or Strike Price of such Option or SAR, respectively (it being understood that, in such event, any Option or SAR having a per-share Exercise Price or Strike Price equal to, or in excess of, the</w:t>
      </w:r>
    </w:p>
    <w:p>
      <w:pPr>
        <w:spacing w:after="0" w:line="1" w:lineRule="exact"/>
        <w:rPr>
          <w:sz w:val="20"/>
          <w:szCs w:val="20"/>
          <w:color w:val="auto"/>
        </w:rPr>
      </w:pPr>
    </w:p>
    <w:p>
      <w:pPr>
        <w:ind w:left="660" w:right="60"/>
        <w:spacing w:after="0" w:line="260" w:lineRule="auto"/>
        <w:rPr>
          <w:sz w:val="20"/>
          <w:szCs w:val="20"/>
          <w:color w:val="auto"/>
        </w:rPr>
      </w:pPr>
      <w:r>
        <w:rPr>
          <w:rFonts w:ascii="Arial" w:cs="Arial" w:eastAsia="Arial" w:hAnsi="Arial"/>
          <w:sz w:val="18"/>
          <w:szCs w:val="18"/>
          <w:color w:val="auto"/>
        </w:rPr>
        <w:t>Fair Market Value (as of the date specified by the Committee) of a share of Common Stock subject thereto may be canceled and terminated without any payment or consideration therefor);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provided, however, that the Committee shall make an equitable or proportionate adjustment to outstanding Awards to reflect any “equity restructuring” (within the meaning of the Financial Accounting Standards Codification Topic 718 (or any successor pronouncement thereto)). Except as otherwise determined by the Committee, any adjustments under this Section 11 shall be made in a manner that does not adversely affect the exemption provided pursuant to Rule16b-3 promulgated under the Exchange Act. The Company shall give each Participant notice of an adjustment hereunder and, upon notice, such adjustment shall be conclusive and binding for all purposes. In anticipation of the occurrence of any event listed in the first sentence of this Section 11, for reasons of administrative convenience, the Committee in its sole discretion may refuse to permit the exercise of any Award during a period of up to 30 days prior to, and/or up to 30 days after, the anticipated occurrence of any such event.</w:t>
      </w:r>
    </w:p>
    <w:p>
      <w:pPr>
        <w:spacing w:after="0" w:line="178" w:lineRule="exact"/>
        <w:rPr>
          <w:sz w:val="20"/>
          <w:szCs w:val="20"/>
          <w:color w:val="auto"/>
        </w:rPr>
      </w:pPr>
    </w:p>
    <w:p>
      <w:pPr>
        <w:jc w:val="both"/>
        <w:ind w:firstLine="656"/>
        <w:spacing w:after="0" w:line="263" w:lineRule="auto"/>
        <w:tabs>
          <w:tab w:leader="none" w:pos="95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Except to the extent otherwise provided in an Award Agreement, or any applicable employment, consulting, change-in-control, severance or other agreement between the Participant and the Company or an Affiliate, in the event of a Change in Control, notwithstanding any provision of the Plan to the contrary:</w:t>
      </w:r>
    </w:p>
    <w:p>
      <w:pPr>
        <w:spacing w:after="0" w:line="183" w:lineRule="exact"/>
        <w:rPr>
          <w:rFonts w:ascii="Arial" w:cs="Arial" w:eastAsia="Arial" w:hAnsi="Arial"/>
          <w:sz w:val="18"/>
          <w:szCs w:val="18"/>
          <w:color w:val="auto"/>
        </w:rPr>
      </w:pPr>
    </w:p>
    <w:p>
      <w:pPr>
        <w:jc w:val="both"/>
        <w:ind w:firstLine="1304"/>
        <w:spacing w:after="0" w:line="289" w:lineRule="auto"/>
        <w:tabs>
          <w:tab w:leader="none" w:pos="1557"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the Participant’s employment with or service to the Company or an Affiliate is terminated by the Company or Affiliate without Cause (and other than due to death or Disability) on or within 12 months following a Change in Control, all Options and SARs held by such Participant shall automatically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provided, that if the vesting or exercisability of any Award would otherwise be subject to the achievement of performance conditions, the portion of such Award that shall become fully vested and immediately exercisable shall be based on the assumed achievement of actual or target performance as determined by the Committee and, unless otherwise determined by the Committee, prorated for the number of days elapsed from the grant date of such Award through the date of termination.</w:t>
      </w:r>
    </w:p>
    <w:p>
      <w:pPr>
        <w:spacing w:after="0" w:line="166" w:lineRule="exact"/>
        <w:rPr>
          <w:rFonts w:ascii="Arial" w:cs="Arial" w:eastAsia="Arial" w:hAnsi="Arial"/>
          <w:sz w:val="16"/>
          <w:szCs w:val="16"/>
          <w:color w:val="auto"/>
        </w:rPr>
      </w:pPr>
    </w:p>
    <w:p>
      <w:pPr>
        <w:jc w:val="both"/>
        <w:ind w:firstLine="1304"/>
        <w:spacing w:after="0" w:line="291" w:lineRule="auto"/>
        <w:tabs>
          <w:tab w:leader="none" w:pos="1557"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addition, the Committee may upon at least ten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stockholders of the Company in the event (it being understood that any Option or SAR having a per-share Exercise Price or Strike Price equal to, or in excess of, the Fair Market Value (as of the date specified by the Committee) of a share of Common Stock subject thereto may be canceled and terminated without any payment or consideration therefor). Notwithstanding the above, the Committee shall exercise such discretion over the timing of settlement of any Award subject to Code Section 409A at the time such Award is granted.</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To the extent practicable, the provisions of this Section 12 shall occur in a manner and at a time that allows affected Participants the ability to participate in the Change in Control transaction with respect to the Common Stock subject to their Awards.</w:t>
      </w:r>
    </w:p>
    <w:p>
      <w:pPr>
        <w:spacing w:after="0" w:line="146" w:lineRule="exact"/>
        <w:rPr>
          <w:sz w:val="20"/>
          <w:szCs w:val="20"/>
          <w:color w:val="auto"/>
        </w:rPr>
      </w:pPr>
    </w:p>
    <w:p>
      <w:pPr>
        <w:ind w:left="920" w:hanging="264"/>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Amendments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7" w:lineRule="auto"/>
        <w:tabs>
          <w:tab w:leader="none" w:pos="1541"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 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applicable rules or requirements of NASDAQ or of any other securities exchange or inter-dealer quotation service on which the shares of Common Stock is listed or quoted, for changes in GAAP to new accounting standards); and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is the</w:t>
      </w:r>
    </w:p>
    <w:p>
      <w:pPr>
        <w:spacing w:after="0" w:line="1" w:lineRule="exact"/>
        <w:rPr>
          <w:rFonts w:ascii="Arial" w:cs="Arial" w:eastAsia="Arial" w:hAnsi="Arial"/>
          <w:sz w:val="17"/>
          <w:szCs w:val="17"/>
          <w:color w:val="auto"/>
        </w:rPr>
      </w:pPr>
    </w:p>
    <w:p>
      <w:pPr>
        <w:ind w:right="260"/>
        <w:spacing w:after="0" w:line="265" w:lineRule="auto"/>
        <w:rPr>
          <w:rFonts w:ascii="Arial" w:cs="Arial" w:eastAsia="Arial" w:hAnsi="Arial"/>
          <w:sz w:val="17"/>
          <w:szCs w:val="17"/>
          <w:color w:val="auto"/>
        </w:rPr>
      </w:pPr>
      <w:r>
        <w:rPr>
          <w:rFonts w:ascii="Arial" w:cs="Arial" w:eastAsia="Arial" w:hAnsi="Arial"/>
          <w:sz w:val="17"/>
          <w:szCs w:val="17"/>
          <w:color w:val="auto"/>
        </w:rPr>
        <w:t>required or advisable in order for the Company, the Plan or the Award to satisfy any applicable law or regulation. Notwithstanding the foregoing, no amendment shall be made to the last proviso of Section 13(b) without stockholder approval.</w:t>
      </w:r>
    </w:p>
    <w:p>
      <w:pPr>
        <w:jc w:val="both"/>
        <w:ind w:firstLine="1304"/>
        <w:spacing w:after="0" w:line="302" w:lineRule="auto"/>
        <w:tabs>
          <w:tab w:leader="none" w:pos="1578"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The Committee may, to the extent not inconsistent with the terms of any applicable Award Agreement or the Plan, waive any conditions or rights under, amend any terms of, or alter, suspend, discontinue, cancel or terminate, any Award theretofore granted or the associated Award Agreement, prospectively or retroactively (including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450215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Participant’s termination of employment or service with the Company);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is either required or advisable in order for the Company, the Plan or the Award to satisfy any applicable law or regulation; and provided, further, that except as otherwise permitted under Section 11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that would either (A) be reportable on the Company’s proxy statement or Form 10-K (if applicable) as Options that have been “repriced” (as such term is used in Item 402 of Regulation S-K promulgated under the Exchange Act), or (B) result in any “repricing” for financial statement reporting purposes (or otherwise cause the Award to fail to qualify for equity accounting treatment), (iii) the Committee takes any other action that is considered a “repricing” for purposes of the stockholder approval rules of the applicable securities exchange or inter-dealer quotation service on which the Common Stock is listed or quoted, or (iv) the Committee cancels any outstanding Option or SAR that has a per-share Exercise Price or Strike Price (as applicable) at or above the Fair Market Value of a share of Common Stock on the date of cancellation, and pays any consideration to the holder thereof, whether in cash, securities, or other property, or any combination thereof, then, in the case of the immediately preceding clauses (i) through (iv), any such action shall not be effective without stockholder approval.</w:t>
      </w:r>
    </w:p>
    <w:p>
      <w:pPr>
        <w:spacing w:after="0" w:line="176" w:lineRule="exact"/>
        <w:rPr>
          <w:sz w:val="20"/>
          <w:szCs w:val="20"/>
          <w:color w:val="auto"/>
        </w:rPr>
      </w:pPr>
    </w:p>
    <w:p>
      <w:pPr>
        <w:ind w:left="920" w:hanging="264"/>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54"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Award Agreements; Other Agreements</w:t>
      </w:r>
      <w:r>
        <w:rPr>
          <w:rFonts w:ascii="Arial" w:cs="Arial" w:eastAsia="Arial" w:hAnsi="Arial"/>
          <w:sz w:val="18"/>
          <w:szCs w:val="18"/>
          <w:color w:val="auto"/>
        </w:rPr>
        <w:t>. Each Award under the Plan shall be evidenced by an Award Agreement, which shall be delivered to the Participant and shall specify the terms and conditions of the Award and any rules applicable thereto. In the event of any conflict between the terms of the Plan and any Award Agreement or employment, change-in-control, severance or other agreement in effect with the Participant, the term of the Plan shall control.</w:t>
      </w:r>
    </w:p>
    <w:p>
      <w:pPr>
        <w:spacing w:after="0" w:line="186" w:lineRule="exact"/>
        <w:rPr>
          <w:rFonts w:ascii="Arial" w:cs="Arial" w:eastAsia="Arial" w:hAnsi="Arial"/>
          <w:sz w:val="18"/>
          <w:szCs w:val="18"/>
          <w:color w:val="auto"/>
        </w:rPr>
      </w:pPr>
    </w:p>
    <w:p>
      <w:pPr>
        <w:ind w:left="1560" w:hanging="256"/>
        <w:spacing w:after="0"/>
        <w:tabs>
          <w:tab w:leader="none" w:pos="156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73" w:lineRule="auto"/>
        <w:tabs>
          <w:tab w:leader="none" w:pos="2177" w:val="left"/>
        </w:tabs>
        <w:numPr>
          <w:ilvl w:val="2"/>
          <w:numId w:val="68"/>
        </w:numPr>
        <w:rPr>
          <w:rFonts w:ascii="Arial" w:cs="Arial" w:eastAsia="Arial" w:hAnsi="Arial"/>
          <w:sz w:val="17"/>
          <w:szCs w:val="17"/>
          <w:color w:val="auto"/>
        </w:rPr>
      </w:pPr>
      <w:r>
        <w:rPr>
          <w:rFonts w:ascii="Arial" w:cs="Arial" w:eastAsia="Arial" w:hAnsi="Arial"/>
          <w:sz w:val="17"/>
          <w:szCs w:val="17"/>
          <w:color w:val="auto"/>
        </w:rPr>
        <w:t>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77" w:lineRule="exact"/>
        <w:rPr>
          <w:rFonts w:ascii="Arial" w:cs="Arial" w:eastAsia="Arial" w:hAnsi="Arial"/>
          <w:sz w:val="17"/>
          <w:szCs w:val="17"/>
          <w:color w:val="auto"/>
        </w:rPr>
      </w:pPr>
    </w:p>
    <w:p>
      <w:pPr>
        <w:jc w:val="both"/>
        <w:ind w:left="660" w:firstLine="1292"/>
        <w:spacing w:after="0" w:line="284" w:lineRule="auto"/>
        <w:tabs>
          <w:tab w:leader="none" w:pos="2242" w:val="left"/>
        </w:tabs>
        <w:numPr>
          <w:ilvl w:val="2"/>
          <w:numId w:val="68"/>
        </w:numPr>
        <w:rPr>
          <w:rFonts w:ascii="Arial" w:cs="Arial" w:eastAsia="Arial" w:hAnsi="Arial"/>
          <w:sz w:val="16"/>
          <w:szCs w:val="16"/>
          <w:color w:val="auto"/>
        </w:rPr>
      </w:pPr>
      <w:r>
        <w:rPr>
          <w:rFonts w:ascii="Arial" w:cs="Arial" w:eastAsia="Arial" w:hAnsi="Arial"/>
          <w:sz w:val="16"/>
          <w:szCs w:val="16"/>
          <w:color w:val="auto"/>
        </w:rPr>
        <w:t>Notwithstanding the foregoing, the Committee may permit Awards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6"/>
          <w:szCs w:val="16"/>
          <w:b w:val="1"/>
          <w:bCs w:val="1"/>
          <w:color w:val="auto"/>
        </w:rPr>
        <w:t>Immediate Family Members</w:t>
      </w:r>
      <w:r>
        <w:rPr>
          <w:rFonts w:ascii="Arial" w:cs="Arial" w:eastAsia="Arial" w:hAnsi="Arial"/>
          <w:sz w:val="16"/>
          <w:szCs w:val="16"/>
          <w:color w:val="auto"/>
        </w:rPr>
        <w:t>”); (B) a trust solely for the benefit of the Participant or the Participant’s Immediate Family Members; (C) a partnership or limited liability company whose only partners or stockholders are the Participant and the Participant’s Immediate Family Members; or</w:t>
      </w:r>
    </w:p>
    <w:p>
      <w:pPr>
        <w:spacing w:after="0" w:line="4" w:lineRule="exact"/>
        <w:rPr>
          <w:rFonts w:ascii="Arial" w:cs="Arial" w:eastAsia="Arial" w:hAnsi="Arial"/>
          <w:sz w:val="16"/>
          <w:szCs w:val="16"/>
          <w:color w:val="auto"/>
        </w:rPr>
      </w:pPr>
    </w:p>
    <w:p>
      <w:pPr>
        <w:jc w:val="both"/>
        <w:ind w:left="660"/>
        <w:spacing w:after="0" w:line="250" w:lineRule="auto"/>
        <w:rPr>
          <w:rFonts w:ascii="Arial" w:cs="Arial" w:eastAsia="Arial" w:hAnsi="Arial"/>
          <w:sz w:val="16"/>
          <w:szCs w:val="16"/>
          <w:color w:val="auto"/>
        </w:rPr>
      </w:pPr>
      <w:r>
        <w:rPr>
          <w:rFonts w:ascii="Arial" w:cs="Arial" w:eastAsia="Arial" w:hAnsi="Arial"/>
          <w:sz w:val="18"/>
          <w:szCs w:val="18"/>
          <w:color w:val="auto"/>
        </w:rPr>
        <w:t>(D) any other transferee as may be approved either (1) by the Board or the Committee, or (2) as provided in the applicable Award Agreement; (each transferee described in clause (A), (B), (C) or (D) above is hereinafter referred to as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Transferee</w:t>
      </w:r>
      <w:r>
        <w:rPr>
          <w:rFonts w:ascii="Arial" w:cs="Arial" w:eastAsia="Arial" w:hAnsi="Arial"/>
          <w:sz w:val="18"/>
          <w:szCs w:val="18"/>
          <w:color w:val="auto"/>
        </w:rPr>
        <w:t>”); provided, that the Participant gives the Committee advance written</w:t>
      </w:r>
    </w:p>
    <w:p>
      <w:pPr>
        <w:spacing w:after="0" w:line="1" w:lineRule="exact"/>
        <w:rPr>
          <w:rFonts w:ascii="Arial" w:cs="Arial" w:eastAsia="Arial" w:hAnsi="Arial"/>
          <w:sz w:val="16"/>
          <w:szCs w:val="16"/>
          <w:color w:val="auto"/>
        </w:rPr>
      </w:pPr>
    </w:p>
    <w:p>
      <w:pPr>
        <w:ind w:left="660" w:right="20"/>
        <w:spacing w:after="0" w:line="260" w:lineRule="auto"/>
        <w:rPr>
          <w:rFonts w:ascii="Arial" w:cs="Arial" w:eastAsia="Arial" w:hAnsi="Arial"/>
          <w:sz w:val="16"/>
          <w:szCs w:val="16"/>
          <w:color w:val="auto"/>
        </w:rPr>
      </w:pPr>
      <w:r>
        <w:rPr>
          <w:rFonts w:ascii="Arial" w:cs="Arial" w:eastAsia="Arial" w:hAnsi="Arial"/>
          <w:sz w:val="18"/>
          <w:szCs w:val="18"/>
          <w:color w:val="auto"/>
        </w:rPr>
        <w:t>notice describing the terms and conditions of the proposed transfer and the Committee notifies the Participant in writing that such a transfer would comply with the requirements of the Plan.</w:t>
      </w:r>
    </w:p>
    <w:p>
      <w:pPr>
        <w:spacing w:after="0" w:line="185" w:lineRule="exact"/>
        <w:rPr>
          <w:rFonts w:ascii="Arial" w:cs="Arial" w:eastAsia="Arial" w:hAnsi="Arial"/>
          <w:sz w:val="16"/>
          <w:szCs w:val="16"/>
          <w:color w:val="auto"/>
        </w:rPr>
      </w:pPr>
    </w:p>
    <w:p>
      <w:pPr>
        <w:jc w:val="both"/>
        <w:ind w:left="660" w:firstLine="1292"/>
        <w:spacing w:after="0" w:line="287" w:lineRule="auto"/>
        <w:tabs>
          <w:tab w:leader="none" w:pos="2279"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paragraph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461010</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exercisable by the Permitted Transferee only to the extent, and for the periods, specified in the Plan and the applicable Award Agreement; and (E) any non-competition, non-solicitation, non-disparagement, non-disclosure, or other restrictive covenants contained in any Award Agreement or other agreement between the Participant and the Company or any Affiliate shall continue to apply to the Participant and the consequences of the violation of such covenants shall continue to be applied with respect to the transferred Award, including without limitation the clawback and forfeiture provisions of Section 14(v) of the Plan.</w:t>
      </w:r>
    </w:p>
    <w:p>
      <w:pPr>
        <w:spacing w:after="0" w:line="161" w:lineRule="exact"/>
        <w:rPr>
          <w:sz w:val="20"/>
          <w:szCs w:val="20"/>
          <w:color w:val="auto"/>
        </w:rPr>
      </w:pPr>
    </w:p>
    <w:p>
      <w:pPr>
        <w:jc w:val="both"/>
        <w:ind w:firstLine="1304"/>
        <w:spacing w:after="0" w:line="269" w:lineRule="auto"/>
        <w:tabs>
          <w:tab w:leader="none" w:pos="156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The Committee may provide the Participant with dividends or dividend equivalents as part of an Award,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provided, that no dividends or dividend equivalents shall be payable (i) in respect of outstanding Options or SARs or (ii) in respect of any other Award unless and until the Participant vests in such underlying Award; provided, further,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185" w:lineRule="exact"/>
        <w:rPr>
          <w:rFonts w:ascii="Arial" w:cs="Arial" w:eastAsia="Arial" w:hAnsi="Arial"/>
          <w:sz w:val="17"/>
          <w:szCs w:val="17"/>
          <w:color w:val="auto"/>
        </w:rPr>
      </w:pPr>
    </w:p>
    <w:p>
      <w:pPr>
        <w:ind w:left="1560" w:hanging="256"/>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4" w:lineRule="auto"/>
        <w:tabs>
          <w:tab w:leader="none" w:pos="217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(up to the maximum permissible withholding amounts) in respect of an Award, its exercise, or any payment or transfer under an Award or under the Plan and to take such other action that the Committee or the Company deem necessary to satisfy all obligations for the payment of such withholding taxes.</w:t>
      </w:r>
    </w:p>
    <w:p>
      <w:pPr>
        <w:spacing w:after="0" w:line="194" w:lineRule="exact"/>
        <w:rPr>
          <w:rFonts w:ascii="Arial" w:cs="Arial" w:eastAsia="Arial" w:hAnsi="Arial"/>
          <w:sz w:val="18"/>
          <w:szCs w:val="18"/>
          <w:color w:val="auto"/>
        </w:rPr>
      </w:pPr>
    </w:p>
    <w:p>
      <w:pPr>
        <w:jc w:val="both"/>
        <w:ind w:left="660" w:firstLine="1292"/>
        <w:spacing w:after="0" w:line="267" w:lineRule="auto"/>
        <w:tabs>
          <w:tab w:leader="none" w:pos="2256" w:val="left"/>
        </w:tabs>
        <w:numPr>
          <w:ilvl w:val="1"/>
          <w:numId w:val="69"/>
        </w:numPr>
        <w:rPr>
          <w:rFonts w:ascii="Arial" w:cs="Arial" w:eastAsia="Arial" w:hAnsi="Arial"/>
          <w:sz w:val="17"/>
          <w:szCs w:val="17"/>
          <w:color w:val="auto"/>
        </w:rPr>
      </w:pPr>
      <w:r>
        <w:rPr>
          <w:rFonts w:ascii="Arial" w:cs="Arial" w:eastAsia="Arial" w:hAnsi="Arial"/>
          <w:sz w:val="17"/>
          <w:szCs w:val="17"/>
          <w:color w:val="auto"/>
        </w:rPr>
        <w:t>Without limiting the generality of paragraph (i) above, the Committee may permit the Participant to satisfy, in whole or in part, the foregoing withholding liability by (A) payment in cash, (B) the delivery of shares of Common Stock (which shares are not subject to any pledge or other security interest) owned by the Participant having a Fair Market Value on such date equal to such withholding liability or (C) having the Company withhold from the number of shares of Common Stock otherwise issuable or deliverable pursuant to the exercise or settlement of the Award a number of shares with a Fair Market Value on such date equal to such withholding liability. In addition, subject to any requirements of applicable law, the Participant may also satisfy the tax withholding obligations by other methods, including selling shares of</w:t>
      </w:r>
    </w:p>
    <w:p>
      <w:pPr>
        <w:spacing w:after="0" w:line="4" w:lineRule="exact"/>
        <w:rPr>
          <w:rFonts w:ascii="Arial" w:cs="Arial" w:eastAsia="Arial" w:hAnsi="Arial"/>
          <w:sz w:val="17"/>
          <w:szCs w:val="17"/>
          <w:color w:val="auto"/>
        </w:rPr>
      </w:pPr>
    </w:p>
    <w:p>
      <w:pPr>
        <w:ind w:left="660" w:right="540"/>
        <w:spacing w:after="0" w:line="260" w:lineRule="auto"/>
        <w:rPr>
          <w:rFonts w:ascii="Arial" w:cs="Arial" w:eastAsia="Arial" w:hAnsi="Arial"/>
          <w:sz w:val="17"/>
          <w:szCs w:val="17"/>
          <w:color w:val="auto"/>
        </w:rPr>
      </w:pPr>
      <w:r>
        <w:rPr>
          <w:rFonts w:ascii="Arial" w:cs="Arial" w:eastAsia="Arial" w:hAnsi="Arial"/>
          <w:sz w:val="18"/>
          <w:szCs w:val="18"/>
          <w:color w:val="auto"/>
        </w:rPr>
        <w:t>Common Stock that would otherwise be available for delivery, provided that the Board or the Committee has specifically approved such payment method in advance.</w:t>
      </w:r>
    </w:p>
    <w:p>
      <w:pPr>
        <w:spacing w:after="0" w:line="185" w:lineRule="exact"/>
        <w:rPr>
          <w:rFonts w:ascii="Arial" w:cs="Arial" w:eastAsia="Arial" w:hAnsi="Arial"/>
          <w:sz w:val="17"/>
          <w:szCs w:val="17"/>
          <w:color w:val="auto"/>
        </w:rPr>
      </w:pPr>
    </w:p>
    <w:p>
      <w:pPr>
        <w:jc w:val="both"/>
        <w:ind w:firstLine="1304"/>
        <w:spacing w:after="0" w:line="270" w:lineRule="auto"/>
        <w:tabs>
          <w:tab w:leader="none" w:pos="154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 Directorship or Engagement</w:t>
      </w:r>
      <w:r>
        <w:rPr>
          <w:rFonts w:ascii="Arial" w:cs="Arial" w:eastAsia="Arial" w:hAnsi="Arial"/>
          <w:sz w:val="17"/>
          <w:szCs w:val="17"/>
          <w:color w:val="auto"/>
        </w:rPr>
        <w:t>. No employee, director of the Company, consultant providing service to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or to continue in the employ or the service of the Company or an Affiliate, nor shall it be construed as giving any Participant who is a director any rights to continued service on the Board.</w:t>
      </w:r>
    </w:p>
    <w:p>
      <w:pPr>
        <w:spacing w:after="0" w:line="180" w:lineRule="exact"/>
        <w:rPr>
          <w:rFonts w:ascii="Arial" w:cs="Arial" w:eastAsia="Arial" w:hAnsi="Arial"/>
          <w:sz w:val="17"/>
          <w:szCs w:val="17"/>
          <w:color w:val="auto"/>
        </w:rPr>
      </w:pPr>
    </w:p>
    <w:p>
      <w:pPr>
        <w:jc w:val="both"/>
        <w:ind w:firstLine="1304"/>
        <w:spacing w:after="0" w:line="290" w:lineRule="auto"/>
        <w:tabs>
          <w:tab w:leader="none" w:pos="156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International Participants</w:t>
      </w:r>
      <w:r>
        <w:rPr>
          <w:rFonts w:ascii="Arial" w:cs="Arial" w:eastAsia="Arial" w:hAnsi="Arial"/>
          <w:sz w:val="16"/>
          <w:szCs w:val="16"/>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that vary with local requirements. The Committee may also adopt rules, procedures or sub-plans applicable to particular Affiliates or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ind w:firstLine="1304"/>
        <w:spacing w:after="0" w:line="272" w:lineRule="auto"/>
        <w:tabs>
          <w:tab w:leader="none" w:pos="155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The Participant’s beneficiary shall be the Participant’s spouse (or domestic partner if such status is recognized by the Company and in such jurisdiction), or if the Participant is otherwise unmarried at the time of death, the Participant’s estate, except to the extent that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564"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 The Committee, in its sole discretion, shall determine the effect of all matters and questions related to the termination of employment of or service of a Participant.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152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179"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Nothing in the Plan shall be deemed to authorize the Committee or Board or any members thereof to take any action contrary to applicable law or regulation, or Nasdaq rules or the rules of any other securities exchange or inter-dealer quotation service on which the Common Stock is listed or quoted.</w:t>
      </w:r>
    </w:p>
    <w:p>
      <w:pPr>
        <w:spacing w:after="0" w:line="183" w:lineRule="exact"/>
        <w:rPr>
          <w:rFonts w:ascii="Arial" w:cs="Arial" w:eastAsia="Arial" w:hAnsi="Arial"/>
          <w:sz w:val="18"/>
          <w:szCs w:val="18"/>
          <w:color w:val="auto"/>
        </w:rPr>
      </w:pPr>
    </w:p>
    <w:p>
      <w:pPr>
        <w:jc w:val="both"/>
        <w:ind w:left="660" w:firstLine="1292"/>
        <w:spacing w:after="0" w:line="284" w:lineRule="auto"/>
        <w:tabs>
          <w:tab w:leader="none" w:pos="2227"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stop-transfer orders and other restrictions as the Committee may deem advisable under the Plan, the applicable Award Agreement,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397" w:lineRule="exact"/>
        <w:rPr>
          <w:rFonts w:ascii="Arial" w:cs="Arial" w:eastAsia="Arial" w:hAnsi="Arial"/>
          <w:sz w:val="16"/>
          <w:szCs w:val="16"/>
          <w:color w:val="auto"/>
        </w:rPr>
      </w:pPr>
    </w:p>
    <w:p>
      <w:pPr>
        <w:jc w:val="both"/>
        <w:ind w:left="660" w:firstLine="1292"/>
        <w:spacing w:after="0" w:line="296" w:lineRule="auto"/>
        <w:tabs>
          <w:tab w:leader="none" w:pos="2296"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178" w:lineRule="exact"/>
        <w:rPr>
          <w:sz w:val="20"/>
          <w:szCs w:val="20"/>
          <w:color w:val="auto"/>
        </w:rPr>
      </w:pPr>
    </w:p>
    <w:p>
      <w:pPr>
        <w:jc w:val="both"/>
        <w:ind w:firstLine="1304"/>
        <w:spacing w:after="0" w:line="259" w:lineRule="auto"/>
        <w:tabs>
          <w:tab w:leader="none" w:pos="155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Section 83(b) Elections</w:t>
      </w:r>
      <w:r>
        <w:rPr>
          <w:rFonts w:ascii="Arial" w:cs="Arial" w:eastAsia="Arial" w:hAnsi="Arial"/>
          <w:sz w:val="18"/>
          <w:szCs w:val="18"/>
          <w:color w:val="auto"/>
        </w:rPr>
        <w:t>. If a Participant, in connection with the acquisition of shares of Common Stock under the Plan, makes an election under Section 83(b) of the Code, the Participant shall notify the Company of such election within ten days after filing notice of the election with the Internal Revenue Service, in addition to any filing and notification required pursuant to Section 83(b) of the Code.</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51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Payments to Persons Other Than Participants</w:t>
      </w:r>
      <w:r>
        <w:rPr>
          <w:rFonts w:ascii="Arial" w:cs="Arial" w:eastAsia="Arial" w:hAnsi="Arial"/>
          <w:sz w:val="18"/>
          <w:szCs w:val="18"/>
          <w:color w:val="auto"/>
        </w:rPr>
        <w:t>. If the Committee shall find that any person to whom any amount is payable under the Plan is unable to care for such person’s affairs because of illness or accident, or is a minor, or has died, then any payment due to such person or such person’s estate (unless a prior claim therefor has been made by a duly appointed legal representative or a beneficiary designation form has been filed with the Company) may, if the Committee so directs the Company, be paid to such person’s spouse, child, or relative, or an institution maintaining or having custody of such person, or any other person deemed by the Committee to be a proper</w:t>
      </w:r>
    </w:p>
    <w:p>
      <w:pPr>
        <w:spacing w:after="0" w:line="1" w:lineRule="exact"/>
        <w:rPr>
          <w:rFonts w:ascii="Arial" w:cs="Arial" w:eastAsia="Arial" w:hAnsi="Arial"/>
          <w:sz w:val="18"/>
          <w:szCs w:val="18"/>
          <w:color w:val="auto"/>
        </w:rPr>
      </w:pPr>
    </w:p>
    <w:p>
      <w:pPr>
        <w:ind w:right="160"/>
        <w:spacing w:after="0" w:line="260" w:lineRule="auto"/>
        <w:rPr>
          <w:rFonts w:ascii="Arial" w:cs="Arial" w:eastAsia="Arial" w:hAnsi="Arial"/>
          <w:sz w:val="18"/>
          <w:szCs w:val="18"/>
          <w:color w:val="auto"/>
        </w:rPr>
      </w:pPr>
      <w:r>
        <w:rPr>
          <w:rFonts w:ascii="Arial" w:cs="Arial" w:eastAsia="Arial" w:hAnsi="Arial"/>
          <w:sz w:val="18"/>
          <w:szCs w:val="18"/>
          <w:color w:val="auto"/>
        </w:rPr>
        <w:t>recipient on behalf of such person otherwise entitled to payment. Any such payment shall be a complete discharge of the liability of the Committee and the Company therefor.</w:t>
      </w:r>
    </w:p>
    <w:p>
      <w:pPr>
        <w:spacing w:after="0" w:line="185" w:lineRule="exact"/>
        <w:rPr>
          <w:rFonts w:ascii="Arial" w:cs="Arial" w:eastAsia="Arial" w:hAnsi="Arial"/>
          <w:sz w:val="18"/>
          <w:szCs w:val="18"/>
          <w:color w:val="auto"/>
        </w:rPr>
      </w:pPr>
    </w:p>
    <w:p>
      <w:pPr>
        <w:jc w:val="both"/>
        <w:ind w:firstLine="1304"/>
        <w:spacing w:after="0" w:line="279" w:lineRule="auto"/>
        <w:tabs>
          <w:tab w:leader="none" w:pos="161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Nonexclusivity of the Plan</w:t>
      </w:r>
      <w:r>
        <w:rPr>
          <w:rFonts w:ascii="Arial" w:cs="Arial" w:eastAsia="Arial" w:hAnsi="Arial"/>
          <w:sz w:val="17"/>
          <w:szCs w:val="17"/>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awards otherwise than under the Plan, and such arrangements may be either applicable generally or only in specific cases.</w:t>
      </w:r>
    </w:p>
    <w:p>
      <w:pPr>
        <w:spacing w:after="0" w:line="171" w:lineRule="exact"/>
        <w:rPr>
          <w:rFonts w:ascii="Arial" w:cs="Arial" w:eastAsia="Arial" w:hAnsi="Arial"/>
          <w:sz w:val="17"/>
          <w:szCs w:val="17"/>
          <w:color w:val="auto"/>
        </w:rPr>
      </w:pPr>
    </w:p>
    <w:p>
      <w:pPr>
        <w:jc w:val="both"/>
        <w:ind w:firstLine="1304"/>
        <w:spacing w:after="0" w:line="270" w:lineRule="auto"/>
        <w:tabs>
          <w:tab w:leader="none" w:pos="155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This Plan and Awards hereunder are intended to be unfunded for tax purposes and for purposes of the Employee Retirement Income Security Act of 1974, as amended, and shall be construed and interpreted in accordance with such intent.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to otherwise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180" w:lineRule="exact"/>
        <w:rPr>
          <w:rFonts w:ascii="Arial" w:cs="Arial" w:eastAsia="Arial" w:hAnsi="Arial"/>
          <w:sz w:val="17"/>
          <w:szCs w:val="17"/>
          <w:color w:val="auto"/>
        </w:rPr>
      </w:pPr>
    </w:p>
    <w:p>
      <w:pPr>
        <w:jc w:val="both"/>
        <w:ind w:firstLine="1304"/>
        <w:spacing w:after="0" w:line="257" w:lineRule="auto"/>
        <w:tabs>
          <w:tab w:leader="none" w:pos="156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(and each such member’s respective designees) shall be fully justified in acting or failing to act, as the case may be, and shall not be liable for having so acted or failed to act in good faith, in reliance upon any report made by the independent registered public accounting firm of the Company or any of its Affiliates or any other information furnished in connection with the Plan by any agent or advisor of the Company or the Committee or the Board.</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55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 Whether or not the Options and shares covered by the Plan have been registered under the Securities Act, each person exercising an Option under the Plan or acquiring shares under the Plan may be required by the Company to give a representation in writing that such person is acquiring such shares for investment and not with a view to, or for sale in connection with, the distribution of any 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52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ind w:firstLine="1304"/>
        <w:spacing w:after="0" w:line="273" w:lineRule="auto"/>
        <w:tabs>
          <w:tab w:leader="none" w:pos="154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77" w:lineRule="exact"/>
        <w:rPr>
          <w:rFonts w:ascii="Arial" w:cs="Arial" w:eastAsia="Arial" w:hAnsi="Arial"/>
          <w:sz w:val="17"/>
          <w:szCs w:val="17"/>
          <w:color w:val="auto"/>
        </w:rPr>
      </w:pPr>
    </w:p>
    <w:p>
      <w:pPr>
        <w:jc w:val="both"/>
        <w:ind w:firstLine="1304"/>
        <w:spacing w:after="0" w:line="286" w:lineRule="auto"/>
        <w:tabs>
          <w:tab w:leader="none" w:pos="153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Obligations Binding on Successors</w:t>
      </w:r>
      <w:r>
        <w:rPr>
          <w:rFonts w:ascii="Arial" w:cs="Arial" w:eastAsia="Arial" w:hAnsi="Arial"/>
          <w:sz w:val="17"/>
          <w:szCs w:val="17"/>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165" w:lineRule="exact"/>
        <w:rPr>
          <w:rFonts w:ascii="Arial" w:cs="Arial" w:eastAsia="Arial" w:hAnsi="Arial"/>
          <w:sz w:val="17"/>
          <w:szCs w:val="17"/>
          <w:color w:val="auto"/>
        </w:rPr>
      </w:pPr>
    </w:p>
    <w:p>
      <w:pPr>
        <w:ind w:left="1560" w:hanging="256"/>
        <w:spacing w:after="0"/>
        <w:tabs>
          <w:tab w:leader="none" w:pos="15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69" w:lineRule="auto"/>
        <w:tabs>
          <w:tab w:leader="none" w:pos="2173" w:val="left"/>
        </w:tabs>
        <w:numPr>
          <w:ilvl w:val="1"/>
          <w:numId w:val="72"/>
        </w:numPr>
        <w:rPr>
          <w:rFonts w:ascii="Arial" w:cs="Arial" w:eastAsia="Arial" w:hAnsi="Arial"/>
          <w:sz w:val="17"/>
          <w:szCs w:val="17"/>
          <w:color w:val="auto"/>
        </w:rPr>
      </w:pPr>
      <w:r>
        <w:rPr>
          <w:rFonts w:ascii="Arial" w:cs="Arial" w:eastAsia="Arial" w:hAnsi="Arial"/>
          <w:sz w:val="17"/>
          <w:szCs w:val="17"/>
          <w:color w:val="auto"/>
        </w:rPr>
        <w:t>It is intended that the Plan be exempt from or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85" w:lineRule="exact"/>
        <w:rPr>
          <w:rFonts w:ascii="Arial" w:cs="Arial" w:eastAsia="Arial" w:hAnsi="Arial"/>
          <w:sz w:val="17"/>
          <w:szCs w:val="17"/>
          <w:color w:val="auto"/>
        </w:rPr>
      </w:pPr>
    </w:p>
    <w:p>
      <w:pPr>
        <w:jc w:val="both"/>
        <w:ind w:left="660" w:firstLine="1292"/>
        <w:spacing w:after="0" w:line="254" w:lineRule="auto"/>
        <w:tabs>
          <w:tab w:leader="none" w:pos="2236"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if the Participant is a “specified employee” within the meaning of Section 409A(a)(2)(B)(i) of the Code, no payments or deliveries in respect of any Awards that are payable on account of the Participant’s “separation from service” and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194" w:lineRule="exact"/>
        <w:rPr>
          <w:rFonts w:ascii="Arial" w:cs="Arial" w:eastAsia="Arial" w:hAnsi="Arial"/>
          <w:sz w:val="18"/>
          <w:szCs w:val="18"/>
          <w:color w:val="auto"/>
        </w:rPr>
      </w:pPr>
    </w:p>
    <w:p>
      <w:pPr>
        <w:jc w:val="both"/>
        <w:ind w:left="660" w:firstLine="1292"/>
        <w:spacing w:after="0" w:line="272" w:lineRule="auto"/>
        <w:tabs>
          <w:tab w:leader="none" w:pos="2294"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77" w:lineRule="exact"/>
        <w:rPr>
          <w:rFonts w:ascii="Arial" w:cs="Arial" w:eastAsia="Arial" w:hAnsi="Arial"/>
          <w:sz w:val="17"/>
          <w:szCs w:val="17"/>
          <w:color w:val="auto"/>
        </w:rPr>
      </w:pPr>
    </w:p>
    <w:p>
      <w:pPr>
        <w:jc w:val="both"/>
        <w:ind w:firstLine="1304"/>
        <w:spacing w:after="0" w:line="255" w:lineRule="auto"/>
        <w:tabs>
          <w:tab w:leader="none" w:pos="160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Clawback/Forfeiture</w:t>
      </w:r>
      <w:r>
        <w:rPr>
          <w:rFonts w:ascii="Arial" w:cs="Arial" w:eastAsia="Arial" w:hAnsi="Arial"/>
          <w:sz w:val="18"/>
          <w:szCs w:val="18"/>
          <w:color w:val="auto"/>
        </w:rPr>
        <w:t>. Notwithstanding anything to the contrary contained herein, to the extent required by applicable law (including, without limitation, Section 304 of the Sarbanes-Oxley Act and Section 954 of the Dodd-Frank Wall Street Reform and Consumer Protection Act and any rules or regulations promulgated thereunder) and/or the rules and regulations of NASDAQ or any other securities exchange or inter-dealer quotation service on which the Common Stock is listed or quoted, Awards shall be subject (including on a retroactive basis) to clawback, forfeiture or similar requirements (and such requirements shall be deemed incorporated by reference into all outstanding Award Agreements).</w:t>
      </w:r>
    </w:p>
    <w:p>
      <w:pPr>
        <w:spacing w:after="0" w:line="192" w:lineRule="exact"/>
        <w:rPr>
          <w:rFonts w:ascii="Arial" w:cs="Arial" w:eastAsia="Arial" w:hAnsi="Arial"/>
          <w:sz w:val="18"/>
          <w:szCs w:val="18"/>
          <w:color w:val="auto"/>
        </w:rPr>
      </w:pPr>
    </w:p>
    <w:p>
      <w:pPr>
        <w:jc w:val="both"/>
        <w:ind w:firstLine="1304"/>
        <w:spacing w:after="0" w:line="301" w:lineRule="auto"/>
        <w:tabs>
          <w:tab w:leader="none" w:pos="159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 Representations or Covenants with Respect to Tax Qualification</w:t>
      </w:r>
      <w:r>
        <w:rPr>
          <w:rFonts w:ascii="Arial" w:cs="Arial" w:eastAsia="Arial" w:hAnsi="Arial"/>
          <w:sz w:val="16"/>
          <w:szCs w:val="16"/>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157" w:lineRule="exact"/>
        <w:rPr>
          <w:rFonts w:ascii="Arial" w:cs="Arial" w:eastAsia="Arial" w:hAnsi="Arial"/>
          <w:sz w:val="16"/>
          <w:szCs w:val="16"/>
          <w:color w:val="auto"/>
        </w:rPr>
      </w:pPr>
    </w:p>
    <w:p>
      <w:pPr>
        <w:jc w:val="both"/>
        <w:ind w:firstLine="1304"/>
        <w:spacing w:after="0" w:line="301" w:lineRule="auto"/>
        <w:tabs>
          <w:tab w:leader="none" w:pos="1564"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 Interference</w:t>
      </w:r>
      <w:r>
        <w:rPr>
          <w:rFonts w:ascii="Arial" w:cs="Arial" w:eastAsia="Arial" w:hAnsi="Arial"/>
          <w:sz w:val="16"/>
          <w:szCs w:val="16"/>
          <w:color w:val="auto"/>
        </w:rPr>
        <w:t>. The existence of the Plan, any Award Agreement, and the Awards granted hereunder shall not affect or restrict in any way the right or power of the Company, the Board, the Committee,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451485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or preferred or prior preference stocks whose rights are superior to or affect the Common Stock or the rights thereof or that are convertible into or exchangeable for Common Stock, or the dissolution or liquidation of the Company or any Affiliate, or any sale or transfer of all or any part of their assets or business, or any other corporate act or proceeding, whether of a similar character or otherwise.</w:t>
      </w:r>
    </w:p>
    <w:p>
      <w:pPr>
        <w:spacing w:after="0" w:line="149" w:lineRule="exact"/>
        <w:rPr>
          <w:sz w:val="20"/>
          <w:szCs w:val="20"/>
          <w:color w:val="auto"/>
        </w:rPr>
      </w:pPr>
    </w:p>
    <w:p>
      <w:pPr>
        <w:jc w:val="both"/>
        <w:ind w:firstLine="1304"/>
        <w:spacing w:after="0" w:line="263" w:lineRule="auto"/>
        <w:tabs>
          <w:tab w:leader="none" w:pos="156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The expenses of administering the Plan shall be borne by the Company and its Affiliates. The titles and headings of the sections in the Plan are for convenience of reference only, and in the event of any conflict, the text of the Plan, rather than such titles or headings shall control.</w:t>
      </w:r>
    </w:p>
    <w:p>
      <w:pPr>
        <w:spacing w:after="0" w:line="183" w:lineRule="exact"/>
        <w:rPr>
          <w:rFonts w:ascii="Arial" w:cs="Arial" w:eastAsia="Arial" w:hAnsi="Arial"/>
          <w:sz w:val="18"/>
          <w:szCs w:val="18"/>
          <w:color w:val="auto"/>
        </w:rPr>
      </w:pPr>
    </w:p>
    <w:p>
      <w:pPr>
        <w:ind w:left="478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adopted by the Board of Directors of the Company on January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5" w:name="page156"/>
    <w:bookmarkEnd w:id="155"/>
    <w:p>
      <w:pPr>
        <w:ind w:left="7720"/>
        <w:spacing w:after="0"/>
        <w:rPr>
          <w:sz w:val="20"/>
          <w:szCs w:val="20"/>
          <w:color w:val="auto"/>
        </w:rPr>
      </w:pPr>
      <w:r>
        <w:rPr>
          <w:rFonts w:ascii="Arial" w:cs="Arial" w:eastAsia="Arial" w:hAnsi="Arial"/>
          <w:sz w:val="17"/>
          <w:szCs w:val="17"/>
          <w:b w:val="1"/>
          <w:bCs w:val="1"/>
          <w:color w:val="auto"/>
        </w:rPr>
        <w:t>Exhibit 10.46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THIRD AMENDMENT TO LEASE AGREEMENT</w:t>
      </w:r>
    </w:p>
    <w:p>
      <w:pPr>
        <w:spacing w:after="0" w:line="247" w:lineRule="exact"/>
        <w:rPr>
          <w:sz w:val="20"/>
          <w:szCs w:val="20"/>
          <w:color w:val="auto"/>
        </w:rPr>
      </w:pPr>
    </w:p>
    <w:p>
      <w:pPr>
        <w:jc w:val="both"/>
        <w:ind w:left="200" w:right="219" w:firstLine="659"/>
        <w:spacing w:after="0" w:line="238" w:lineRule="auto"/>
        <w:rPr>
          <w:sz w:val="20"/>
          <w:szCs w:val="20"/>
          <w:color w:val="auto"/>
        </w:rPr>
      </w:pPr>
      <w:r>
        <w:rPr>
          <w:rFonts w:ascii="Arial" w:cs="Arial" w:eastAsia="Arial" w:hAnsi="Arial"/>
          <w:sz w:val="22"/>
          <w:szCs w:val="22"/>
          <w:color w:val="auto"/>
        </w:rPr>
        <w:t>This Amendment to Lease Agreement (this "</w:t>
      </w:r>
      <w:r>
        <w:rPr>
          <w:rFonts w:ascii="Arial" w:cs="Arial" w:eastAsia="Arial" w:hAnsi="Arial"/>
          <w:sz w:val="22"/>
          <w:szCs w:val="22"/>
          <w:u w:val="single" w:color="auto"/>
          <w:color w:val="auto"/>
        </w:rPr>
        <w:t>Third Amendment</w:t>
      </w:r>
      <w:r>
        <w:rPr>
          <w:rFonts w:ascii="Arial" w:cs="Arial" w:eastAsia="Arial" w:hAnsi="Arial"/>
          <w:sz w:val="22"/>
          <w:szCs w:val="22"/>
          <w:color w:val="auto"/>
        </w:rPr>
        <w:t>") is made and entered into as of the 9</w:t>
      </w:r>
      <w:r>
        <w:rPr>
          <w:rFonts w:ascii="Arial" w:cs="Arial" w:eastAsia="Arial" w:hAnsi="Arial"/>
          <w:sz w:val="16"/>
          <w:szCs w:val="16"/>
          <w:color w:val="auto"/>
        </w:rPr>
        <w:t>th</w:t>
      </w:r>
      <w:r>
        <w:rPr>
          <w:rFonts w:ascii="Arial" w:cs="Arial" w:eastAsia="Arial" w:hAnsi="Arial"/>
          <w:sz w:val="22"/>
          <w:szCs w:val="22"/>
          <w:color w:val="auto"/>
        </w:rPr>
        <w:t xml:space="preserve"> day of November, 2021, by and between 300 ROUSE BOULEVARD,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 IOVANCE BIOTHERAPEUTICS, INC.,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left="200" w:right="219" w:firstLine="660"/>
        <w:spacing w:after="0" w:line="235" w:lineRule="auto"/>
        <w:rPr>
          <w:sz w:val="20"/>
          <w:szCs w:val="20"/>
          <w:color w:val="auto"/>
        </w:rPr>
      </w:pPr>
      <w:r>
        <w:rPr>
          <w:rFonts w:ascii="Arial" w:cs="Arial" w:eastAsia="Arial" w:hAnsi="Arial"/>
          <w:sz w:val="22"/>
          <w:szCs w:val="22"/>
          <w:color w:val="auto"/>
        </w:rPr>
        <w:t>WHEREAS, Landlord and Tenant entered into that certain Lease Agreement dated May 28, 2019, as amended by that certain First Amendment to Lease Agreement dated August 20, 2019, and that certain Second Amendment to Lease Agreement dated June 20, 2020 (as so amended, the "</w:t>
      </w:r>
      <w:r>
        <w:rPr>
          <w:rFonts w:ascii="Arial" w:cs="Arial" w:eastAsia="Arial" w:hAnsi="Arial"/>
          <w:sz w:val="22"/>
          <w:szCs w:val="22"/>
          <w:u w:val="single" w:color="auto"/>
          <w:color w:val="auto"/>
        </w:rPr>
        <w:t>Lease</w:t>
      </w:r>
      <w:r>
        <w:rPr>
          <w:rFonts w:ascii="Arial" w:cs="Arial" w:eastAsia="Arial" w:hAnsi="Arial"/>
          <w:sz w:val="22"/>
          <w:szCs w:val="22"/>
          <w:color w:val="auto"/>
        </w:rPr>
        <w:t>") covering approximately 135,814 rentable square feet in the Building located at 300 Rouse Boulevard, Navy Yard, Philadelphia, Pennsylvania, as more particularly described in the Lease (the "Premises");</w:t>
      </w:r>
    </w:p>
    <w:p>
      <w:pPr>
        <w:spacing w:after="0" w:line="228" w:lineRule="exact"/>
        <w:rPr>
          <w:sz w:val="20"/>
          <w:szCs w:val="20"/>
          <w:color w:val="auto"/>
        </w:rPr>
      </w:pPr>
    </w:p>
    <w:p>
      <w:pPr>
        <w:jc w:val="both"/>
        <w:ind w:left="200" w:right="219" w:firstLine="648"/>
        <w:spacing w:after="0" w:line="275" w:lineRule="auto"/>
        <w:rPr>
          <w:sz w:val="20"/>
          <w:szCs w:val="20"/>
          <w:color w:val="auto"/>
        </w:rPr>
      </w:pPr>
      <w:r>
        <w:rPr>
          <w:rFonts w:ascii="Arial" w:cs="Arial" w:eastAsia="Arial" w:hAnsi="Arial"/>
          <w:sz w:val="19"/>
          <w:szCs w:val="19"/>
          <w:color w:val="auto"/>
        </w:rPr>
        <w:t>WHEREAS, Landlord acquired the Land (as defined in the Lease) pursuant to that certain Agreement of Sale and Purchase dated August 9, 2019, between the Philadelphia Authority for Industrial Development ("</w:t>
      </w:r>
      <w:r>
        <w:rPr>
          <w:rFonts w:ascii="Arial" w:cs="Arial" w:eastAsia="Arial" w:hAnsi="Arial"/>
          <w:sz w:val="19"/>
          <w:szCs w:val="19"/>
          <w:u w:val="single" w:color="auto"/>
          <w:color w:val="auto"/>
        </w:rPr>
        <w:t>PAID</w:t>
      </w:r>
      <w:r>
        <w:rPr>
          <w:rFonts w:ascii="Arial" w:cs="Arial" w:eastAsia="Arial" w:hAnsi="Arial"/>
          <w:sz w:val="19"/>
          <w:szCs w:val="19"/>
          <w:color w:val="auto"/>
        </w:rPr>
        <w:t>"), as seller, and Landlord, as purchaser (as amended, the "</w:t>
      </w:r>
      <w:r>
        <w:rPr>
          <w:rFonts w:ascii="Arial" w:cs="Arial" w:eastAsia="Arial" w:hAnsi="Arial"/>
          <w:sz w:val="19"/>
          <w:szCs w:val="19"/>
          <w:u w:val="single" w:color="auto"/>
          <w:color w:val="auto"/>
        </w:rPr>
        <w:t>Agreement of Sale</w:t>
      </w:r>
      <w:r>
        <w:rPr>
          <w:rFonts w:ascii="Arial" w:cs="Arial" w:eastAsia="Arial" w:hAnsi="Arial"/>
          <w:sz w:val="19"/>
          <w:szCs w:val="19"/>
          <w:color w:val="auto"/>
        </w:rPr>
        <w:t xml:space="preserve">"). In accordance with the requirements of the Agreement of Sale, Landlord has subdivided the Property into two parcels as follows: (i) the Retained Parcel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which has been retained by Landlord and contains the Building and the Premises (each as defined in the Lease), and (ii) the "</w:t>
      </w:r>
      <w:r>
        <w:rPr>
          <w:rFonts w:ascii="Arial" w:cs="Arial" w:eastAsia="Arial" w:hAnsi="Arial"/>
          <w:sz w:val="19"/>
          <w:szCs w:val="19"/>
          <w:u w:val="single" w:color="auto"/>
          <w:color w:val="auto"/>
        </w:rPr>
        <w:t>Reconveyance Parcel</w:t>
      </w:r>
      <w:r>
        <w:rPr>
          <w:rFonts w:ascii="Arial" w:cs="Arial" w:eastAsia="Arial" w:hAnsi="Arial"/>
          <w:sz w:val="19"/>
          <w:szCs w:val="19"/>
          <w:color w:val="auto"/>
        </w:rPr>
        <w:t xml:space="preserve">" described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which has been conveyed to PAID in accordance with the Agreement of Sale;</w:t>
      </w:r>
    </w:p>
    <w:p>
      <w:pPr>
        <w:spacing w:after="0" w:line="130"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WHEREAS, the Reconveyance Parcel was conveyed to PAID (the "</w:t>
      </w:r>
      <w:r>
        <w:rPr>
          <w:rFonts w:ascii="Arial" w:cs="Arial" w:eastAsia="Arial" w:hAnsi="Arial"/>
          <w:sz w:val="19"/>
          <w:szCs w:val="19"/>
          <w:u w:val="single" w:color="auto"/>
          <w:color w:val="auto"/>
        </w:rPr>
        <w:t>Reconveyance</w:t>
      </w:r>
      <w:r>
        <w:rPr>
          <w:rFonts w:ascii="Arial" w:cs="Arial" w:eastAsia="Arial" w:hAnsi="Arial"/>
          <w:sz w:val="19"/>
          <w:szCs w:val="19"/>
          <w:color w:val="auto"/>
        </w:rPr>
        <w:t>") subject to a recorded Declaration of Easements with Covenants, Conditions and Restrictions in the form contemplated under the Agreement of Sale (the "</w:t>
      </w:r>
      <w:r>
        <w:rPr>
          <w:rFonts w:ascii="Arial" w:cs="Arial" w:eastAsia="Arial" w:hAnsi="Arial"/>
          <w:sz w:val="19"/>
          <w:szCs w:val="19"/>
          <w:u w:val="single" w:color="auto"/>
          <w:color w:val="auto"/>
        </w:rPr>
        <w:t>Easement Agreement</w:t>
      </w:r>
      <w:r>
        <w:rPr>
          <w:rFonts w:ascii="Arial" w:cs="Arial" w:eastAsia="Arial" w:hAnsi="Arial"/>
          <w:sz w:val="19"/>
          <w:szCs w:val="19"/>
          <w:color w:val="auto"/>
        </w:rPr>
        <w:t>") which, among other things, provides for parking in favor of the Premises on the Reconveyance Parcel;</w:t>
      </w:r>
    </w:p>
    <w:p>
      <w:pPr>
        <w:spacing w:after="0" w:line="156"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WHEREAS, Tenant has certain rights under the Lease with respect to the Property, including, without limitation, the right to purchase the Property pursuant to the Right of First Offer to Purchase set forth in Section 30 of the Lease and the Option to Purchase the Property set forth in Section 31 of the Lease; and</w:t>
      </w:r>
    </w:p>
    <w:p>
      <w:pPr>
        <w:spacing w:after="0" w:line="198"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WHEREAS, Landlord and Tenant now desire to amend the Lease to, among other things, make clear that the definition of "Land" in the Lease (and, correspondingly, the definition of "Property" in the Lease), means only the Retained Parcel.</w:t>
      </w:r>
    </w:p>
    <w:p>
      <w:pPr>
        <w:spacing w:after="0" w:line="186" w:lineRule="exact"/>
        <w:rPr>
          <w:sz w:val="20"/>
          <w:szCs w:val="20"/>
          <w:color w:val="auto"/>
        </w:rPr>
      </w:pPr>
    </w:p>
    <w:p>
      <w:pPr>
        <w:jc w:val="both"/>
        <w:ind w:left="200" w:right="219" w:firstLine="659"/>
        <w:spacing w:after="0"/>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intending to be legally bound, hereby agree to amend the Lease as follows:</w:t>
      </w:r>
    </w:p>
    <w:p>
      <w:pPr>
        <w:spacing w:after="0" w:line="227" w:lineRule="exact"/>
        <w:rPr>
          <w:sz w:val="20"/>
          <w:szCs w:val="20"/>
          <w:color w:val="auto"/>
        </w:rPr>
      </w:pPr>
    </w:p>
    <w:p>
      <w:pPr>
        <w:jc w:val="both"/>
        <w:ind w:left="200" w:right="219" w:firstLine="7"/>
        <w:spacing w:after="0"/>
        <w:tabs>
          <w:tab w:leader="none" w:pos="84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Recitals; Defined Terms</w:t>
      </w:r>
      <w:r>
        <w:rPr>
          <w:rFonts w:ascii="Arial" w:cs="Arial" w:eastAsia="Arial" w:hAnsi="Arial"/>
          <w:sz w:val="22"/>
          <w:szCs w:val="22"/>
          <w:color w:val="auto"/>
        </w:rPr>
        <w:t>. The recitals set forth above are incorporated herein by this reference. All capitalized terms used herein without definition shall have the respective meanings ascribed to such terms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337820</wp:posOffset>
            </wp:positionV>
            <wp:extent cx="55892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6">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6" w:name="page157"/>
    <w:bookmarkEnd w:id="156"/>
    <w:p>
      <w:pPr>
        <w:jc w:val="both"/>
        <w:ind w:left="200" w:right="219" w:firstLine="7"/>
        <w:spacing w:after="0" w:line="246" w:lineRule="auto"/>
        <w:tabs>
          <w:tab w:leader="none" w:pos="848"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Amendment to Section l(a)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1(a)</w:t>
      </w:r>
      <w:r>
        <w:rPr>
          <w:rFonts w:ascii="Arial" w:cs="Arial" w:eastAsia="Arial" w:hAnsi="Arial"/>
          <w:sz w:val="21"/>
          <w:szCs w:val="21"/>
          <w:color w:val="auto"/>
        </w:rPr>
        <w:t xml:space="preserve"> of the Lease is hereby amended such that the definition of "Land" as used in the Lease shall mean the Retained Parcel, together with all rights and appurtenances thereto including, without limitation, all rights and privileges in favor of the Retained Parcel set forth in the Easement Agreement. For the avoidance of doubt, the Land shall not include the Reconveyance Parcel. The parties acknowledge and agree that </w:t>
      </w:r>
      <w:r>
        <w:rPr>
          <w:rFonts w:ascii="Arial" w:cs="Arial" w:eastAsia="Arial" w:hAnsi="Arial"/>
          <w:sz w:val="21"/>
          <w:szCs w:val="21"/>
          <w:u w:val="single" w:color="auto"/>
          <w:color w:val="auto"/>
        </w:rPr>
        <w:t>Sections 30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31</w:t>
      </w:r>
      <w:r>
        <w:rPr>
          <w:rFonts w:ascii="Arial" w:cs="Arial" w:eastAsia="Arial" w:hAnsi="Arial"/>
          <w:sz w:val="21"/>
          <w:szCs w:val="21"/>
          <w:color w:val="auto"/>
        </w:rPr>
        <w:t xml:space="preserve"> of the Lease do not apply to the Reconveynace and the Reconveyance does not diminish Tenant's rights under the Lease, as hereby amended, including, without limitation, Tenant's rights under </w:t>
      </w:r>
      <w:r>
        <w:rPr>
          <w:rFonts w:ascii="Arial" w:cs="Arial" w:eastAsia="Arial" w:hAnsi="Arial"/>
          <w:sz w:val="21"/>
          <w:szCs w:val="21"/>
          <w:u w:val="single" w:color="auto"/>
          <w:color w:val="auto"/>
        </w:rPr>
        <w:t>Sections 29</w:t>
      </w:r>
      <w:r>
        <w:rPr>
          <w:rFonts w:ascii="Arial" w:cs="Arial" w:eastAsia="Arial" w:hAnsi="Arial"/>
          <w:sz w:val="21"/>
          <w:szCs w:val="21"/>
          <w:color w:val="auto"/>
        </w:rPr>
        <w:t xml:space="preserve">, </w:t>
      </w:r>
      <w:r>
        <w:rPr>
          <w:rFonts w:ascii="Arial" w:cs="Arial" w:eastAsia="Arial" w:hAnsi="Arial"/>
          <w:sz w:val="21"/>
          <w:szCs w:val="21"/>
          <w:u w:val="single" w:color="auto"/>
          <w:color w:val="auto"/>
        </w:rPr>
        <w:t>30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31</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jc w:val="both"/>
        <w:ind w:left="200" w:right="219" w:firstLine="7"/>
        <w:spacing w:after="0" w:line="235" w:lineRule="auto"/>
        <w:tabs>
          <w:tab w:leader="none" w:pos="84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Deletion of Key Man Provision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of the Lease is hereby deleted in its entirety. The parties acknowledge and agree that </w:t>
      </w:r>
      <w:r>
        <w:rPr>
          <w:rFonts w:ascii="Arial" w:cs="Arial" w:eastAsia="Arial" w:hAnsi="Arial"/>
          <w:sz w:val="22"/>
          <w:szCs w:val="22"/>
          <w:u w:val="single" w:color="auto"/>
          <w:color w:val="auto"/>
        </w:rPr>
        <w:t>Sections 30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w:t>
      </w:r>
      <w:r>
        <w:rPr>
          <w:rFonts w:ascii="Arial" w:cs="Arial" w:eastAsia="Arial" w:hAnsi="Arial"/>
          <w:sz w:val="22"/>
          <w:szCs w:val="22"/>
          <w:color w:val="auto"/>
        </w:rPr>
        <w:t xml:space="preserve"> of the Lease do not apply to the transfer of GDP's interest in Landlord to an Affiliate of Landlord and the removal of Gattuso as an indirect managing member of Landlord (the "</w:t>
      </w:r>
      <w:r>
        <w:rPr>
          <w:rFonts w:ascii="Arial" w:cs="Arial" w:eastAsia="Arial" w:hAnsi="Arial"/>
          <w:sz w:val="22"/>
          <w:szCs w:val="22"/>
          <w:u w:val="single" w:color="auto"/>
          <w:color w:val="auto"/>
        </w:rPr>
        <w:t>GDP Buy-Out</w:t>
      </w:r>
      <w:r>
        <w:rPr>
          <w:rFonts w:ascii="Arial" w:cs="Arial" w:eastAsia="Arial" w:hAnsi="Arial"/>
          <w:sz w:val="22"/>
          <w:szCs w:val="22"/>
          <w:color w:val="auto"/>
        </w:rPr>
        <w:t xml:space="preserve">") and the GDP Buy-Out does not diminish Tenant's rights under the Lease, as hereby amended, including, without limitation, Tenant's rights under </w:t>
      </w:r>
      <w:r>
        <w:rPr>
          <w:rFonts w:ascii="Arial" w:cs="Arial" w:eastAsia="Arial" w:hAnsi="Arial"/>
          <w:sz w:val="22"/>
          <w:szCs w:val="22"/>
          <w:u w:val="single" w:color="auto"/>
          <w:color w:val="auto"/>
        </w:rPr>
        <w:t>Sections 29</w:t>
      </w:r>
      <w:r>
        <w:rPr>
          <w:rFonts w:ascii="Arial" w:cs="Arial" w:eastAsia="Arial" w:hAnsi="Arial"/>
          <w:sz w:val="22"/>
          <w:szCs w:val="22"/>
          <w:color w:val="auto"/>
        </w:rPr>
        <w:t xml:space="preserve">, </w:t>
      </w:r>
      <w:r>
        <w:rPr>
          <w:rFonts w:ascii="Arial" w:cs="Arial" w:eastAsia="Arial" w:hAnsi="Arial"/>
          <w:sz w:val="22"/>
          <w:szCs w:val="22"/>
          <w:u w:val="single" w:color="auto"/>
          <w:color w:val="auto"/>
        </w:rPr>
        <w:t>30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00" w:right="239" w:firstLine="7"/>
        <w:spacing w:after="0" w:line="250" w:lineRule="auto"/>
        <w:tabs>
          <w:tab w:leader="none" w:pos="84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Addresses for Notices</w:t>
      </w:r>
      <w:r>
        <w:rPr>
          <w:rFonts w:ascii="Arial" w:cs="Arial" w:eastAsia="Arial" w:hAnsi="Arial"/>
          <w:sz w:val="22"/>
          <w:szCs w:val="22"/>
          <w:color w:val="auto"/>
        </w:rPr>
        <w:t xml:space="preserve">. Landlord's address for notice purposes listed in </w:t>
      </w:r>
      <w:r>
        <w:rPr>
          <w:rFonts w:ascii="Arial" w:cs="Arial" w:eastAsia="Arial" w:hAnsi="Arial"/>
          <w:sz w:val="22"/>
          <w:szCs w:val="22"/>
          <w:u w:val="single" w:color="auto"/>
          <w:color w:val="auto"/>
        </w:rPr>
        <w:t>Section 1(r)</w:t>
      </w:r>
      <w:r>
        <w:rPr>
          <w:rFonts w:ascii="Arial" w:cs="Arial" w:eastAsia="Arial" w:hAnsi="Arial"/>
          <w:sz w:val="22"/>
          <w:szCs w:val="22"/>
          <w:color w:val="auto"/>
        </w:rPr>
        <w:t xml:space="preserve"> is hereby amended as follows:</w:t>
      </w:r>
    </w:p>
    <w:p>
      <w:pPr>
        <w:sectPr>
          <w:pgSz w:w="11900" w:h="16838" w:orient="portrait"/>
          <w:cols w:equalWidth="0" w:num="1">
            <w:col w:w="9019"/>
          </w:cols>
          <w:pgMar w:left="1440" w:top="132" w:right="1440" w:bottom="1440" w:gutter="0" w:footer="0" w:header="0"/>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Landlord: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300 Rouse Boulevard, LLC, c/o Ensemble Investments, LLC</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444 West Ocean Blvd, Suite 650</w:t>
      </w:r>
    </w:p>
    <w:p>
      <w:pPr>
        <w:ind w:left="20"/>
        <w:spacing w:after="0" w:line="230" w:lineRule="auto"/>
        <w:rPr>
          <w:sz w:val="20"/>
          <w:szCs w:val="20"/>
          <w:color w:val="auto"/>
        </w:rPr>
      </w:pPr>
      <w:r>
        <w:rPr>
          <w:rFonts w:ascii="Arial" w:cs="Arial" w:eastAsia="Arial" w:hAnsi="Arial"/>
          <w:sz w:val="22"/>
          <w:szCs w:val="22"/>
          <w:color w:val="auto"/>
        </w:rPr>
        <w:t>Long Beach, CA 90802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Attn: Kambiz Babaoff</w:t>
      </w:r>
    </w:p>
    <w:p>
      <w:pPr>
        <w:spacing w:after="0" w:line="200" w:lineRule="exact"/>
        <w:rPr>
          <w:sz w:val="20"/>
          <w:szCs w:val="20"/>
          <w:color w:val="auto"/>
        </w:rPr>
      </w:pPr>
    </w:p>
    <w:p>
      <w:pPr>
        <w:sectPr>
          <w:pgSz w:w="11900" w:h="16838" w:orient="portrait"/>
          <w:cols w:equalWidth="0" w:num="2">
            <w:col w:w="1420" w:space="720"/>
            <w:col w:w="6879"/>
          </w:cols>
          <w:pgMar w:left="1440" w:top="132" w:right="1440"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300 Rouse Boulevard, LLC</w:t>
      </w:r>
    </w:p>
    <w:p>
      <w:pPr>
        <w:ind w:left="20"/>
        <w:spacing w:after="0" w:line="238" w:lineRule="auto"/>
        <w:rPr>
          <w:sz w:val="20"/>
          <w:szCs w:val="20"/>
          <w:color w:val="auto"/>
        </w:rPr>
      </w:pPr>
      <w:r>
        <w:rPr>
          <w:rFonts w:ascii="Arial" w:cs="Arial" w:eastAsia="Arial" w:hAnsi="Arial"/>
          <w:sz w:val="22"/>
          <w:szCs w:val="22"/>
          <w:color w:val="auto"/>
        </w:rPr>
        <w:t>c/o Ensemble Investments, LLC</w:t>
      </w:r>
    </w:p>
    <w:p>
      <w:pPr>
        <w:ind w:left="20"/>
        <w:spacing w:after="0" w:line="230" w:lineRule="auto"/>
        <w:rPr>
          <w:sz w:val="20"/>
          <w:szCs w:val="20"/>
          <w:color w:val="auto"/>
        </w:rPr>
      </w:pPr>
      <w:r>
        <w:rPr>
          <w:rFonts w:ascii="Arial" w:cs="Arial" w:eastAsia="Arial" w:hAnsi="Arial"/>
          <w:sz w:val="22"/>
          <w:szCs w:val="22"/>
          <w:color w:val="auto"/>
        </w:rPr>
        <w:t>150 Rouse Boulevard, Suite 100</w:t>
      </w:r>
    </w:p>
    <w:p>
      <w:pPr>
        <w:ind w:left="20"/>
        <w:spacing w:after="0" w:line="231" w:lineRule="auto"/>
        <w:rPr>
          <w:sz w:val="20"/>
          <w:szCs w:val="20"/>
          <w:color w:val="auto"/>
        </w:rPr>
      </w:pPr>
      <w:r>
        <w:rPr>
          <w:rFonts w:ascii="Arial" w:cs="Arial" w:eastAsia="Arial" w:hAnsi="Arial"/>
          <w:sz w:val="22"/>
          <w:szCs w:val="22"/>
          <w:color w:val="auto"/>
        </w:rPr>
        <w:t>Philadelphia, Pennsylvania,</w:t>
      </w:r>
    </w:p>
    <w:p>
      <w:pPr>
        <w:ind w:left="20"/>
        <w:spacing w:after="0"/>
        <w:rPr>
          <w:sz w:val="20"/>
          <w:szCs w:val="20"/>
          <w:color w:val="auto"/>
        </w:rPr>
      </w:pPr>
      <w:r>
        <w:rPr>
          <w:rFonts w:ascii="Arial" w:cs="Arial" w:eastAsia="Arial" w:hAnsi="Arial"/>
          <w:sz w:val="19"/>
          <w:szCs w:val="19"/>
          <w:color w:val="auto"/>
        </w:rPr>
        <w:t>Attn: Senior Vice President, Development - East</w:t>
      </w:r>
    </w:p>
    <w:p>
      <w:pPr>
        <w:spacing w:after="0" w:line="200" w:lineRule="exact"/>
        <w:rPr>
          <w:sz w:val="20"/>
          <w:szCs w:val="20"/>
          <w:color w:val="auto"/>
        </w:rPr>
      </w:pPr>
    </w:p>
    <w:p>
      <w:pPr>
        <w:sectPr>
          <w:pgSz w:w="11900" w:h="16838" w:orient="portrait"/>
          <w:cols w:equalWidth="0" w:num="2">
            <w:col w:w="1500" w:space="640"/>
            <w:col w:w="6879"/>
          </w:cols>
          <w:pgMar w:left="1440" w:top="132" w:right="1440" w:bottom="1440" w:gutter="0" w:footer="0" w:header="0"/>
          <w:type w:val="continuous"/>
        </w:sectPr>
      </w:pPr>
    </w:p>
    <w:p>
      <w:pPr>
        <w:spacing w:after="0" w:line="50" w:lineRule="exact"/>
        <w:rPr>
          <w:sz w:val="20"/>
          <w:szCs w:val="20"/>
          <w:color w:val="auto"/>
        </w:rPr>
      </w:pPr>
    </w:p>
    <w:p>
      <w:pPr>
        <w:jc w:val="both"/>
        <w:ind w:left="200" w:right="219" w:firstLine="7"/>
        <w:spacing w:after="0" w:line="297" w:lineRule="auto"/>
        <w:tabs>
          <w:tab w:leader="none" w:pos="848"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Ratification of Certain Remedies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of the Lease provides, under certain circumstances, for the remedy of confession of judgment against the Tenant for ejectment. In order to confirm and ratify such remedy, Tenant restates the same in its entirety as follows:</w:t>
      </w:r>
    </w:p>
    <w:p>
      <w:pPr>
        <w:spacing w:after="0" w:line="160" w:lineRule="exact"/>
        <w:rPr>
          <w:rFonts w:ascii="Arial" w:cs="Arial" w:eastAsia="Arial" w:hAnsi="Arial"/>
          <w:sz w:val="19"/>
          <w:szCs w:val="19"/>
          <w:color w:val="auto"/>
        </w:rPr>
      </w:pPr>
    </w:p>
    <w:p>
      <w:pPr>
        <w:jc w:val="both"/>
        <w:ind w:left="1180" w:right="1199" w:hanging="1"/>
        <w:spacing w:after="0" w:line="245" w:lineRule="auto"/>
        <w:tabs>
          <w:tab w:leader="none" w:pos="1569" w:val="left"/>
        </w:tabs>
        <w:numPr>
          <w:ilvl w:val="1"/>
          <w:numId w:val="76"/>
        </w:numPr>
        <w:rPr>
          <w:rFonts w:ascii="Arial" w:cs="Arial" w:eastAsia="Arial" w:hAnsi="Arial"/>
          <w:sz w:val="22"/>
          <w:szCs w:val="22"/>
          <w:color w:val="auto"/>
        </w:rPr>
      </w:pPr>
      <w:r>
        <w:rPr>
          <w:rFonts w:ascii="Arial" w:cs="Arial" w:eastAsia="Arial" w:hAnsi="Arial"/>
          <w:sz w:val="22"/>
          <w:szCs w:val="22"/>
          <w:color w:val="auto"/>
        </w:rPr>
        <w:t>WHEN THIS LEASE AND THE TERM OR ANY EXTENSION THEREOF SHALL HAVE BEEN TERMINATED ON ACCOUNT OF ANY DEFAULT BY TENANT, OR WHEN THE TERM OR ANY EXTENSION THEREOF SHALL HAVE EXPIRED, TENANT HEREBY AUTHORIZES ANY ATTORNEY OF ANY COURT OF RECORD OF THE COMMONWEALTH OF PENNSYLVANIA TO APPEAR FOR TENANT AND FOR ANYONE CLAIMING BY, THROUGH OR UNDER TENANT AND TO CONFESS JUDGMENT AGAINST ALL SUCH PARTIES, AND IN FAVOR OF LANDLORD, IN EJECTMENT AND FOR THE RECOVERY OF POSSESSION OF THE PREMISES, FOR WHICH THIS LEASE OR A TRUE AND CORRECT COPY HEREOF SHALL BE GOOD AND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334645</wp:posOffset>
            </wp:positionV>
            <wp:extent cx="558927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7">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type w:val="continuous"/>
        </w:sectPr>
      </w:pPr>
    </w:p>
    <w:bookmarkStart w:id="157" w:name="page158"/>
    <w:bookmarkEnd w:id="157"/>
    <w:p>
      <w:pPr>
        <w:jc w:val="both"/>
        <w:ind w:left="1180" w:right="1199"/>
        <w:spacing w:after="0" w:line="257" w:lineRule="auto"/>
        <w:rPr>
          <w:sz w:val="20"/>
          <w:szCs w:val="20"/>
          <w:color w:val="auto"/>
        </w:rPr>
      </w:pPr>
      <w:r>
        <w:rPr>
          <w:rFonts w:ascii="Arial" w:cs="Arial" w:eastAsia="Arial" w:hAnsi="Arial"/>
          <w:sz w:val="21"/>
          <w:szCs w:val="21"/>
          <w:color w:val="auto"/>
        </w:rPr>
        <w:t>WARRANT. AFTER THE ENTRY OF ANY SUCH JUDGMENT A WRIT OF POSSESSION MAY BE ISSUED THEREON WITHOUT FURTHER NOTICE TO TENANT AND WITHOUT A HEARING. IF FOR ANY REASON AFTER SUCH ACTION SHALL HAVE BEEN COMMENCED IT SHALL BE DETERMINED AND POSSESSION OF THE PREMISES REMAIN IN OR BE RESTORED TO TENANT, LANDLORD SHALL HAVE THE RIGHT FOR THE SAME DEFAULT AND UPON ANY SUBSEQUENT DEFAULT(S) OR UPON THE TERMINATION OF THIS LEASE OR TENANT'S RIGHT OF POSSESSION AS HEREIN SET FORTH, TO AGAIN CONFESS JUDGMENT AS HEREIN PROVIDED, FOR WHICH THIS LEASE OR A TRUE AND CORRECT COPY HEREOF SHALL BE GOOD AND SUFFICIENT WARRANT.</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Initials on behalf of Tenant:  </w:t>
      </w:r>
      <w:r>
        <w:rPr>
          <w:rFonts w:ascii="Arial" w:cs="Arial" w:eastAsia="Arial" w:hAnsi="Arial"/>
          <w:sz w:val="18"/>
          <w:szCs w:val="18"/>
          <w:b w:val="1"/>
          <w:bCs w:val="1"/>
          <w:color w:val="auto"/>
        </w:rPr>
        <w:t>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-7620</wp:posOffset>
            </wp:positionV>
            <wp:extent cx="2070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8">
                      <a:extLst>
                        <a:ext uri="{28A0092B-C50C-407E-A947-70E740481C1C}"/>
                      </a:extLst>
                    </a:blip>
                    <a:srcRect/>
                    <a:stretch>
                      <a:fillRect/>
                    </a:stretch>
                  </pic:blipFill>
                  <pic:spPr bwMode="auto">
                    <a:xfrm>
                      <a:off x="0" y="0"/>
                      <a:ext cx="207010" cy="8255"/>
                    </a:xfrm>
                    <a:prstGeom prst="rect">
                      <a:avLst/>
                    </a:prstGeom>
                    <a:noFill/>
                  </pic:spPr>
                </pic:pic>
              </a:graphicData>
            </a:graphic>
          </wp:anchor>
        </w:drawing>
      </w:r>
    </w:p>
    <w:p>
      <w:pPr>
        <w:spacing w:after="0" w:line="175" w:lineRule="exact"/>
        <w:rPr>
          <w:sz w:val="20"/>
          <w:szCs w:val="20"/>
          <w:color w:val="auto"/>
        </w:rPr>
      </w:pPr>
    </w:p>
    <w:p>
      <w:pPr>
        <w:jc w:val="both"/>
        <w:ind w:left="1180" w:right="1199" w:hanging="1"/>
        <w:spacing w:after="0" w:line="246" w:lineRule="auto"/>
        <w:tabs>
          <w:tab w:leader="none" w:pos="1669"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WARRANT TO CONFESS JUDGMENT SET FORTH ABOVE SHALL CONTINUE IN FULL FORCE AND EFFECT AND BE UNAFFECTED BY AMENDMENTS TO THIS LEASE OR OTHER AGREEMENTS BETWEEN LANDLORD AND TENANT EVEN IF ANY SUCH AMENDMENTS OR OTHER AGREEMENTS INCREASE TENANT'S OBLIGATIONS OR EXPAND THE SIZE OF THE PREMISES.</w:t>
      </w:r>
    </w:p>
    <w:p>
      <w:pPr>
        <w:spacing w:after="0" w:line="209" w:lineRule="exact"/>
        <w:rPr>
          <w:rFonts w:ascii="Arial" w:cs="Arial" w:eastAsia="Arial" w:hAnsi="Arial"/>
          <w:sz w:val="22"/>
          <w:szCs w:val="22"/>
          <w:color w:val="auto"/>
        </w:rPr>
      </w:pPr>
    </w:p>
    <w:p>
      <w:pPr>
        <w:jc w:val="both"/>
        <w:ind w:left="1180" w:right="1199" w:hanging="1"/>
        <w:spacing w:after="0" w:line="257" w:lineRule="auto"/>
        <w:tabs>
          <w:tab w:leader="none" w:pos="1612" w:val="left"/>
        </w:tabs>
        <w:numPr>
          <w:ilvl w:val="0"/>
          <w:numId w:val="77"/>
        </w:numPr>
        <w:rPr>
          <w:rFonts w:ascii="Arial" w:cs="Arial" w:eastAsia="Arial" w:hAnsi="Arial"/>
          <w:sz w:val="21"/>
          <w:szCs w:val="21"/>
          <w:color w:val="auto"/>
        </w:rPr>
      </w:pPr>
      <w:r>
        <w:rPr>
          <w:rFonts w:ascii="Arial" w:cs="Arial" w:eastAsia="Arial" w:hAnsi="Arial"/>
          <w:sz w:val="21"/>
          <w:szCs w:val="21"/>
          <w:color w:val="auto"/>
        </w:rPr>
        <w:t>TENANT EXPRESSLY AND ABSOLUTELY KNOWINGLY WAIVES AND RELEASES (i) ANY RIGHT, INCLUDING, WITHOUT LIMITATION, UNDER ANY APPLICABLE STATUTE, WHICH TENANT MAY HAVE TO RECEIVE A NOTICE TO QUIT PRIOR TO LANDLORD COMMENCING AN ACTION FOR REPOSSESSION OF THE PREMISES AND (ii) ANY RIGHT WHICH TENANT MAY HAVE TO NOTICE AND TO HEARING PRIOR TO A LEVY UPON OR ATTACHMENT OF TENANT'S PROPERTY OR THEREAFTER AND</w:t>
      </w:r>
    </w:p>
    <w:p>
      <w:pPr>
        <w:spacing w:after="0" w:line="1" w:lineRule="exact"/>
        <w:rPr>
          <w:rFonts w:ascii="Arial" w:cs="Arial" w:eastAsia="Arial" w:hAnsi="Arial"/>
          <w:sz w:val="21"/>
          <w:szCs w:val="21"/>
          <w:color w:val="auto"/>
        </w:rPr>
      </w:pPr>
    </w:p>
    <w:p>
      <w:pPr>
        <w:jc w:val="both"/>
        <w:ind w:left="1180" w:right="1199" w:hanging="1"/>
        <w:spacing w:after="0" w:line="244" w:lineRule="auto"/>
        <w:tabs>
          <w:tab w:leader="none" w:pos="16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PROCEDURAL ERRORS IN CONNECTION WITH THE ENTRY OF ANY SUCH JUDGMENT OR IN THE ISSUANCE OF ANY ONE OR MORE WRITS OF POSSESSION OR EXECUTION OR GARNISHMENT THEREON.</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Initials on behalf of Tenant:  </w:t>
      </w:r>
      <w:r>
        <w:rPr>
          <w:rFonts w:ascii="Arial" w:cs="Arial" w:eastAsia="Arial" w:hAnsi="Arial"/>
          <w:sz w:val="18"/>
          <w:szCs w:val="18"/>
          <w:b w:val="1"/>
          <w:bCs w:val="1"/>
          <w:color w:val="auto"/>
        </w:rPr>
        <w:t>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-7620</wp:posOffset>
            </wp:positionV>
            <wp:extent cx="2070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9">
                      <a:extLst>
                        <a:ext uri="{28A0092B-C50C-407E-A947-70E740481C1C}"/>
                      </a:extLst>
                    </a:blip>
                    <a:srcRect/>
                    <a:stretch>
                      <a:fillRect/>
                    </a:stretch>
                  </pic:blipFill>
                  <pic:spPr bwMode="auto">
                    <a:xfrm>
                      <a:off x="0" y="0"/>
                      <a:ext cx="20701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860" w:hanging="653"/>
        <w:spacing w:after="0"/>
        <w:tabs>
          <w:tab w:leader="none" w:pos="8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Confirmation</w:t>
      </w:r>
      <w:r>
        <w:rPr>
          <w:rFonts w:ascii="Arial" w:cs="Arial" w:eastAsia="Arial" w:hAnsi="Arial"/>
          <w:sz w:val="22"/>
          <w:szCs w:val="22"/>
          <w:color w:val="auto"/>
        </w:rPr>
        <w:t>. Landlord and Tenant hereby confirm and agree that:</w:t>
      </w:r>
    </w:p>
    <w:p>
      <w:pPr>
        <w:spacing w:after="0" w:line="192" w:lineRule="exact"/>
        <w:rPr>
          <w:rFonts w:ascii="Arial" w:cs="Arial" w:eastAsia="Arial" w:hAnsi="Arial"/>
          <w:sz w:val="22"/>
          <w:szCs w:val="22"/>
          <w:color w:val="auto"/>
        </w:rPr>
      </w:pPr>
    </w:p>
    <w:p>
      <w:pPr>
        <w:jc w:val="both"/>
        <w:ind w:left="200" w:right="219" w:firstLine="331"/>
        <w:spacing w:after="0" w:line="238" w:lineRule="auto"/>
        <w:tabs>
          <w:tab w:leader="none" w:pos="848"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Lease is in full force and effect and has not been modified, supplemented or amended in any way, except pursuant to this Third Amendment. The Lease, as amended by this Third Amendment, represents the entire agreement between Landlord and Tenant respecting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1125220</wp:posOffset>
            </wp:positionV>
            <wp:extent cx="55892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0">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158" w:name="page159"/>
    <w:bookmarkEnd w:id="158"/>
    <w:p>
      <w:pPr>
        <w:jc w:val="both"/>
        <w:ind w:left="200" w:right="239" w:firstLine="331"/>
        <w:spacing w:after="0" w:line="287" w:lineRule="auto"/>
        <w:tabs>
          <w:tab w:leader="none" w:pos="848" w:val="left"/>
        </w:tabs>
        <w:numPr>
          <w:ilvl w:val="1"/>
          <w:numId w:val="80"/>
        </w:numPr>
        <w:rPr>
          <w:rFonts w:ascii="Arial" w:cs="Arial" w:eastAsia="Arial" w:hAnsi="Arial"/>
          <w:sz w:val="19"/>
          <w:szCs w:val="19"/>
          <w:color w:val="auto"/>
        </w:rPr>
      </w:pPr>
      <w:r>
        <w:rPr>
          <w:rFonts w:ascii="Arial" w:cs="Arial" w:eastAsia="Arial" w:hAnsi="Arial"/>
          <w:sz w:val="19"/>
          <w:szCs w:val="19"/>
          <w:color w:val="auto"/>
        </w:rPr>
        <w:t>All covenants and conditions required to be performed by Landlord under the Lease prior to the date of this Third Amendment have been satisfied. Landlord is not in default in the performance of any covenant, agreement or condition contained in the Lease, and Tenant has no set off, counterclaim, recoupment or defense with respect to any of its obligations under the Lease.</w:t>
      </w:r>
    </w:p>
    <w:p>
      <w:pPr>
        <w:spacing w:after="0" w:line="156" w:lineRule="exact"/>
        <w:rPr>
          <w:rFonts w:ascii="Arial" w:cs="Arial" w:eastAsia="Arial" w:hAnsi="Arial"/>
          <w:sz w:val="19"/>
          <w:szCs w:val="19"/>
          <w:color w:val="auto"/>
        </w:rPr>
      </w:pPr>
    </w:p>
    <w:p>
      <w:pPr>
        <w:jc w:val="both"/>
        <w:ind w:left="200" w:right="219" w:firstLine="331"/>
        <w:spacing w:after="0" w:line="287" w:lineRule="auto"/>
        <w:tabs>
          <w:tab w:leader="none" w:pos="848" w:val="left"/>
        </w:tabs>
        <w:numPr>
          <w:ilvl w:val="1"/>
          <w:numId w:val="80"/>
        </w:numPr>
        <w:rPr>
          <w:rFonts w:ascii="Arial" w:cs="Arial" w:eastAsia="Arial" w:hAnsi="Arial"/>
          <w:sz w:val="19"/>
          <w:szCs w:val="19"/>
          <w:color w:val="auto"/>
        </w:rPr>
      </w:pPr>
      <w:r>
        <w:rPr>
          <w:rFonts w:ascii="Arial" w:cs="Arial" w:eastAsia="Arial" w:hAnsi="Arial"/>
          <w:sz w:val="19"/>
          <w:szCs w:val="19"/>
          <w:color w:val="auto"/>
        </w:rPr>
        <w:t>All covenants and conditions required to be performed by Tenant under the Lease prior to the date of this Third Amendment have been satisfied. Tenant is not in default in the performance of any covenant, agreement or condition contained in the Lease, and Landlord has no set off, counterclaim, recoupment or defense with respect to any of its obligations under the Lease.</w:t>
      </w:r>
    </w:p>
    <w:p>
      <w:pPr>
        <w:spacing w:after="0" w:line="156" w:lineRule="exact"/>
        <w:rPr>
          <w:rFonts w:ascii="Arial" w:cs="Arial" w:eastAsia="Arial" w:hAnsi="Arial"/>
          <w:sz w:val="19"/>
          <w:szCs w:val="19"/>
          <w:color w:val="auto"/>
        </w:rPr>
      </w:pPr>
    </w:p>
    <w:p>
      <w:pPr>
        <w:jc w:val="both"/>
        <w:ind w:left="200" w:right="219" w:firstLine="331"/>
        <w:spacing w:after="0" w:line="273" w:lineRule="auto"/>
        <w:tabs>
          <w:tab w:leader="none" w:pos="848"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Tenant has subleased the Premises to Iovance Biotherapeutics Manufacturing, LLC, its direct affiliate, pursuant to a sublease dated December 14, 2020 ("Affiliate Sublease"). Tenant plans to sublease a 300+/- sf portion of the Premises to Cardinal Health, Inc or its affiliate (the "Cardinal Sublease"), and in connection therewith, if Tenant determines to proceed with the Cardinal Sublease, Tenant and Iovance Biotherapeutics Manufacturing, LLC shall amend the Affiliate Sublease to exclude from the space sublet thereunder the space to be sublet pursuant to the Cardinal Sublease. Landlord has previously approved the Affiliate Sublease, and Landlord approves the Cardinal Sublease, if executed, and Landlord confirms that Tenant remains the sole "Tenant" under the Lease and neither sublease diminishes Tenant's rights under the Lease, as hereby amended, including, without limitation, Tenant's rights under </w:t>
      </w:r>
      <w:r>
        <w:rPr>
          <w:rFonts w:ascii="Arial" w:cs="Arial" w:eastAsia="Arial" w:hAnsi="Arial"/>
          <w:sz w:val="19"/>
          <w:szCs w:val="19"/>
          <w:u w:val="single" w:color="auto"/>
          <w:color w:val="auto"/>
        </w:rPr>
        <w:t>Sections 29</w:t>
      </w:r>
      <w:r>
        <w:rPr>
          <w:rFonts w:ascii="Arial" w:cs="Arial" w:eastAsia="Arial" w:hAnsi="Arial"/>
          <w:sz w:val="19"/>
          <w:szCs w:val="19"/>
          <w:color w:val="auto"/>
        </w:rPr>
        <w:t xml:space="preserve">, </w:t>
      </w:r>
      <w:r>
        <w:rPr>
          <w:rFonts w:ascii="Arial" w:cs="Arial" w:eastAsia="Arial" w:hAnsi="Arial"/>
          <w:sz w:val="19"/>
          <w:szCs w:val="19"/>
          <w:u w:val="single" w:color="auto"/>
          <w:color w:val="auto"/>
        </w:rPr>
        <w:t>30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860" w:hanging="653"/>
        <w:spacing w:after="0"/>
        <w:tabs>
          <w:tab w:leader="none" w:pos="8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200" w:right="219" w:firstLine="331"/>
        <w:spacing w:after="0" w:line="287" w:lineRule="auto"/>
        <w:tabs>
          <w:tab w:leader="none" w:pos="848" w:val="left"/>
        </w:tabs>
        <w:numPr>
          <w:ilvl w:val="1"/>
          <w:numId w:val="81"/>
        </w:numPr>
        <w:rPr>
          <w:rFonts w:ascii="Arial" w:cs="Arial" w:eastAsia="Arial" w:hAnsi="Arial"/>
          <w:sz w:val="19"/>
          <w:szCs w:val="19"/>
          <w:color w:val="auto"/>
        </w:rPr>
      </w:pPr>
      <w:r>
        <w:rPr>
          <w:rFonts w:ascii="Arial" w:cs="Arial" w:eastAsia="Arial" w:hAnsi="Arial"/>
          <w:sz w:val="19"/>
          <w:szCs w:val="19"/>
          <w:color w:val="auto"/>
        </w:rPr>
        <w:t>Except as specifically modified by this Third Amendment, all of the provisions of the Lease are confirmed to be and shall remain in full force and effect. In the event of any conflict or inconsistency between the terms and provisions of the Lease and the terms and provisions of this Third Amendment, the terms and provisions of this Third Amendment shall govern and control.</w:t>
      </w:r>
    </w:p>
    <w:p>
      <w:pPr>
        <w:spacing w:after="0" w:line="156" w:lineRule="exact"/>
        <w:rPr>
          <w:rFonts w:ascii="Arial" w:cs="Arial" w:eastAsia="Arial" w:hAnsi="Arial"/>
          <w:sz w:val="19"/>
          <w:szCs w:val="19"/>
          <w:color w:val="auto"/>
        </w:rPr>
      </w:pPr>
    </w:p>
    <w:p>
      <w:pPr>
        <w:jc w:val="both"/>
        <w:ind w:left="200" w:right="219" w:firstLine="331"/>
        <w:spacing w:after="0"/>
        <w:tabs>
          <w:tab w:leader="none" w:pos="848"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headings set forth herein are for convenience of reference only and shall not be deemed to impair, enlarge or otherwise affect the substantive meaning of any provision to which such heading may relate.</w:t>
      </w:r>
    </w:p>
    <w:p>
      <w:pPr>
        <w:spacing w:after="0" w:line="199" w:lineRule="exact"/>
        <w:rPr>
          <w:rFonts w:ascii="Arial" w:cs="Arial" w:eastAsia="Arial" w:hAnsi="Arial"/>
          <w:sz w:val="22"/>
          <w:szCs w:val="22"/>
          <w:color w:val="auto"/>
        </w:rPr>
      </w:pPr>
    </w:p>
    <w:p>
      <w:pPr>
        <w:jc w:val="both"/>
        <w:ind w:left="200" w:right="219" w:firstLine="331"/>
        <w:spacing w:after="0" w:line="249" w:lineRule="auto"/>
        <w:tabs>
          <w:tab w:leader="none" w:pos="848"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This Third Amendment may be executed in multiple counterparts, each one of which shall be deemed an original but all of which, taken collectively, shall be deemed a single instrument; The parties hereby acknowledge and agree that electronic signatures or signatures transmitted by electronic mail in "pdf" format shall be legal and binding and shall have the same full force and effect as if an original of this Amendment had been delivered.</w:t>
      </w:r>
    </w:p>
    <w:p>
      <w:pPr>
        <w:spacing w:after="0" w:line="178" w:lineRule="exact"/>
        <w:rPr>
          <w:rFonts w:ascii="Arial" w:cs="Arial" w:eastAsia="Arial" w:hAnsi="Arial"/>
          <w:sz w:val="21"/>
          <w:szCs w:val="21"/>
          <w:color w:val="auto"/>
        </w:rPr>
      </w:pPr>
    </w:p>
    <w:p>
      <w:pPr>
        <w:ind w:left="200" w:right="239" w:firstLine="331"/>
        <w:spacing w:after="0" w:line="250" w:lineRule="auto"/>
        <w:tabs>
          <w:tab w:leader="none" w:pos="848"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This Third Amendment shall be governed by and construed in accordance with the laws of the Commonwealth of Pennsylvania.</w:t>
      </w:r>
    </w:p>
    <w:p>
      <w:pPr>
        <w:spacing w:after="0" w:line="188" w:lineRule="exact"/>
        <w:rPr>
          <w:rFonts w:ascii="Arial" w:cs="Arial" w:eastAsia="Arial" w:hAnsi="Arial"/>
          <w:sz w:val="22"/>
          <w:szCs w:val="22"/>
          <w:color w:val="auto"/>
        </w:rPr>
      </w:pPr>
    </w:p>
    <w:p>
      <w:pPr>
        <w:ind w:left="200" w:right="219" w:firstLine="331"/>
        <w:spacing w:after="0" w:line="250" w:lineRule="auto"/>
        <w:tabs>
          <w:tab w:leader="none" w:pos="848"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This Third Amendment shall be binding upon and shall inure to the benefit of Landlord and Tenant and their respective successors and assigns.</w:t>
      </w:r>
    </w:p>
    <w:p>
      <w:pPr>
        <w:spacing w:after="0" w:line="188" w:lineRule="exact"/>
        <w:rPr>
          <w:rFonts w:ascii="Arial" w:cs="Arial" w:eastAsia="Arial" w:hAnsi="Arial"/>
          <w:sz w:val="22"/>
          <w:szCs w:val="22"/>
          <w:color w:val="auto"/>
        </w:rPr>
      </w:pPr>
    </w:p>
    <w:p>
      <w:pPr>
        <w:jc w:val="both"/>
        <w:ind w:left="200" w:right="239" w:firstLine="331"/>
        <w:spacing w:after="0" w:line="252" w:lineRule="auto"/>
        <w:tabs>
          <w:tab w:leader="none" w:pos="848"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submission of this instrument to Tenant for review and examination does not constitute an offer by Landlord or reservation of space in the Building for Tenant. This instrument shall not become effective, nor shall Landlord have any obligation hereunder, unless and until this instrument has been executed by Landlord and delivered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329565</wp:posOffset>
            </wp:positionV>
            <wp:extent cx="558927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1">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9"/>
          <w:szCs w:val="19"/>
          <w:color w:val="auto"/>
        </w:rPr>
        <w:t>[SIGNATURES APPEAR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372110</wp:posOffset>
            </wp:positionV>
            <wp:extent cx="558927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2">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60" w:name="page161"/>
    <w:bookmarkEnd w:id="160"/>
    <w:p>
      <w:pPr>
        <w:ind w:left="200" w:right="379"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Third Amendment to Lease is executed as of the day and</w:t>
      </w:r>
      <w:r>
        <w:rPr>
          <w:rFonts w:ascii="Arial" w:cs="Arial" w:eastAsia="Arial" w:hAnsi="Arial"/>
          <w:sz w:val="22"/>
          <w:szCs w:val="22"/>
          <w:b w:val="1"/>
          <w:bCs w:val="1"/>
          <w:color w:val="auto"/>
        </w:rPr>
        <w:t xml:space="preserve"> </w:t>
      </w:r>
      <w:r>
        <w:rPr>
          <w:rFonts w:ascii="Arial" w:cs="Arial" w:eastAsia="Arial" w:hAnsi="Arial"/>
          <w:sz w:val="22"/>
          <w:szCs w:val="22"/>
          <w:color w:val="auto"/>
        </w:rPr>
        <w:t>year set forth above.</w:t>
      </w: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LANDLORD</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300 ROUSE BOULEVARD, LLC,</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 Delaware limited liability company</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By: 300 Rouse Member, LLC, its sole member</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 /s/ Kam Babaoff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-17780</wp:posOffset>
            </wp:positionV>
            <wp:extent cx="1886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ind w:left="100"/>
        <w:spacing w:after="0" w:line="238" w:lineRule="auto"/>
        <w:rPr>
          <w:sz w:val="20"/>
          <w:szCs w:val="20"/>
          <w:color w:val="auto"/>
        </w:rPr>
      </w:pPr>
      <w:r>
        <w:rPr>
          <w:rFonts w:ascii="Arial" w:cs="Arial" w:eastAsia="Arial" w:hAnsi="Arial"/>
          <w:sz w:val="22"/>
          <w:szCs w:val="22"/>
          <w:color w:val="auto"/>
        </w:rPr>
        <w:t>Name: Kam Babaoff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-22860</wp:posOffset>
            </wp:positionV>
            <wp:extent cx="17233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4">
                      <a:extLst>
                        <a:ext uri="{28A0092B-C50C-407E-A947-70E740481C1C}"/>
                      </a:extLst>
                    </a:blip>
                    <a:srcRect/>
                    <a:stretch>
                      <a:fillRect/>
                    </a:stretch>
                  </pic:blipFill>
                  <pic:spPr bwMode="auto">
                    <a:xfrm>
                      <a:off x="0" y="0"/>
                      <a:ext cx="172339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-29210</wp:posOffset>
            </wp:positionV>
            <wp:extent cx="1790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5">
                      <a:extLst>
                        <a:ext uri="{28A0092B-C50C-407E-A947-70E740481C1C}"/>
                      </a:extLst>
                    </a:blip>
                    <a:srcRect/>
                    <a:stretch>
                      <a:fillRect/>
                    </a:stretch>
                  </pic:blipFill>
                  <pic:spPr bwMode="auto">
                    <a:xfrm>
                      <a:off x="0" y="0"/>
                      <a:ext cx="1790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TENANT</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IOVANCE BIOTHERAPEUTICS, INC.,</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 Delaware corporation</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By: /s/ Frederick G. Vogt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-17780</wp:posOffset>
            </wp:positionV>
            <wp:extent cx="18732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6">
                      <a:extLst>
                        <a:ext uri="{28A0092B-C50C-407E-A947-70E740481C1C}"/>
                      </a:extLst>
                    </a:blip>
                    <a:srcRect/>
                    <a:stretch>
                      <a:fillRect/>
                    </a:stretch>
                  </pic:blipFill>
                  <pic:spPr bwMode="auto">
                    <a:xfrm>
                      <a:off x="0" y="0"/>
                      <a:ext cx="187325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Name: Frederick G. Vogt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-22860</wp:posOffset>
            </wp:positionV>
            <wp:extent cx="17075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7">
                      <a:extLst>
                        <a:ext uri="{28A0092B-C50C-407E-A947-70E740481C1C}"/>
                      </a:extLst>
                    </a:blip>
                    <a:srcRect/>
                    <a:stretch>
                      <a:fillRect/>
                    </a:stretch>
                  </pic:blipFill>
                  <pic:spPr bwMode="auto">
                    <a:xfrm>
                      <a:off x="0" y="0"/>
                      <a:ext cx="170751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Interim CEO,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Amendment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353060</wp:posOffset>
            </wp:positionV>
            <wp:extent cx="55892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8">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21"/>
          <w:szCs w:val="21"/>
          <w:b w:val="1"/>
          <w:bCs w:val="1"/>
          <w:u w:val="single" w:color="auto"/>
          <w:color w:val="auto"/>
        </w:rPr>
        <w:t>EXHIBIT A</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"Retained Parcel"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300 ROUSE BOULEVARD</w:t>
      </w:r>
    </w:p>
    <w:p>
      <w:pPr>
        <w:spacing w:after="0" w:line="6"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PHILADELPHIA NAVY SHIPYARD</w:t>
      </w:r>
    </w:p>
    <w:p>
      <w:pPr>
        <w:spacing w:after="0" w:line="2" w:lineRule="exact"/>
        <w:rPr>
          <w:sz w:val="20"/>
          <w:szCs w:val="20"/>
          <w:color w:val="auto"/>
        </w:rPr>
      </w:pPr>
    </w:p>
    <w:p>
      <w:pPr>
        <w:ind w:left="2440"/>
        <w:spacing w:after="0"/>
        <w:rPr>
          <w:sz w:val="20"/>
          <w:szCs w:val="20"/>
          <w:color w:val="auto"/>
        </w:rPr>
      </w:pPr>
      <w:r>
        <w:rPr>
          <w:rFonts w:ascii="Arial" w:cs="Arial" w:eastAsia="Arial" w:hAnsi="Arial"/>
          <w:sz w:val="21"/>
          <w:szCs w:val="21"/>
          <w:color w:val="auto"/>
        </w:rPr>
        <w:t>CITY AND COUNTY OF PHILADELPHIA, PA</w:t>
      </w:r>
    </w:p>
    <w:p>
      <w:pPr>
        <w:spacing w:after="0" w:line="200" w:lineRule="exact"/>
        <w:rPr>
          <w:sz w:val="20"/>
          <w:szCs w:val="20"/>
          <w:color w:val="auto"/>
        </w:rPr>
      </w:pPr>
    </w:p>
    <w:p>
      <w:pPr>
        <w:ind w:left="180" w:right="859"/>
        <w:spacing w:after="0" w:line="265" w:lineRule="auto"/>
        <w:rPr>
          <w:sz w:val="20"/>
          <w:szCs w:val="20"/>
          <w:color w:val="auto"/>
        </w:rPr>
      </w:pPr>
      <w:r>
        <w:rPr>
          <w:rFonts w:ascii="Arial" w:cs="Arial" w:eastAsia="Arial" w:hAnsi="Arial"/>
          <w:sz w:val="20"/>
          <w:szCs w:val="20"/>
          <w:color w:val="auto"/>
        </w:rPr>
        <w:t>ALL THAT CERTAIN tract or parcel of land situate in The City and County of Philadelphia, Commonwealth of Pennsylvania, as described in a plan entitled "Subdivision Plan, 300 Rouse Boulevard ", prepared by SAS-Geospatial, for OPA #78-8043300, dated 5/29/19 and last revised 8/28/19 and more particularly described as follows and to wit:</w:t>
      </w:r>
    </w:p>
    <w:p>
      <w:pPr>
        <w:spacing w:after="0" w:line="186" w:lineRule="exact"/>
        <w:rPr>
          <w:sz w:val="20"/>
          <w:szCs w:val="20"/>
          <w:color w:val="auto"/>
        </w:rPr>
      </w:pPr>
    </w:p>
    <w:p>
      <w:pPr>
        <w:ind w:left="180" w:right="379"/>
        <w:spacing w:after="0" w:line="244" w:lineRule="auto"/>
        <w:rPr>
          <w:sz w:val="20"/>
          <w:szCs w:val="20"/>
          <w:color w:val="auto"/>
        </w:rPr>
      </w:pPr>
      <w:r>
        <w:rPr>
          <w:rFonts w:ascii="Arial" w:cs="Arial" w:eastAsia="Arial" w:hAnsi="Arial"/>
          <w:sz w:val="21"/>
          <w:szCs w:val="21"/>
          <w:color w:val="auto"/>
        </w:rPr>
        <w:t>COMMENCING, for said Parcel 7SS, at a point on the Southwesterly side of Rouse Boulevard, (of variable width, existing easement, not on city plan, not legally open, referred to as Easement "F" on reference plan 3) and corner to the Southeasterly line of Normandy Place (85' wide, existing easement, not on city plan, not legally open, referred to as Easement "E" on reference plan 3), said point being measured the following twelve (11 ) courses, (course A through course K), from a point at the intersection of the Easterly right-of-way line of Broad Street (legally open, on city plan, variable width) and the Southerly right-of-way line of Pattison Avenue (legally open, on city plan, 120 feet wide), to wit;</w:t>
      </w:r>
    </w:p>
    <w:p>
      <w:pPr>
        <w:spacing w:after="0" w:line="196" w:lineRule="exact"/>
        <w:rPr>
          <w:sz w:val="20"/>
          <w:szCs w:val="20"/>
          <w:color w:val="auto"/>
        </w:rPr>
      </w:pPr>
    </w:p>
    <w:p>
      <w:pPr>
        <w:ind w:left="180" w:right="359"/>
        <w:spacing w:after="0" w:line="252" w:lineRule="auto"/>
        <w:rPr>
          <w:sz w:val="20"/>
          <w:szCs w:val="20"/>
          <w:color w:val="auto"/>
        </w:rPr>
      </w:pPr>
      <w:r>
        <w:rPr>
          <w:rFonts w:ascii="Arial" w:cs="Arial" w:eastAsia="Arial" w:hAnsi="Arial"/>
          <w:sz w:val="21"/>
          <w:szCs w:val="21"/>
          <w:color w:val="auto"/>
        </w:rPr>
        <w:t>Along the Easterly side of said Broad Street, and along a bearing of South 14 degrees 30 minutes 00 seconds West (incorrectly described in Deed of Confirmation as "East"), a distance of 2527.570 feet to a point in the same, thence;</w:t>
      </w:r>
    </w:p>
    <w:p>
      <w:pPr>
        <w:spacing w:after="0" w:line="171" w:lineRule="exact"/>
        <w:rPr>
          <w:sz w:val="20"/>
          <w:szCs w:val="20"/>
          <w:color w:val="auto"/>
        </w:rPr>
      </w:pPr>
    </w:p>
    <w:p>
      <w:pPr>
        <w:ind w:left="1320" w:right="1179" w:hanging="443"/>
        <w:spacing w:after="0" w:line="264" w:lineRule="auto"/>
        <w:tabs>
          <w:tab w:leader="none" w:pos="13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Along a bearing of South 75 degrees 30 minutes 00 seconds East, a distance of 37.000 feet to a point, thence;</w:t>
      </w:r>
    </w:p>
    <w:p>
      <w:pPr>
        <w:spacing w:after="0" w:line="76" w:lineRule="exact"/>
        <w:rPr>
          <w:rFonts w:ascii="Arial" w:cs="Arial" w:eastAsia="Arial" w:hAnsi="Arial"/>
          <w:sz w:val="21"/>
          <w:szCs w:val="21"/>
          <w:color w:val="auto"/>
        </w:rPr>
      </w:pPr>
    </w:p>
    <w:p>
      <w:pPr>
        <w:ind w:left="1320" w:right="1119" w:hanging="443"/>
        <w:spacing w:after="0" w:line="264" w:lineRule="auto"/>
        <w:tabs>
          <w:tab w:leader="none" w:pos="13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Along a bearing of South 14 degrees 30 minutes 00 seconds West, a distance of 225.647 feet to a point, thence;</w:t>
      </w:r>
    </w:p>
    <w:p>
      <w:pPr>
        <w:spacing w:after="0" w:line="62" w:lineRule="exact"/>
        <w:rPr>
          <w:rFonts w:ascii="Arial" w:cs="Arial" w:eastAsia="Arial" w:hAnsi="Arial"/>
          <w:sz w:val="21"/>
          <w:szCs w:val="21"/>
          <w:color w:val="auto"/>
        </w:rPr>
      </w:pPr>
    </w:p>
    <w:p>
      <w:pPr>
        <w:ind w:left="1320" w:right="1179" w:hanging="443"/>
        <w:spacing w:after="0" w:line="264" w:lineRule="auto"/>
        <w:tabs>
          <w:tab w:leader="none" w:pos="13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Along a bearing of South 03 degrees 41 minutes 51 seconds East, a distance of 215.471 feet to a point, thence;</w:t>
      </w:r>
    </w:p>
    <w:p>
      <w:pPr>
        <w:spacing w:after="0" w:line="62" w:lineRule="exact"/>
        <w:rPr>
          <w:rFonts w:ascii="Arial" w:cs="Arial" w:eastAsia="Arial" w:hAnsi="Arial"/>
          <w:sz w:val="21"/>
          <w:szCs w:val="21"/>
          <w:color w:val="auto"/>
        </w:rPr>
      </w:pPr>
    </w:p>
    <w:p>
      <w:pPr>
        <w:ind w:left="1320" w:right="559" w:hanging="443"/>
        <w:spacing w:after="0" w:line="252" w:lineRule="auto"/>
        <w:tabs>
          <w:tab w:leader="none" w:pos="13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Along the Southerly line of League Island Boulevard, variable width, not on city plan, not legally open, and along a bearing of South 73 degrees 08 minutes 17 seconds East, a distance of 120.591 feet to a point, thence;</w:t>
      </w:r>
    </w:p>
    <w:p>
      <w:pPr>
        <w:spacing w:after="0" w:line="76" w:lineRule="exact"/>
        <w:rPr>
          <w:rFonts w:ascii="Arial" w:cs="Arial" w:eastAsia="Arial" w:hAnsi="Arial"/>
          <w:sz w:val="21"/>
          <w:szCs w:val="21"/>
          <w:color w:val="auto"/>
        </w:rPr>
      </w:pPr>
    </w:p>
    <w:p>
      <w:pPr>
        <w:ind w:left="1320" w:right="319" w:hanging="443"/>
        <w:spacing w:after="0" w:line="252" w:lineRule="auto"/>
        <w:tabs>
          <w:tab w:leader="none" w:pos="13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Continuing along the said Southerly line of League Island Boulevard and along a bearing of North 16 degrees 51 minutes 43 seconds East, a distance of 1.107 feet to a point, thence;</w:t>
      </w:r>
    </w:p>
    <w:p>
      <w:pPr>
        <w:spacing w:after="0" w:line="76" w:lineRule="exact"/>
        <w:rPr>
          <w:rFonts w:ascii="Arial" w:cs="Arial" w:eastAsia="Arial" w:hAnsi="Arial"/>
          <w:sz w:val="21"/>
          <w:szCs w:val="21"/>
          <w:color w:val="auto"/>
        </w:rPr>
      </w:pPr>
    </w:p>
    <w:p>
      <w:pPr>
        <w:ind w:left="1320" w:right="319" w:hanging="443"/>
        <w:spacing w:after="0" w:line="252" w:lineRule="auto"/>
        <w:tabs>
          <w:tab w:leader="none" w:pos="1320" w:val="left"/>
        </w:tabs>
        <w:numPr>
          <w:ilvl w:val="0"/>
          <w:numId w:val="82"/>
        </w:numPr>
        <w:rPr>
          <w:rFonts w:ascii="Arial" w:cs="Arial" w:eastAsia="Arial" w:hAnsi="Arial"/>
          <w:sz w:val="21"/>
          <w:szCs w:val="21"/>
          <w:color w:val="auto"/>
        </w:rPr>
      </w:pPr>
      <w:r>
        <w:rPr>
          <w:rFonts w:ascii="Arial" w:cs="Arial" w:eastAsia="Arial" w:hAnsi="Arial"/>
          <w:sz w:val="21"/>
          <w:szCs w:val="21"/>
          <w:color w:val="auto"/>
        </w:rPr>
        <w:t>Continuing along the said Southerly line of League Island Boulevard and along a bearing of South 75 degrees 29 minutes 32 seconds East, a distance of 538.400 feet to a point of curvature, thence;</w:t>
      </w:r>
    </w:p>
    <w:p>
      <w:pPr>
        <w:spacing w:after="0" w:line="89" w:lineRule="exact"/>
        <w:rPr>
          <w:rFonts w:ascii="Arial" w:cs="Arial" w:eastAsia="Arial" w:hAnsi="Arial"/>
          <w:sz w:val="21"/>
          <w:szCs w:val="21"/>
          <w:color w:val="auto"/>
        </w:rPr>
      </w:pPr>
    </w:p>
    <w:p>
      <w:pPr>
        <w:ind w:left="1320" w:right="619" w:hanging="443"/>
        <w:spacing w:after="0" w:line="348" w:lineRule="auto"/>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Continuing along the said Southerly line of League Island Boulevard and Southeasterly 480.981 feet along an arc of a curve concave to the Southeast,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278765</wp:posOffset>
            </wp:positionV>
            <wp:extent cx="547751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9">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62" w:name="page163"/>
    <w:bookmarkEnd w:id="162"/>
    <w:p>
      <w:pPr>
        <w:ind w:left="1260" w:right="299"/>
        <w:spacing w:after="0" w:line="247" w:lineRule="auto"/>
        <w:rPr>
          <w:sz w:val="20"/>
          <w:szCs w:val="20"/>
          <w:color w:val="auto"/>
        </w:rPr>
      </w:pPr>
      <w:r>
        <w:rPr>
          <w:rFonts w:ascii="Arial" w:cs="Arial" w:eastAsia="Arial" w:hAnsi="Arial"/>
          <w:sz w:val="21"/>
          <w:szCs w:val="21"/>
          <w:color w:val="auto"/>
        </w:rPr>
        <w:t>a radius of 1,886.035 feet and a delta angle of 14 degrees 36 minutes 42 seconds, crossing Intrepid Avenue (85' wide, existing easement, not on city plan, not legally open) to its intersection with the Easterly line of Intrepid Avenue (said arc having a chord bearing of South 68degrees 11 minutes 10 seconds East, and a chord length of 479.678 feet from the last described point) thence;</w:t>
      </w:r>
    </w:p>
    <w:p>
      <w:pPr>
        <w:spacing w:after="0" w:line="67" w:lineRule="exact"/>
        <w:rPr>
          <w:sz w:val="20"/>
          <w:szCs w:val="20"/>
          <w:color w:val="auto"/>
        </w:rPr>
      </w:pPr>
    </w:p>
    <w:p>
      <w:pPr>
        <w:ind w:left="1240" w:right="179" w:hanging="439"/>
        <w:spacing w:after="0" w:line="264" w:lineRule="auto"/>
        <w:tabs>
          <w:tab w:leader="none" w:pos="12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Along the Easterly line of Intrepid Avenue South 06 degrees 10 minutes 01 seconds West, a distance of 222.885 to a point, thence;</w:t>
      </w:r>
    </w:p>
    <w:p>
      <w:pPr>
        <w:spacing w:after="0" w:line="62" w:lineRule="exact"/>
        <w:rPr>
          <w:rFonts w:ascii="Arial" w:cs="Arial" w:eastAsia="Arial" w:hAnsi="Arial"/>
          <w:sz w:val="21"/>
          <w:szCs w:val="21"/>
          <w:color w:val="auto"/>
        </w:rPr>
      </w:pPr>
    </w:p>
    <w:p>
      <w:pPr>
        <w:ind w:left="1240" w:right="399" w:hanging="439"/>
        <w:spacing w:after="0" w:line="247" w:lineRule="auto"/>
        <w:tabs>
          <w:tab w:leader="none" w:pos="12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Continuing along the same, Southwesterly 123.912 feet along an arc concave to the Southwest, having a radius of 192.500 feet and a delta angle of 36 degrees 52 minutes 52 seconds to a point in the same (said arc having a chord bearing of South 24 degrees 36 minutes 27 seconds West and a chord length 121,783 feet from the last described point) thence;</w:t>
      </w:r>
    </w:p>
    <w:p>
      <w:pPr>
        <w:spacing w:after="0" w:line="80" w:lineRule="exact"/>
        <w:rPr>
          <w:rFonts w:ascii="Arial" w:cs="Arial" w:eastAsia="Arial" w:hAnsi="Arial"/>
          <w:sz w:val="21"/>
          <w:szCs w:val="21"/>
          <w:color w:val="auto"/>
        </w:rPr>
      </w:pPr>
    </w:p>
    <w:p>
      <w:pPr>
        <w:ind w:left="1240" w:right="539" w:hanging="439"/>
        <w:spacing w:after="0" w:line="252" w:lineRule="auto"/>
        <w:tabs>
          <w:tab w:leader="none" w:pos="12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Continuing along the same South 43 degrees 02 minutes 52 seconds West, a distance of 344.402 feet crossing Rouse Boulevard, (87'wide, existing easement, not on city plan, not legally open), thence;</w:t>
      </w:r>
    </w:p>
    <w:p>
      <w:pPr>
        <w:spacing w:after="0" w:line="76" w:lineRule="exact"/>
        <w:rPr>
          <w:rFonts w:ascii="Arial" w:cs="Arial" w:eastAsia="Arial" w:hAnsi="Arial"/>
          <w:sz w:val="21"/>
          <w:szCs w:val="21"/>
          <w:color w:val="auto"/>
        </w:rPr>
      </w:pPr>
    </w:p>
    <w:p>
      <w:pPr>
        <w:ind w:left="1240" w:right="579" w:hanging="439"/>
        <w:spacing w:after="0" w:line="252" w:lineRule="auto"/>
        <w:tabs>
          <w:tab w:leader="none" w:pos="1240" w:val="left"/>
        </w:tabs>
        <w:numPr>
          <w:ilvl w:val="0"/>
          <w:numId w:val="83"/>
        </w:numPr>
        <w:rPr>
          <w:rFonts w:ascii="Arial" w:cs="Arial" w:eastAsia="Arial" w:hAnsi="Arial"/>
          <w:sz w:val="21"/>
          <w:szCs w:val="21"/>
          <w:color w:val="auto"/>
        </w:rPr>
      </w:pPr>
      <w:r>
        <w:rPr>
          <w:rFonts w:ascii="Arial" w:cs="Arial" w:eastAsia="Arial" w:hAnsi="Arial"/>
          <w:sz w:val="21"/>
          <w:szCs w:val="21"/>
          <w:color w:val="auto"/>
        </w:rPr>
        <w:t>Continuing along the Southwest right of way line of said Rouse Boulevard and along a bearing of South 46 degrees 57 minutes 07 seconds East, a distance of 638,672 feet to the point and place of beginning,</w:t>
      </w:r>
    </w:p>
    <w:p>
      <w:pPr>
        <w:spacing w:after="0" w:line="76" w:lineRule="exact"/>
        <w:rPr>
          <w:sz w:val="20"/>
          <w:szCs w:val="20"/>
          <w:color w:val="auto"/>
        </w:rPr>
      </w:pPr>
    </w:p>
    <w:p>
      <w:pPr>
        <w:jc w:val="both"/>
        <w:ind w:left="100" w:right="239"/>
        <w:spacing w:after="0" w:line="252" w:lineRule="auto"/>
        <w:rPr>
          <w:sz w:val="20"/>
          <w:szCs w:val="20"/>
          <w:color w:val="auto"/>
        </w:rPr>
      </w:pPr>
      <w:r>
        <w:rPr>
          <w:rFonts w:ascii="Arial" w:cs="Arial" w:eastAsia="Arial" w:hAnsi="Arial"/>
          <w:sz w:val="21"/>
          <w:szCs w:val="21"/>
          <w:color w:val="auto"/>
        </w:rPr>
        <w:t>BEGINNING at an Iron Pin Set at the intersection of the southerly side of Rouse Boulevard (87' Wide Easement) and the easterly side of Normandy Place (85' Wide Easement) said point being at the northwest corner of Parcel 7SS, thence;</w:t>
      </w:r>
    </w:p>
    <w:p>
      <w:pPr>
        <w:spacing w:after="0" w:line="171" w:lineRule="exact"/>
        <w:rPr>
          <w:sz w:val="20"/>
          <w:szCs w:val="20"/>
          <w:color w:val="auto"/>
        </w:rPr>
      </w:pPr>
    </w:p>
    <w:p>
      <w:pPr>
        <w:ind w:left="540" w:right="399" w:hanging="441"/>
        <w:spacing w:after="0" w:line="264" w:lineRule="auto"/>
        <w:tabs>
          <w:tab w:leader="none" w:pos="5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Southeasterly along said Rouse Boulevard, South 46° 57' 07" East, a distance of 266.587 feet to a point, thence;</w:t>
      </w:r>
    </w:p>
    <w:p>
      <w:pPr>
        <w:spacing w:after="0" w:line="62" w:lineRule="exact"/>
        <w:rPr>
          <w:rFonts w:ascii="Arial" w:cs="Arial" w:eastAsia="Arial" w:hAnsi="Arial"/>
          <w:sz w:val="21"/>
          <w:szCs w:val="21"/>
          <w:color w:val="auto"/>
        </w:rPr>
      </w:pPr>
    </w:p>
    <w:p>
      <w:pPr>
        <w:ind w:left="540" w:right="299" w:hanging="441"/>
        <w:spacing w:after="0" w:line="264" w:lineRule="auto"/>
        <w:tabs>
          <w:tab w:leader="none" w:pos="540" w:val="left"/>
        </w:tabs>
        <w:numPr>
          <w:ilvl w:val="0"/>
          <w:numId w:val="84"/>
        </w:numPr>
        <w:rPr>
          <w:rFonts w:ascii="Arial" w:cs="Arial" w:eastAsia="Arial" w:hAnsi="Arial"/>
          <w:sz w:val="14"/>
          <w:szCs w:val="14"/>
          <w:color w:val="auto"/>
        </w:rPr>
      </w:pPr>
      <w:r>
        <w:rPr>
          <w:rFonts w:ascii="Arial" w:cs="Arial" w:eastAsia="Arial" w:hAnsi="Arial"/>
          <w:sz w:val="21"/>
          <w:szCs w:val="21"/>
          <w:color w:val="auto"/>
        </w:rPr>
        <w:t>Southwesterly along the dividing line of Parcel A and Parcel B, South 43° 02' 54" 'Nest, a distance of 268.000 feet to a point, thence;</w:t>
      </w:r>
    </w:p>
    <w:p>
      <w:pPr>
        <w:spacing w:after="0" w:line="62" w:lineRule="exact"/>
        <w:rPr>
          <w:rFonts w:ascii="Arial" w:cs="Arial" w:eastAsia="Arial" w:hAnsi="Arial"/>
          <w:sz w:val="14"/>
          <w:szCs w:val="14"/>
          <w:color w:val="auto"/>
        </w:rPr>
      </w:pPr>
    </w:p>
    <w:p>
      <w:pPr>
        <w:ind w:left="540" w:right="259" w:hanging="441"/>
        <w:spacing w:after="0" w:line="289" w:lineRule="auto"/>
        <w:tabs>
          <w:tab w:leader="none" w:pos="5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Southeasterly along said dividing, South 46° 57' 07" East, a distance of 289.645 feet to a point on a curve on the westerly side of Constitution Avenue (65' Wide Easement), thence;</w:t>
      </w:r>
    </w:p>
    <w:p>
      <w:pPr>
        <w:spacing w:after="0" w:line="40" w:lineRule="exact"/>
        <w:rPr>
          <w:rFonts w:ascii="Arial" w:cs="Arial" w:eastAsia="Arial" w:hAnsi="Arial"/>
          <w:sz w:val="20"/>
          <w:szCs w:val="20"/>
          <w:color w:val="auto"/>
        </w:rPr>
      </w:pPr>
    </w:p>
    <w:p>
      <w:pPr>
        <w:ind w:left="540" w:hanging="441"/>
        <w:spacing w:after="0"/>
        <w:tabs>
          <w:tab w:leader="none" w:pos="5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Southwesterly along the side of Constitution Ave, on a curve to the right, having a radius of</w:t>
      </w:r>
    </w:p>
    <w:p>
      <w:pPr>
        <w:spacing w:after="0" w:line="31" w:lineRule="exact"/>
        <w:rPr>
          <w:rFonts w:ascii="Arial" w:cs="Arial" w:eastAsia="Arial" w:hAnsi="Arial"/>
          <w:sz w:val="20"/>
          <w:szCs w:val="20"/>
          <w:color w:val="auto"/>
        </w:rPr>
      </w:pPr>
    </w:p>
    <w:p>
      <w:pPr>
        <w:ind w:left="540" w:right="659"/>
        <w:spacing w:after="0" w:line="246" w:lineRule="auto"/>
        <w:rPr>
          <w:rFonts w:ascii="Arial" w:cs="Arial" w:eastAsia="Arial" w:hAnsi="Arial"/>
          <w:sz w:val="20"/>
          <w:szCs w:val="20"/>
          <w:color w:val="auto"/>
        </w:rPr>
      </w:pPr>
      <w:r>
        <w:rPr>
          <w:rFonts w:ascii="Arial" w:cs="Arial" w:eastAsia="Arial" w:hAnsi="Arial"/>
          <w:sz w:val="21"/>
          <w:szCs w:val="21"/>
          <w:color w:val="auto"/>
        </w:rPr>
        <w:t>466.473 feet, an arc length of 248.694 feet, a chord bearing of South 73° 59' 58" West, a chord distance of 245.758 feet to an iron pin, thence;</w:t>
      </w:r>
    </w:p>
    <w:p>
      <w:pPr>
        <w:spacing w:after="0" w:line="80" w:lineRule="exact"/>
        <w:rPr>
          <w:rFonts w:ascii="Arial" w:cs="Arial" w:eastAsia="Arial" w:hAnsi="Arial"/>
          <w:sz w:val="20"/>
          <w:szCs w:val="20"/>
          <w:color w:val="auto"/>
        </w:rPr>
      </w:pPr>
    </w:p>
    <w:p>
      <w:pPr>
        <w:ind w:left="540" w:right="459" w:hanging="441"/>
        <w:spacing w:after="0" w:line="264" w:lineRule="auto"/>
        <w:tabs>
          <w:tab w:leader="none" w:pos="5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Southwesterly along the side of Constitution Ave, South 89° 16' 21" West, a distance of 160.375 feet to an iron pin in the easterly sideline of South 11th Street, thence;</w:t>
      </w:r>
    </w:p>
    <w:p>
      <w:pPr>
        <w:spacing w:after="0" w:line="63" w:lineRule="exact"/>
        <w:rPr>
          <w:sz w:val="20"/>
          <w:szCs w:val="20"/>
          <w:color w:val="auto"/>
        </w:rPr>
      </w:pPr>
    </w:p>
    <w:p>
      <w:pPr>
        <w:jc w:val="both"/>
        <w:ind w:left="540" w:right="879" w:hanging="439"/>
        <w:spacing w:after="0" w:line="252" w:lineRule="auto"/>
        <w:tabs>
          <w:tab w:leader="none" w:pos="520" w:val="left"/>
        </w:tabs>
        <w:rPr>
          <w:sz w:val="20"/>
          <w:szCs w:val="20"/>
          <w:color w:val="auto"/>
        </w:rPr>
      </w:pPr>
      <w:r>
        <w:rPr>
          <w:rFonts w:ascii="Arial" w:cs="Arial" w:eastAsia="Arial" w:hAnsi="Arial"/>
          <w:sz w:val="21"/>
          <w:szCs w:val="21"/>
          <w:color w:val="auto"/>
        </w:rPr>
        <w:t>6.</w:t>
        <w:tab/>
        <w:t>Northwesterly along said sideline of South 1 Street, North 00° 38' 07" West, a distance of 454.673 feet to an iron pin in the southerly sideline of the aforementioned Normandy Place, thence;</w:t>
      </w:r>
    </w:p>
    <w:p>
      <w:pPr>
        <w:spacing w:after="0" w:line="76" w:lineRule="exact"/>
        <w:rPr>
          <w:sz w:val="20"/>
          <w:szCs w:val="20"/>
          <w:color w:val="auto"/>
        </w:rPr>
      </w:pPr>
    </w:p>
    <w:p>
      <w:pPr>
        <w:ind w:left="540" w:right="119" w:hanging="441"/>
        <w:spacing w:after="0" w:line="264" w:lineRule="auto"/>
        <w:tabs>
          <w:tab w:leader="none" w:pos="540"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Northeasterly along said sideline of Normandy Place, North 43° 02' 48" East, a distance of 260,913 feet the point and place of BEGINNING.</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Containing 167,705.0 square feet or 3.849977 acres of land, more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892175</wp:posOffset>
            </wp:positionV>
            <wp:extent cx="55892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1"/>
          <w:szCs w:val="21"/>
          <w:b w:val="1"/>
          <w:bCs w:val="1"/>
          <w:u w:val="single" w:color="auto"/>
          <w:color w:val="auto"/>
        </w:rPr>
        <w:t>EXHIBIT B</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"Reconveyance Parcel</w:t>
      </w:r>
      <w:r>
        <w:rPr>
          <w:rFonts w:ascii="Arial" w:cs="Arial" w:eastAsia="Arial" w:hAnsi="Arial"/>
          <w:sz w:val="18"/>
          <w:szCs w:val="18"/>
          <w:b w:val="1"/>
          <w:bCs w:val="1"/>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350 ROUSE BOULEVARD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PHILADELPHIA NAVY SHIPYARD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CITY AND COUNTY OF PHILADELPHIA, PA</w:t>
      </w:r>
    </w:p>
    <w:p>
      <w:pPr>
        <w:spacing w:after="0" w:line="213" w:lineRule="exact"/>
        <w:rPr>
          <w:sz w:val="20"/>
          <w:szCs w:val="20"/>
          <w:color w:val="auto"/>
        </w:rPr>
      </w:pPr>
    </w:p>
    <w:p>
      <w:pPr>
        <w:ind w:left="180" w:right="899"/>
        <w:spacing w:after="0" w:line="283" w:lineRule="auto"/>
        <w:rPr>
          <w:sz w:val="20"/>
          <w:szCs w:val="20"/>
          <w:color w:val="auto"/>
        </w:rPr>
      </w:pPr>
      <w:r>
        <w:rPr>
          <w:rFonts w:ascii="Arial" w:cs="Arial" w:eastAsia="Arial" w:hAnsi="Arial"/>
          <w:sz w:val="19"/>
          <w:szCs w:val="19"/>
          <w:color w:val="auto"/>
        </w:rPr>
        <w:t xml:space="preserve">ALL THAT CERTAIN tract or parcel of land situate in The City and County of Philadelphia, Commonwealth of Pennsylvania, as described in a plan entitled "Subdivision Plan, 300 Rouse Boulevard", prepared by SAS-Geospatial, for OPA </w:t>
      </w:r>
      <w:r>
        <w:rPr>
          <w:rFonts w:ascii="Arial" w:cs="Arial" w:eastAsia="Arial" w:hAnsi="Arial"/>
          <w:sz w:val="19"/>
          <w:szCs w:val="19"/>
          <w:i w:val="1"/>
          <w:iCs w:val="1"/>
          <w:color w:val="auto"/>
        </w:rPr>
        <w:t>478-8043300,</w:t>
      </w:r>
      <w:r>
        <w:rPr>
          <w:rFonts w:ascii="Arial" w:cs="Arial" w:eastAsia="Arial" w:hAnsi="Arial"/>
          <w:sz w:val="19"/>
          <w:szCs w:val="19"/>
          <w:color w:val="auto"/>
        </w:rPr>
        <w:t xml:space="preserve"> dated 5/29/19 and last revised 8/28/19 and more particularly described as follows and to wit:</w:t>
      </w:r>
    </w:p>
    <w:p>
      <w:pPr>
        <w:spacing w:after="0" w:line="157" w:lineRule="exact"/>
        <w:rPr>
          <w:sz w:val="20"/>
          <w:szCs w:val="20"/>
          <w:color w:val="auto"/>
        </w:rPr>
      </w:pPr>
    </w:p>
    <w:p>
      <w:pPr>
        <w:ind w:left="180" w:right="219"/>
        <w:spacing w:after="0" w:line="244" w:lineRule="auto"/>
        <w:rPr>
          <w:sz w:val="20"/>
          <w:szCs w:val="20"/>
          <w:color w:val="auto"/>
        </w:rPr>
      </w:pPr>
      <w:r>
        <w:rPr>
          <w:rFonts w:ascii="Arial" w:cs="Arial" w:eastAsia="Arial" w:hAnsi="Arial"/>
          <w:sz w:val="21"/>
          <w:szCs w:val="21"/>
          <w:color w:val="auto"/>
        </w:rPr>
        <w:t>COMMENCING, for said Parcel 7SS, at a point on the Southwesterly side of Rouse Boulevard, (of variable width, existing easement, not on city plan, not legally open, referred to as Easement "F" on reference plan 3) and corner to the Southeasterly line of Normandy Place (85' wide, existing easement, not on city plan, not legally open, referred to as Easement "E" on reference plan 3), said point being measured the following twelve (12) courses, (course A through course L), from a point at the intersection of the Easterly right-of-way line of Broad Street (legally open, on city plan, variable width) and the Southerly right-of-way line of Paulson Avenue (legally open, on city plan, 120 feet wide), to wit,</w:t>
      </w:r>
    </w:p>
    <w:p>
      <w:pPr>
        <w:spacing w:after="0" w:line="196" w:lineRule="exact"/>
        <w:rPr>
          <w:sz w:val="20"/>
          <w:szCs w:val="20"/>
          <w:color w:val="auto"/>
        </w:rPr>
      </w:pPr>
    </w:p>
    <w:p>
      <w:pPr>
        <w:ind w:left="1340" w:right="379" w:hanging="508"/>
        <w:spacing w:after="0" w:line="292" w:lineRule="auto"/>
        <w:tabs>
          <w:tab w:leader="none" w:pos="13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Along the Easterly side of said Broad Street, and along a bearing of South 14 degrees 30 minutes 00 seconds West (incorrectly described in Deed of Confirmation as "East"), a distance of 2527.570 feet to a point in the same, thence;</w:t>
      </w:r>
    </w:p>
    <w:p>
      <w:pPr>
        <w:spacing w:after="0" w:line="39" w:lineRule="exact"/>
        <w:rPr>
          <w:rFonts w:ascii="Arial" w:cs="Arial" w:eastAsia="Arial" w:hAnsi="Arial"/>
          <w:sz w:val="19"/>
          <w:szCs w:val="19"/>
          <w:color w:val="auto"/>
        </w:rPr>
      </w:pPr>
    </w:p>
    <w:p>
      <w:pPr>
        <w:ind w:left="1340" w:right="1159" w:hanging="508"/>
        <w:spacing w:after="0" w:line="264" w:lineRule="auto"/>
        <w:tabs>
          <w:tab w:leader="none" w:pos="13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Along a bearing of South 75 degrees 30 minutes 00 seconds East, a distance of 37.000 feet to a point, thence;</w:t>
      </w:r>
    </w:p>
    <w:p>
      <w:pPr>
        <w:spacing w:after="0" w:line="62" w:lineRule="exact"/>
        <w:rPr>
          <w:rFonts w:ascii="Arial" w:cs="Arial" w:eastAsia="Arial" w:hAnsi="Arial"/>
          <w:sz w:val="21"/>
          <w:szCs w:val="21"/>
          <w:color w:val="auto"/>
        </w:rPr>
      </w:pPr>
    </w:p>
    <w:p>
      <w:pPr>
        <w:ind w:left="1340" w:right="1099" w:hanging="508"/>
        <w:spacing w:after="0" w:line="264" w:lineRule="auto"/>
        <w:tabs>
          <w:tab w:leader="none" w:pos="13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Along a bearing of South 14 degrees 30 minutes 00 seconds West, a distance of 225,647 feet to a point, thence;</w:t>
      </w:r>
    </w:p>
    <w:p>
      <w:pPr>
        <w:spacing w:after="0" w:line="62" w:lineRule="exact"/>
        <w:rPr>
          <w:rFonts w:ascii="Arial" w:cs="Arial" w:eastAsia="Arial" w:hAnsi="Arial"/>
          <w:sz w:val="21"/>
          <w:szCs w:val="21"/>
          <w:color w:val="auto"/>
        </w:rPr>
      </w:pPr>
    </w:p>
    <w:p>
      <w:pPr>
        <w:ind w:left="1340" w:right="1159" w:hanging="508"/>
        <w:spacing w:after="0" w:line="264" w:lineRule="auto"/>
        <w:tabs>
          <w:tab w:leader="none" w:pos="13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Along a bearing of South 03 degrees 41 minutes 51 seconds East, a distance of 215.471 feet to a point, thence;</w:t>
      </w:r>
    </w:p>
    <w:p>
      <w:pPr>
        <w:spacing w:after="0" w:line="49" w:lineRule="exact"/>
        <w:rPr>
          <w:rFonts w:ascii="Arial" w:cs="Arial" w:eastAsia="Arial" w:hAnsi="Arial"/>
          <w:sz w:val="21"/>
          <w:szCs w:val="21"/>
          <w:color w:val="auto"/>
        </w:rPr>
      </w:pPr>
    </w:p>
    <w:p>
      <w:pPr>
        <w:ind w:left="1340" w:right="539" w:hanging="508"/>
        <w:spacing w:after="0" w:line="252" w:lineRule="auto"/>
        <w:tabs>
          <w:tab w:leader="none" w:pos="13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Along the Southerly line of League Island Boulevard, variable width, not on city plan, not legally open, and along a bearing of South 73 degrees 08 minutes 17 seconds East, a distance of 120.591 feet to a point, thence;</w:t>
      </w:r>
    </w:p>
    <w:p>
      <w:pPr>
        <w:spacing w:after="0" w:line="89" w:lineRule="exact"/>
        <w:rPr>
          <w:rFonts w:ascii="Arial" w:cs="Arial" w:eastAsia="Arial" w:hAnsi="Arial"/>
          <w:sz w:val="21"/>
          <w:szCs w:val="21"/>
          <w:color w:val="auto"/>
        </w:rPr>
      </w:pPr>
    </w:p>
    <w:p>
      <w:pPr>
        <w:ind w:left="1340" w:right="299" w:hanging="508"/>
        <w:spacing w:after="0" w:line="252" w:lineRule="auto"/>
        <w:tabs>
          <w:tab w:leader="none" w:pos="13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Continuing along the said Southerly line of League Island Boulevard and along a bearing of North 16 degrees 51 minutes 43 seconds East, a distance of 1.107 feet to a point, thence;</w:t>
      </w:r>
    </w:p>
    <w:p>
      <w:pPr>
        <w:spacing w:after="0" w:line="76" w:lineRule="exact"/>
        <w:rPr>
          <w:rFonts w:ascii="Arial" w:cs="Arial" w:eastAsia="Arial" w:hAnsi="Arial"/>
          <w:sz w:val="21"/>
          <w:szCs w:val="21"/>
          <w:color w:val="auto"/>
        </w:rPr>
      </w:pPr>
    </w:p>
    <w:p>
      <w:pPr>
        <w:ind w:left="1340" w:right="419" w:hanging="508"/>
        <w:spacing w:after="0" w:line="252" w:lineRule="auto"/>
        <w:tabs>
          <w:tab w:leader="none" w:pos="13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Continuing along the said Southerly line of League Island Boulevard and along a bearing of South 75 degrees 29 minutes 32 seconds East, a distance of 538.400 feet to a point of curvature, thence;</w:t>
      </w:r>
    </w:p>
    <w:p>
      <w:pPr>
        <w:spacing w:after="0" w:line="76" w:lineRule="exact"/>
        <w:rPr>
          <w:rFonts w:ascii="Arial" w:cs="Arial" w:eastAsia="Arial" w:hAnsi="Arial"/>
          <w:sz w:val="21"/>
          <w:szCs w:val="21"/>
          <w:color w:val="auto"/>
        </w:rPr>
      </w:pPr>
    </w:p>
    <w:p>
      <w:pPr>
        <w:ind w:left="1340" w:right="439" w:hanging="508"/>
        <w:spacing w:after="0" w:line="292" w:lineRule="auto"/>
        <w:tabs>
          <w:tab w:leader="none" w:pos="1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Continuing along the said Southerly line of League Island Boulevard and Southeasterly 480.981 feet along an arc of a curve concave to the Southeast, having a radius of</w:t>
      </w:r>
    </w:p>
    <w:p>
      <w:pPr>
        <w:ind w:left="1340" w:right="259"/>
        <w:spacing w:after="0" w:line="262" w:lineRule="auto"/>
        <w:rPr>
          <w:rFonts w:ascii="Arial" w:cs="Arial" w:eastAsia="Arial" w:hAnsi="Arial"/>
          <w:sz w:val="18"/>
          <w:szCs w:val="18"/>
          <w:color w:val="auto"/>
        </w:rPr>
      </w:pPr>
      <w:r>
        <w:rPr>
          <w:rFonts w:ascii="Arial" w:cs="Arial" w:eastAsia="Arial" w:hAnsi="Arial"/>
          <w:sz w:val="20"/>
          <w:szCs w:val="20"/>
          <w:color w:val="auto"/>
        </w:rPr>
        <w:t>1,886.035 feet and a delta angle of 14 degrees 36 minutes 42 seconds, crossing Intrepid Avenue (85' wide, existing easement, not on city plan, not legally open) to its intersection with the Easterly line of Intrepid Avenue (said arc having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324485</wp:posOffset>
            </wp:positionV>
            <wp:extent cx="54775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1">
                      <a:extLst>
                        <a:ext uri="{28A0092B-C50C-407E-A947-70E740481C1C}"/>
                      </a:extLst>
                    </a:blip>
                    <a:srcRect/>
                    <a:stretch>
                      <a:fillRect/>
                    </a:stretch>
                  </pic:blipFill>
                  <pic:spPr bwMode="auto">
                    <a:xfrm>
                      <a:off x="0" y="0"/>
                      <a:ext cx="5477510" cy="2540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164" w:name="page165"/>
    <w:bookmarkEnd w:id="164"/>
    <w:p>
      <w:pPr>
        <w:ind w:left="1260" w:right="759"/>
        <w:spacing w:after="0" w:line="250" w:lineRule="auto"/>
        <w:rPr>
          <w:sz w:val="20"/>
          <w:szCs w:val="20"/>
          <w:color w:val="auto"/>
        </w:rPr>
      </w:pPr>
      <w:r>
        <w:rPr>
          <w:rFonts w:ascii="Arial" w:cs="Arial" w:eastAsia="Arial" w:hAnsi="Arial"/>
          <w:sz w:val="21"/>
          <w:szCs w:val="21"/>
          <w:color w:val="auto"/>
        </w:rPr>
        <w:t>chord bearing of South 68degrees 11 minutes 10 seconds East, and a chord length of 479.678 feet from the last described point) thence;</w:t>
      </w:r>
    </w:p>
    <w:p>
      <w:pPr>
        <w:spacing w:after="0" w:line="293" w:lineRule="exact"/>
        <w:rPr>
          <w:sz w:val="20"/>
          <w:szCs w:val="20"/>
          <w:color w:val="auto"/>
        </w:rPr>
      </w:pPr>
    </w:p>
    <w:p>
      <w:pPr>
        <w:ind w:left="1260" w:right="319" w:hanging="513"/>
        <w:spacing w:after="0" w:line="264" w:lineRule="auto"/>
        <w:tabs>
          <w:tab w:leader="none" w:pos="1260" w:val="left"/>
        </w:tabs>
        <w:numPr>
          <w:ilvl w:val="0"/>
          <w:numId w:val="87"/>
        </w:numPr>
        <w:rPr>
          <w:rFonts w:ascii="Arial" w:cs="Arial" w:eastAsia="Arial" w:hAnsi="Arial"/>
          <w:sz w:val="21"/>
          <w:szCs w:val="21"/>
          <w:color w:val="auto"/>
        </w:rPr>
      </w:pPr>
      <w:r>
        <w:rPr>
          <w:rFonts w:ascii="Arial" w:cs="Arial" w:eastAsia="Arial" w:hAnsi="Arial"/>
          <w:sz w:val="21"/>
          <w:szCs w:val="21"/>
          <w:color w:val="auto"/>
        </w:rPr>
        <w:t>Along the Easterly line of Intrepid Avenue South 06 degrees 10 minutes 01 seconds West, a distance of 222.885 to a point, thence;</w:t>
      </w:r>
    </w:p>
    <w:p>
      <w:pPr>
        <w:spacing w:after="0" w:line="76" w:lineRule="exact"/>
        <w:rPr>
          <w:rFonts w:ascii="Arial" w:cs="Arial" w:eastAsia="Arial" w:hAnsi="Arial"/>
          <w:sz w:val="21"/>
          <w:szCs w:val="21"/>
          <w:color w:val="auto"/>
        </w:rPr>
      </w:pPr>
    </w:p>
    <w:p>
      <w:pPr>
        <w:ind w:left="1260" w:right="379" w:hanging="513"/>
        <w:spacing w:after="0" w:line="247" w:lineRule="auto"/>
        <w:tabs>
          <w:tab w:leader="none" w:pos="1255" w:val="left"/>
        </w:tabs>
        <w:numPr>
          <w:ilvl w:val="0"/>
          <w:numId w:val="87"/>
        </w:numPr>
        <w:rPr>
          <w:rFonts w:ascii="Arial" w:cs="Arial" w:eastAsia="Arial" w:hAnsi="Arial"/>
          <w:sz w:val="21"/>
          <w:szCs w:val="21"/>
          <w:color w:val="auto"/>
        </w:rPr>
      </w:pPr>
      <w:r>
        <w:rPr>
          <w:rFonts w:ascii="Arial" w:cs="Arial" w:eastAsia="Arial" w:hAnsi="Arial"/>
          <w:sz w:val="21"/>
          <w:szCs w:val="21"/>
          <w:color w:val="auto"/>
        </w:rPr>
        <w:t>Continuing along the same, Southwesterly 123.912 feet along an arc concave to the Southwest, having a radius of 192.500 feet and a delta angle of 36 degrees 52 minutes 52 seconds to a point in the same (said arc having a chord bearing of South 24 degrees 36 minutes 27 seconds West and a chord length 121.783 feet from the last described point) thence;</w:t>
      </w:r>
    </w:p>
    <w:p>
      <w:pPr>
        <w:spacing w:after="0" w:line="80" w:lineRule="exact"/>
        <w:rPr>
          <w:rFonts w:ascii="Arial" w:cs="Arial" w:eastAsia="Arial" w:hAnsi="Arial"/>
          <w:sz w:val="21"/>
          <w:szCs w:val="21"/>
          <w:color w:val="auto"/>
        </w:rPr>
      </w:pPr>
    </w:p>
    <w:p>
      <w:pPr>
        <w:ind w:left="1260" w:hanging="474"/>
        <w:spacing w:after="0"/>
        <w:tabs>
          <w:tab w:leader="none" w:pos="1260" w:val="left"/>
        </w:tabs>
        <w:numPr>
          <w:ilvl w:val="1"/>
          <w:numId w:val="87"/>
        </w:numPr>
        <w:rPr>
          <w:rFonts w:ascii="Arial" w:cs="Arial" w:eastAsia="Arial" w:hAnsi="Arial"/>
          <w:sz w:val="21"/>
          <w:szCs w:val="21"/>
          <w:color w:val="auto"/>
        </w:rPr>
      </w:pPr>
      <w:r>
        <w:rPr>
          <w:rFonts w:ascii="Arial" w:cs="Arial" w:eastAsia="Arial" w:hAnsi="Arial"/>
          <w:sz w:val="21"/>
          <w:szCs w:val="21"/>
          <w:color w:val="auto"/>
        </w:rPr>
        <w:t>Continuing along the same South 43 degrees 02 minutes 52 seconds West, a</w:t>
      </w:r>
    </w:p>
    <w:p>
      <w:pPr>
        <w:spacing w:after="0" w:line="19" w:lineRule="exact"/>
        <w:rPr>
          <w:rFonts w:ascii="Arial" w:cs="Arial" w:eastAsia="Arial" w:hAnsi="Arial"/>
          <w:sz w:val="21"/>
          <w:szCs w:val="21"/>
          <w:color w:val="auto"/>
        </w:rPr>
      </w:pPr>
    </w:p>
    <w:p>
      <w:pPr>
        <w:ind w:left="1260" w:right="519"/>
        <w:spacing w:after="0" w:line="246" w:lineRule="auto"/>
        <w:rPr>
          <w:rFonts w:ascii="Arial" w:cs="Arial" w:eastAsia="Arial" w:hAnsi="Arial"/>
          <w:sz w:val="21"/>
          <w:szCs w:val="21"/>
          <w:color w:val="auto"/>
        </w:rPr>
      </w:pPr>
      <w:r>
        <w:rPr>
          <w:rFonts w:ascii="Arial" w:cs="Arial" w:eastAsia="Arial" w:hAnsi="Arial"/>
          <w:sz w:val="21"/>
          <w:szCs w:val="21"/>
          <w:color w:val="auto"/>
        </w:rPr>
        <w:t>distance of 344.402 feet crossing Rouse Boulevard, (87'wide, existing easement, not on city plan, not legally open), thence;</w:t>
      </w:r>
    </w:p>
    <w:p>
      <w:pPr>
        <w:spacing w:after="0" w:line="81" w:lineRule="exact"/>
        <w:rPr>
          <w:sz w:val="20"/>
          <w:szCs w:val="20"/>
          <w:color w:val="auto"/>
        </w:rPr>
      </w:pPr>
    </w:p>
    <w:p>
      <w:pPr>
        <w:jc w:val="both"/>
        <w:ind w:left="1260" w:right="1219" w:hanging="474"/>
        <w:spacing w:after="0" w:line="264" w:lineRule="auto"/>
        <w:tabs>
          <w:tab w:leader="none" w:pos="12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Continuing along the Southwest right of way line of said Rouse Boulevard and along a bearing of South 46 degrees 57 minutes 07 seconds East, a distance of 1212.259 feet to the point and place of beginning.</w:t>
      </w:r>
    </w:p>
    <w:p>
      <w:pPr>
        <w:spacing w:after="0" w:line="65" w:lineRule="exact"/>
        <w:rPr>
          <w:sz w:val="20"/>
          <w:szCs w:val="20"/>
          <w:color w:val="auto"/>
        </w:rPr>
      </w:pPr>
    </w:p>
    <w:p>
      <w:pPr>
        <w:ind w:left="160" w:right="399"/>
        <w:spacing w:after="0" w:line="252" w:lineRule="auto"/>
        <w:rPr>
          <w:sz w:val="20"/>
          <w:szCs w:val="20"/>
          <w:color w:val="auto"/>
        </w:rPr>
      </w:pPr>
      <w:r>
        <w:rPr>
          <w:rFonts w:ascii="Arial" w:cs="Arial" w:eastAsia="Arial" w:hAnsi="Arial"/>
          <w:sz w:val="21"/>
          <w:szCs w:val="21"/>
          <w:color w:val="auto"/>
        </w:rPr>
        <w:t>BEGINNING at an Iron Pin Set at the intersection of the southerly side of Rouse Boulevard (87' Wide Easement) and the westerly side of Constitution Avenue (65' Wide Easement) said point being at the northeast corner of Parcel 7SS, thence;</w:t>
      </w:r>
    </w:p>
    <w:p>
      <w:pPr>
        <w:spacing w:after="0" w:line="184" w:lineRule="exact"/>
        <w:rPr>
          <w:sz w:val="20"/>
          <w:szCs w:val="20"/>
          <w:color w:val="auto"/>
        </w:rPr>
      </w:pPr>
    </w:p>
    <w:p>
      <w:pPr>
        <w:ind w:left="540" w:right="379" w:hanging="387"/>
        <w:spacing w:after="0" w:line="264" w:lineRule="auto"/>
        <w:tabs>
          <w:tab w:leader="none" w:pos="5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Southwesterly along the said Constitution Avenue, South 43° 02' 54" West, a distance of 141.947 feet to an iron pin and a point of curvature, thence;</w:t>
      </w:r>
    </w:p>
    <w:p>
      <w:pPr>
        <w:spacing w:after="0" w:line="76" w:lineRule="exact"/>
        <w:rPr>
          <w:rFonts w:ascii="Arial" w:cs="Arial" w:eastAsia="Arial" w:hAnsi="Arial"/>
          <w:sz w:val="21"/>
          <w:szCs w:val="21"/>
          <w:color w:val="auto"/>
        </w:rPr>
      </w:pPr>
    </w:p>
    <w:p>
      <w:pPr>
        <w:ind w:left="540" w:right="319" w:hanging="387"/>
        <w:spacing w:after="0" w:line="252" w:lineRule="auto"/>
        <w:tabs>
          <w:tab w:leader="none" w:pos="5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Along said Constitution Avenue on a curve to the right, having a radius of 466.473 feet, an arc length of 127.640 feet, a chord bearing of South 50° 53' 14" West, a chord distance of 127.242 feet to a point, thence;</w:t>
      </w:r>
    </w:p>
    <w:p>
      <w:pPr>
        <w:spacing w:after="0" w:line="62" w:lineRule="exact"/>
        <w:rPr>
          <w:rFonts w:ascii="Arial" w:cs="Arial" w:eastAsia="Arial" w:hAnsi="Arial"/>
          <w:sz w:val="21"/>
          <w:szCs w:val="21"/>
          <w:color w:val="auto"/>
        </w:rPr>
      </w:pPr>
    </w:p>
    <w:p>
      <w:pPr>
        <w:ind w:left="540" w:right="419" w:hanging="387"/>
        <w:spacing w:after="0" w:line="317"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Northwesterly along the dividing line of Parcel A and Parcel B, said line being non-tangent to the previous course, North 46° 57' 07" West, a distance of 289.645 feet to a point, thence;</w:t>
      </w:r>
    </w:p>
    <w:p>
      <w:pPr>
        <w:spacing w:after="0" w:line="3" w:lineRule="exact"/>
        <w:rPr>
          <w:rFonts w:ascii="Arial" w:cs="Arial" w:eastAsia="Arial" w:hAnsi="Arial"/>
          <w:sz w:val="19"/>
          <w:szCs w:val="19"/>
          <w:color w:val="auto"/>
        </w:rPr>
      </w:pPr>
    </w:p>
    <w:p>
      <w:pPr>
        <w:ind w:left="540" w:right="639" w:hanging="387"/>
        <w:spacing w:after="0" w:line="264" w:lineRule="auto"/>
        <w:tabs>
          <w:tab w:leader="none" w:pos="5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Still along said dividing line, North 43° 02' 54" East a distance of 268,000 feet to a point in the aforementioned southerly side of Rouse Boulevard, thence;</w:t>
      </w:r>
    </w:p>
    <w:p>
      <w:pPr>
        <w:spacing w:after="0" w:line="49" w:lineRule="exact"/>
        <w:rPr>
          <w:rFonts w:ascii="Arial" w:cs="Arial" w:eastAsia="Arial" w:hAnsi="Arial"/>
          <w:sz w:val="21"/>
          <w:szCs w:val="21"/>
          <w:color w:val="auto"/>
        </w:rPr>
      </w:pPr>
    </w:p>
    <w:p>
      <w:pPr>
        <w:ind w:left="540" w:right="839" w:hanging="387"/>
        <w:spacing w:after="0" w:line="264" w:lineRule="auto"/>
        <w:tabs>
          <w:tab w:leader="none" w:pos="5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Southeasterly along the said Rouse Boulevard, South 46° 57' 07" East, a distance of 307,000 feet to the point and place of BEGINNING.</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color w:val="auto"/>
        </w:rPr>
        <w:t>Containing 81,552.3 square feet or 1.87218 acres of land, more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2229485</wp:posOffset>
            </wp:positionV>
            <wp:extent cx="55892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2">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Subsidiaries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GmbH, a company formed under the laws of Switzerland.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Iovance Biotherapeutics B.V., a company formed under the laws of The Netherlands.</w:t>
      </w:r>
    </w:p>
    <w:p>
      <w:pPr>
        <w:spacing w:after="0" w:line="206" w:lineRule="exact"/>
        <w:rPr>
          <w:sz w:val="20"/>
          <w:szCs w:val="20"/>
          <w:color w:val="auto"/>
        </w:rPr>
      </w:pPr>
    </w:p>
    <w:p>
      <w:pPr>
        <w:ind w:right="1040"/>
        <w:spacing w:after="0" w:line="250" w:lineRule="auto"/>
        <w:rPr>
          <w:sz w:val="20"/>
          <w:szCs w:val="20"/>
          <w:color w:val="auto"/>
        </w:rPr>
      </w:pPr>
      <w:r>
        <w:rPr>
          <w:rFonts w:ascii="Arial" w:cs="Arial" w:eastAsia="Arial" w:hAnsi="Arial"/>
          <w:sz w:val="22"/>
          <w:szCs w:val="22"/>
          <w:color w:val="auto"/>
        </w:rPr>
        <w:t>Iovance Biotherapeutics Manufacturing LLC, a limited liability company formed under the laws of the Commonwealth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ind w:left="1040"/>
        <w:spacing w:after="0"/>
        <w:rPr>
          <w:sz w:val="20"/>
          <w:szCs w:val="20"/>
          <w:color w:val="auto"/>
        </w:rPr>
      </w:pPr>
      <w:r>
        <w:rPr>
          <w:rFonts w:ascii="Arial" w:cs="Arial" w:eastAsia="Arial" w:hAnsi="Arial"/>
          <w:sz w:val="18"/>
          <w:szCs w:val="18"/>
          <w:u w:val="single" w:color="auto"/>
          <w:color w:val="auto"/>
        </w:rPr>
        <w:t>CONSENT OF ERNST &amp; YOUNG LLP,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33" w:lineRule="exact"/>
        <w:rPr>
          <w:sz w:val="20"/>
          <w:szCs w:val="20"/>
          <w:color w:val="auto"/>
        </w:rPr>
      </w:pPr>
    </w:p>
    <w:p>
      <w:pPr>
        <w:ind w:left="980" w:right="140" w:hanging="648"/>
        <w:spacing w:after="0" w:line="258" w:lineRule="auto"/>
        <w:tabs>
          <w:tab w:leader="none" w:pos="980" w:val="left"/>
        </w:tabs>
        <w:numPr>
          <w:ilvl w:val="0"/>
          <w:numId w:val="90"/>
        </w:numPr>
        <w:rPr>
          <w:rFonts w:ascii="Arial" w:cs="Arial" w:eastAsia="Arial" w:hAnsi="Arial"/>
          <w:sz w:val="17"/>
          <w:szCs w:val="17"/>
          <w:color w:val="auto"/>
        </w:rPr>
      </w:pPr>
      <w:r>
        <w:rPr>
          <w:rFonts w:ascii="Arial" w:cs="Arial" w:eastAsia="Arial" w:hAnsi="Arial"/>
          <w:sz w:val="18"/>
          <w:szCs w:val="18"/>
          <w:color w:val="auto"/>
        </w:rPr>
        <w:t>Registration Statements (Form S-3 Nos. 333-212373 and 333-214073) pertaining to the Resale Series B and Resale Series A respectively of Iovance Biotherapeutics, Inc.,</w:t>
      </w:r>
    </w:p>
    <w:p>
      <w:pPr>
        <w:spacing w:after="0" w:line="1" w:lineRule="exact"/>
        <w:rPr>
          <w:rFonts w:ascii="Arial" w:cs="Arial" w:eastAsia="Arial" w:hAnsi="Arial"/>
          <w:sz w:val="17"/>
          <w:szCs w:val="17"/>
          <w:color w:val="auto"/>
        </w:rPr>
      </w:pPr>
    </w:p>
    <w:p>
      <w:pPr>
        <w:ind w:left="980" w:hanging="648"/>
        <w:spacing w:after="0"/>
        <w:tabs>
          <w:tab w:leader="none" w:pos="980" w:val="left"/>
        </w:tabs>
        <w:numPr>
          <w:ilvl w:val="0"/>
          <w:numId w:val="90"/>
        </w:numPr>
        <w:rPr>
          <w:rFonts w:ascii="Arial" w:cs="Arial" w:eastAsia="Arial" w:hAnsi="Arial"/>
          <w:sz w:val="17"/>
          <w:szCs w:val="17"/>
          <w:color w:val="auto"/>
        </w:rPr>
      </w:pPr>
      <w:r>
        <w:rPr>
          <w:rFonts w:ascii="Arial" w:cs="Arial" w:eastAsia="Arial" w:hAnsi="Arial"/>
          <w:sz w:val="18"/>
          <w:szCs w:val="18"/>
          <w:color w:val="auto"/>
        </w:rPr>
        <w:t>Registration Statement (Form S-3 No. 333-238724) pertaining to the ASR of Iovance Biotherapeutics, Inc.,</w:t>
      </w:r>
    </w:p>
    <w:p>
      <w:pPr>
        <w:spacing w:after="0" w:line="9" w:lineRule="exact"/>
        <w:rPr>
          <w:rFonts w:ascii="Arial" w:cs="Arial" w:eastAsia="Arial" w:hAnsi="Arial"/>
          <w:sz w:val="17"/>
          <w:szCs w:val="17"/>
          <w:color w:val="auto"/>
        </w:rPr>
      </w:pPr>
    </w:p>
    <w:p>
      <w:pPr>
        <w:ind w:left="980" w:right="1180" w:hanging="648"/>
        <w:spacing w:after="0" w:line="250" w:lineRule="auto"/>
        <w:tabs>
          <w:tab w:leader="none" w:pos="980" w:val="left"/>
        </w:tabs>
        <w:numPr>
          <w:ilvl w:val="0"/>
          <w:numId w:val="90"/>
        </w:numPr>
        <w:rPr>
          <w:rFonts w:ascii="Arial" w:cs="Arial" w:eastAsia="Arial" w:hAnsi="Arial"/>
          <w:sz w:val="17"/>
          <w:szCs w:val="17"/>
          <w:color w:val="auto"/>
        </w:rPr>
      </w:pPr>
      <w:r>
        <w:rPr>
          <w:rFonts w:ascii="Arial" w:cs="Arial" w:eastAsia="Arial" w:hAnsi="Arial"/>
          <w:sz w:val="18"/>
          <w:szCs w:val="18"/>
          <w:color w:val="auto"/>
        </w:rPr>
        <w:t>Registration Statement (Form S-8 No. 333-205097) pertaining to the 2011 Equity Incentive Plan of Iovance Biotherapeutics, Inc.,</w:t>
      </w:r>
    </w:p>
    <w:p>
      <w:pPr>
        <w:ind w:left="980" w:right="1180" w:hanging="648"/>
        <w:spacing w:after="0" w:line="250" w:lineRule="auto"/>
        <w:tabs>
          <w:tab w:leader="none" w:pos="980" w:val="left"/>
        </w:tabs>
        <w:numPr>
          <w:ilvl w:val="0"/>
          <w:numId w:val="90"/>
        </w:numPr>
        <w:rPr>
          <w:rFonts w:ascii="Arial" w:cs="Arial" w:eastAsia="Arial" w:hAnsi="Arial"/>
          <w:sz w:val="17"/>
          <w:szCs w:val="17"/>
          <w:color w:val="auto"/>
        </w:rPr>
      </w:pPr>
      <w:r>
        <w:rPr>
          <w:rFonts w:ascii="Arial" w:cs="Arial" w:eastAsia="Arial" w:hAnsi="Arial"/>
          <w:sz w:val="18"/>
          <w:szCs w:val="18"/>
          <w:color w:val="auto"/>
        </w:rPr>
        <w:t>Registration Statement (Form S-8 No. 333-214567) pertaining to the 2014 Equity Incentive Plan of Iovance Biotherapeutics, Inc.,</w:t>
      </w:r>
    </w:p>
    <w:p>
      <w:pPr>
        <w:ind w:left="980" w:hanging="648"/>
        <w:spacing w:after="0"/>
        <w:tabs>
          <w:tab w:leader="none" w:pos="980" w:val="left"/>
        </w:tabs>
        <w:numPr>
          <w:ilvl w:val="0"/>
          <w:numId w:val="90"/>
        </w:numPr>
        <w:rPr>
          <w:rFonts w:ascii="Arial" w:cs="Arial" w:eastAsia="Arial" w:hAnsi="Arial"/>
          <w:sz w:val="16"/>
          <w:szCs w:val="16"/>
          <w:color w:val="auto"/>
        </w:rPr>
      </w:pPr>
      <w:r>
        <w:rPr>
          <w:rFonts w:ascii="Arial" w:cs="Arial" w:eastAsia="Arial" w:hAnsi="Arial"/>
          <w:sz w:val="17"/>
          <w:szCs w:val="17"/>
          <w:color w:val="auto"/>
        </w:rPr>
        <w:t>Registration Statement (Form S-8 No. 333-217638) pertaining to Maria Fardis RSUs of Iovance Biotherapeutics, Inc.,</w:t>
      </w:r>
    </w:p>
    <w:p>
      <w:pPr>
        <w:spacing w:after="0" w:line="20" w:lineRule="exact"/>
        <w:rPr>
          <w:rFonts w:ascii="Arial" w:cs="Arial" w:eastAsia="Arial" w:hAnsi="Arial"/>
          <w:sz w:val="16"/>
          <w:szCs w:val="16"/>
          <w:color w:val="auto"/>
        </w:rPr>
      </w:pPr>
    </w:p>
    <w:p>
      <w:pPr>
        <w:ind w:left="980" w:right="700" w:hanging="648"/>
        <w:spacing w:after="0" w:line="250" w:lineRule="auto"/>
        <w:tabs>
          <w:tab w:leader="none" w:pos="980" w:val="left"/>
        </w:tabs>
        <w:numPr>
          <w:ilvl w:val="0"/>
          <w:numId w:val="90"/>
        </w:numPr>
        <w:rPr>
          <w:rFonts w:ascii="Arial" w:cs="Arial" w:eastAsia="Arial" w:hAnsi="Arial"/>
          <w:sz w:val="17"/>
          <w:szCs w:val="17"/>
          <w:color w:val="auto"/>
        </w:rPr>
      </w:pPr>
      <w:r>
        <w:rPr>
          <w:rFonts w:ascii="Arial" w:cs="Arial" w:eastAsia="Arial" w:hAnsi="Arial"/>
          <w:sz w:val="18"/>
          <w:szCs w:val="18"/>
          <w:color w:val="auto"/>
        </w:rPr>
        <w:t>Registration Statements (Form S-8 No. 333-239316 and 333-227242) pertaining to the 2018 Equity Incentive Plan (amended 2020) and 2018 Equity Incentive Plan of Iovance Biotherapeutics, Inc.,</w:t>
      </w:r>
    </w:p>
    <w:p>
      <w:pPr>
        <w:ind w:left="980" w:right="500" w:hanging="648"/>
        <w:spacing w:after="0" w:line="250" w:lineRule="auto"/>
        <w:tabs>
          <w:tab w:leader="none" w:pos="980" w:val="left"/>
        </w:tabs>
        <w:numPr>
          <w:ilvl w:val="0"/>
          <w:numId w:val="90"/>
        </w:numPr>
        <w:rPr>
          <w:rFonts w:ascii="Arial" w:cs="Arial" w:eastAsia="Arial" w:hAnsi="Arial"/>
          <w:sz w:val="17"/>
          <w:szCs w:val="17"/>
          <w:color w:val="auto"/>
        </w:rPr>
      </w:pPr>
      <w:r>
        <w:rPr>
          <w:rFonts w:ascii="Arial" w:cs="Arial" w:eastAsia="Arial" w:hAnsi="Arial"/>
          <w:sz w:val="18"/>
          <w:szCs w:val="18"/>
          <w:color w:val="auto"/>
        </w:rPr>
        <w:t>Registration Statement (Form S-8 No. 333-239317) pertaining to the 2020 Employee Stock Purchase Plan of Iovance Biotherapeutics, Inc., and</w:t>
      </w:r>
    </w:p>
    <w:p>
      <w:pPr>
        <w:ind w:left="980" w:right="300" w:hanging="648"/>
        <w:spacing w:after="0" w:line="260" w:lineRule="auto"/>
        <w:tabs>
          <w:tab w:leader="none" w:pos="980" w:val="left"/>
        </w:tabs>
        <w:numPr>
          <w:ilvl w:val="0"/>
          <w:numId w:val="90"/>
        </w:numPr>
        <w:rPr>
          <w:rFonts w:ascii="Arial" w:cs="Arial" w:eastAsia="Arial" w:hAnsi="Arial"/>
          <w:sz w:val="17"/>
          <w:szCs w:val="17"/>
          <w:color w:val="auto"/>
        </w:rPr>
      </w:pPr>
      <w:r>
        <w:rPr>
          <w:rFonts w:ascii="Arial" w:cs="Arial" w:eastAsia="Arial" w:hAnsi="Arial"/>
          <w:sz w:val="18"/>
          <w:szCs w:val="18"/>
          <w:color w:val="auto"/>
        </w:rPr>
        <w:t>Registration Statement (Form S-8 No. 333-259752) pertaining to the 2021 Inducement Plan of Iovance Biotherapeutics, Inc.;</w:t>
      </w:r>
    </w:p>
    <w:p>
      <w:pPr>
        <w:spacing w:after="0" w:line="29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of our reports dated February 24, 2022, with respect to the consolidated financial statements of Iovance Biotherapeutics, Inc. and the effectiveness of internal control over financial reporting of Iovance Biotherapeutics, Inc. included in this Annual Report (Form 10-K) of Iovance Biotherapeutics, Inc. for the year ended December 31, 2021.</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41319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5">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7" w:name="page168"/>
    <w:bookmarkEnd w:id="167"/>
    <w:p>
      <w:pPr>
        <w:jc w:val="right"/>
        <w:ind w:right="219"/>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54521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7">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00" w:lineRule="exact"/>
        <w:rPr>
          <w:sz w:val="20"/>
          <w:szCs w:val="20"/>
          <w:color w:val="auto"/>
        </w:rPr>
      </w:pPr>
    </w:p>
    <w:p>
      <w:pPr>
        <w:spacing w:after="0" w:line="241" w:lineRule="exact"/>
        <w:rPr>
          <w:sz w:val="20"/>
          <w:szCs w:val="20"/>
          <w:color w:val="auto"/>
        </w:rPr>
      </w:pPr>
    </w:p>
    <w:p>
      <w:pPr>
        <w:jc w:val="both"/>
        <w:ind w:left="200" w:right="219"/>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Statements of Iovance Biotherapeutics, Inc. on Form S-3 (File No. 333-238724), Form S-3 (File No. 333-214073), Form S-3 (File No. 333-212373), Form S-8 (File No. 333-239317), Form S-8 (File No. 333-239316), Form S-8 (File No. 333-227242), Form S-8 (File No. 333-205097), Form S-8 (File No. 333-217638), Form S-8 (File No. 333-214567) and Form S-8 (File No. 333-259752) of our report dated February 25, 2021, with respect to our audits of the consolidated financial statements of Iovance Biotherapeutics, Inc. as of December 31, 2020 and for each of the two years in the period ended December 31, 2020, which report is included in this Annual Report on Form 10-K of Iovance Biotherapeutics, Inc. for the year ended December 31, 2021.</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Frederick G. Vogt, PhD., J.D., Interim Chief Executive Officer and President, and General Counsel of Iovance Biotherapeutics, Inc., certify that:</w:t>
      </w:r>
    </w:p>
    <w:p>
      <w:pPr>
        <w:spacing w:after="0" w:line="170" w:lineRule="exact"/>
        <w:rPr>
          <w:sz w:val="20"/>
          <w:szCs w:val="20"/>
          <w:color w:val="auto"/>
        </w:rPr>
      </w:pPr>
    </w:p>
    <w:p>
      <w:pPr>
        <w:ind w:left="360" w:hanging="222"/>
        <w:spacing w:after="0"/>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80" w:right="140" w:hanging="242"/>
        <w:spacing w:after="0" w:line="263" w:lineRule="auto"/>
        <w:tabs>
          <w:tab w:leader="none" w:pos="3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40" w:hanging="242"/>
        <w:spacing w:after="0" w:line="263" w:lineRule="auto"/>
        <w:tabs>
          <w:tab w:leader="none" w:pos="3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80" w:hanging="242"/>
        <w:spacing w:after="0" w:line="263" w:lineRule="auto"/>
        <w:tabs>
          <w:tab w:leader="none" w:pos="36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520" w:hanging="382"/>
        <w:spacing w:after="0" w:line="286" w:lineRule="auto"/>
        <w:tabs>
          <w:tab w:leader="none" w:pos="511"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right="320" w:hanging="382"/>
        <w:spacing w:after="0" w:line="286" w:lineRule="auto"/>
        <w:tabs>
          <w:tab w:leader="none" w:pos="521"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520" w:right="100" w:hanging="382"/>
        <w:spacing w:after="0" w:line="263" w:lineRule="auto"/>
        <w:tabs>
          <w:tab w:leader="none" w:pos="5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20" w:right="100" w:hanging="382"/>
        <w:spacing w:after="0" w:line="263" w:lineRule="auto"/>
        <w:tabs>
          <w:tab w:leader="none" w:pos="521"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80" w:right="200" w:hanging="242"/>
        <w:spacing w:after="0" w:line="263" w:lineRule="auto"/>
        <w:tabs>
          <w:tab w:leader="none" w:pos="369"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520" w:right="20" w:hanging="382"/>
        <w:spacing w:after="0" w:line="342" w:lineRule="auto"/>
        <w:tabs>
          <w:tab w:leader="none" w:pos="501"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220" w:hanging="382"/>
        <w:spacing w:after="0" w:line="277" w:lineRule="auto"/>
        <w:tabs>
          <w:tab w:leader="none" w:pos="51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Frederick G. Vogt,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375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Frederick G. Vogt, Ph.D., J.D.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Interim Chief Executive Officer and President, and General Counsel</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Jean-Marc Bellemin, Chief Financial Officer of Iovance Biotherapeutics, Inc., certify that:</w:t>
      </w:r>
    </w:p>
    <w:p>
      <w:pPr>
        <w:spacing w:after="0" w:line="225" w:lineRule="exact"/>
        <w:rPr>
          <w:sz w:val="20"/>
          <w:szCs w:val="20"/>
          <w:color w:val="auto"/>
        </w:rPr>
      </w:pPr>
    </w:p>
    <w:p>
      <w:pPr>
        <w:ind w:left="360" w:hanging="222"/>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80" w:right="140" w:hanging="242"/>
        <w:spacing w:after="0" w:line="263" w:lineRule="auto"/>
        <w:tabs>
          <w:tab w:leader="none" w:pos="3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40" w:hanging="242"/>
        <w:spacing w:after="0" w:line="263" w:lineRule="auto"/>
        <w:tabs>
          <w:tab w:leader="none" w:pos="3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80" w:hanging="242"/>
        <w:spacing w:after="0" w:line="263" w:lineRule="auto"/>
        <w:tabs>
          <w:tab w:leader="none" w:pos="3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520" w:hanging="382"/>
        <w:spacing w:after="0" w:line="286" w:lineRule="auto"/>
        <w:tabs>
          <w:tab w:leader="none" w:pos="5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right="320" w:hanging="382"/>
        <w:spacing w:after="0" w:line="286" w:lineRule="auto"/>
        <w:tabs>
          <w:tab w:leader="none" w:pos="521"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520" w:right="100" w:hanging="382"/>
        <w:spacing w:after="0" w:line="263" w:lineRule="auto"/>
        <w:tabs>
          <w:tab w:leader="none" w:pos="5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20" w:right="100" w:hanging="382"/>
        <w:spacing w:after="0" w:line="263" w:lineRule="auto"/>
        <w:tabs>
          <w:tab w:leader="none" w:pos="5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left="380" w:right="200" w:hanging="242"/>
        <w:spacing w:after="0" w:line="263" w:lineRule="auto"/>
        <w:tabs>
          <w:tab w:leader="none" w:pos="3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520" w:right="20" w:hanging="382"/>
        <w:spacing w:after="0" w:line="342" w:lineRule="auto"/>
        <w:tabs>
          <w:tab w:leader="none" w:pos="501"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220" w:hanging="382"/>
        <w:spacing w:after="0" w:line="277" w:lineRule="auto"/>
        <w:tabs>
          <w:tab w:leader="none" w:pos="5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 &amp;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 Frederick G. Vogt, Ph.D., J.D., Interim Chief Executive Officer and President, and General Counsel, of Iovance Biotherapeutics, Inc. (Company), do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660" w:right="500" w:hanging="652"/>
        <w:spacing w:after="0" w:line="277" w:lineRule="auto"/>
        <w:tabs>
          <w:tab w:leader="none" w:pos="6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120" w:hanging="652"/>
        <w:spacing w:after="0" w:line="277" w:lineRule="auto"/>
        <w:tabs>
          <w:tab w:leader="none" w:pos="6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Frederick G. Vogt,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Frederick G. Vogt, Ph.D., J.D.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Interim Chief Executive Officer and President, and General Counsel</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Jean-Marc Bellemin, Chief Financial Officer of Iovance Biotherapeutics, Inc.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38" w:lineRule="exact"/>
        <w:rPr>
          <w:sz w:val="20"/>
          <w:szCs w:val="20"/>
          <w:color w:val="auto"/>
        </w:rPr>
      </w:pPr>
    </w:p>
    <w:p>
      <w:pPr>
        <w:ind w:left="660" w:right="540" w:hanging="652"/>
        <w:spacing w:after="0" w:line="277" w:lineRule="auto"/>
        <w:tabs>
          <w:tab w:leader="none" w:pos="59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right="180" w:hanging="652"/>
        <w:spacing w:after="0" w:line="277" w:lineRule="auto"/>
        <w:tabs>
          <w:tab w:leader="none" w:pos="59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Jean-Marc Bellemin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Jean-Marc Bellemin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 &amp;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1."/>
      <w:numFmt w:val="decimal"/>
      <w:start w:val="1"/>
    </w:lvl>
    <w:lvl w:ilvl="1">
      <w:lvlJc w:val="left"/>
      <w:lvlText w:val="●"/>
      <w:numFmt w:val="bullet"/>
      <w:start w:val="1"/>
    </w:lvl>
  </w:abstractNum>
  <w:abstractNum w:abstractNumId="14">
    <w:nsid w:val="1CF10FD8"/>
    <w:multiLevelType w:val="hybridMultilevel"/>
    <w:lvl w:ilvl="0">
      <w:lvlJc w:val="left"/>
      <w:lvlText w:val="●"/>
      <w:numFmt w:val="bullet"/>
      <w:start w:val="1"/>
    </w:lvl>
    <w:lvl w:ilvl="1">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lvl w:ilvl="1">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lowerLetter"/>
      <w:start w:val="35"/>
    </w:lvl>
  </w:abstractNum>
  <w:abstractNum w:abstractNumId="36">
    <w:nsid w:val="5DB70AE5"/>
    <w:multiLevelType w:val="hybridMultilevel"/>
    <w:lvl w:ilvl="0">
      <w:lvlJc w:val="left"/>
      <w:lvlText w:val="(%1)"/>
      <w:numFmt w:val="lowerLetter"/>
      <w:start w:val="2"/>
    </w:lvl>
  </w:abstractNum>
  <w:abstractNum w:abstractNumId="37">
    <w:nsid w:val="100F8FCA"/>
    <w:multiLevelType w:val="hybridMultilevel"/>
    <w:lvl w:ilvl="0">
      <w:lvlJc w:val="left"/>
      <w:lvlText w:val="(%1)"/>
      <w:numFmt w:val="lowerRoman"/>
      <w:start w:val="4"/>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decimal"/>
      <w:start w:val="101"/>
    </w:lvl>
  </w:abstractNum>
  <w:abstractNum w:abstractNumId="40">
    <w:nsid w:val="5F5E7FD0"/>
    <w:multiLevelType w:val="hybridMultilevel"/>
    <w:lvl w:ilvl="0">
      <w:lvlJc w:val="left"/>
      <w:lvlText w:val="%1"/>
      <w:numFmt w:val="decimal"/>
      <w:start w:val="104"/>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o"/>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9">
    <w:nsid w:val="540A471C"/>
    <w:multiLevelType w:val="hybridMultilevel"/>
    <w:lvl w:ilvl="0">
      <w:lvlJc w:val="left"/>
      <w:lvlText w:val="(%1)"/>
      <w:numFmt w:val="decimal"/>
      <w:start w:val="4"/>
    </w:lvl>
    <w:lvl w:ilvl="1">
      <w:lvlJc w:val="left"/>
      <w:lvlText w:val="%2."/>
      <w:numFmt w:val="decimal"/>
      <w:start w:val="2"/>
    </w:lvl>
    <w:lvl w:ilvl="2">
      <w:lvlJc w:val="left"/>
      <w:lvlText w:val="(%3)"/>
      <w:numFmt w:val="lowerLetter"/>
      <w:start w:val="1"/>
    </w:lvl>
  </w:abstractNum>
  <w:abstractNum w:abstractNumId="50">
    <w:nsid w:val="7BD3EE7B"/>
    <w:multiLevelType w:val="hybridMultilevel"/>
    <w:lvl w:ilvl="0">
      <w:lvlJc w:val="left"/>
      <w:lvlText w:val="(%1)"/>
      <w:numFmt w:val="lowerLetter"/>
      <w:start w:val="7"/>
    </w:lvl>
    <w:lvl w:ilvl="1">
      <w:lvlJc w:val="left"/>
      <w:lvlText w:val="(%2)"/>
      <w:numFmt w:val="lowerRoman"/>
      <w:start w:val="1"/>
    </w:lvl>
  </w:abstractNum>
  <w:abstractNum w:abstractNumId="51">
    <w:nsid w:val="51D9C564"/>
    <w:multiLevelType w:val="hybridMultilevel"/>
    <w:lvl w:ilvl="0">
      <w:lvlJc w:val="left"/>
      <w:lvlText w:val="(%1)"/>
      <w:numFmt w:val="lowerLetter"/>
      <w:start w:val="8"/>
    </w:lvl>
  </w:abstractNum>
  <w:abstractNum w:abstractNumId="52">
    <w:nsid w:val="613EFDC5"/>
    <w:multiLevelType w:val="hybridMultilevel"/>
    <w:lvl w:ilvl="0">
      <w:lvlJc w:val="left"/>
      <w:lvlText w:val="(%1)"/>
      <w:numFmt w:val="lowerLetter"/>
      <w:start w:val="21"/>
    </w:lvl>
  </w:abstractNum>
  <w:abstractNum w:abstractNumId="53">
    <w:nsid w:val="BF72B14"/>
    <w:multiLevelType w:val="hybridMultilevel"/>
    <w:lvl w:ilvl="0">
      <w:lvlJc w:val="left"/>
      <w:lvlText w:val="%1"/>
      <w:numFmt w:val="decimal"/>
      <w:start w:val="1"/>
    </w:lvl>
    <w:lvl w:ilvl="1">
      <w:lvlJc w:val="left"/>
      <w:lvlText w:val="(%2)"/>
      <w:numFmt w:val="lowerLetter"/>
      <w:start w:val="27"/>
    </w:lvl>
  </w:abstractNum>
  <w:abstractNum w:abstractNumId="54">
    <w:nsid w:val="11447B73"/>
    <w:multiLevelType w:val="hybridMultilevel"/>
    <w:lvl w:ilvl="0">
      <w:lvlJc w:val="left"/>
      <w:lvlText w:val="%1."/>
      <w:numFmt w:val="decimal"/>
      <w:start w:val="4"/>
    </w:lvl>
    <w:lvl w:ilvl="1">
      <w:lvlJc w:val="left"/>
      <w:lvlText w:val="(%2)"/>
      <w:numFmt w:val="lowerLetter"/>
      <w:start w:val="1"/>
    </w:lvl>
  </w:abstractNum>
  <w:abstractNum w:abstractNumId="55">
    <w:nsid w:val="42963E5A"/>
    <w:multiLevelType w:val="hybridMultilevel"/>
    <w:lvl w:ilvl="0">
      <w:lvlJc w:val="left"/>
      <w:lvlText w:val="%1"/>
      <w:numFmt w:val="decimal"/>
      <w:start w:val="1"/>
    </w:lvl>
    <w:lvl w:ilvl="1">
      <w:lvlJc w:val="left"/>
      <w:lvlText w:val="(%2)"/>
      <w:numFmt w:val="lowerLetter"/>
      <w:start w:val="2"/>
    </w:lvl>
  </w:abstractNum>
  <w:abstractNum w:abstractNumId="56">
    <w:nsid w:val="A0382C5"/>
    <w:multiLevelType w:val="hybridMultilevel"/>
    <w:lvl w:ilvl="0">
      <w:lvlJc w:val="left"/>
      <w:lvlText w:val="%1."/>
      <w:numFmt w:val="decimal"/>
      <w:start w:val="5"/>
    </w:lvl>
    <w:lvl w:ilvl="1">
      <w:lvlJc w:val="left"/>
      <w:lvlText w:val="%2"/>
      <w:numFmt w:val="lowerLetter"/>
      <w:start w:val="1"/>
    </w:lvl>
  </w:abstractNum>
  <w:abstractNum w:abstractNumId="57">
    <w:nsid w:val="8F2B15E"/>
    <w:multiLevelType w:val="hybridMultilevel"/>
    <w:lvl w:ilvl="0">
      <w:lvlJc w:val="left"/>
      <w:lvlText w:val="%1"/>
      <w:numFmt w:val="decimal"/>
      <w:start w:val="1"/>
    </w:lvl>
    <w:lvl w:ilvl="1">
      <w:lvlJc w:val="left"/>
      <w:lvlText w:val="(%2)"/>
      <w:numFmt w:val="lowerLetter"/>
      <w:start w:val="1"/>
    </w:lvl>
  </w:abstractNum>
  <w:abstractNum w:abstractNumId="58">
    <w:nsid w:val="1A32234B"/>
    <w:multiLevelType w:val="hybridMultilevel"/>
    <w:lvl w:ilvl="0">
      <w:lvlJc w:val="left"/>
      <w:lvlText w:val="%1."/>
      <w:numFmt w:val="decimal"/>
      <w:start w:val="6"/>
    </w:lvl>
    <w:lvl w:ilvl="1">
      <w:lvlJc w:val="left"/>
      <w:lvlText w:val="(%2)"/>
      <w:numFmt w:val="lowerLetter"/>
      <w:start w:val="1"/>
    </w:lvl>
  </w:abstractNum>
  <w:abstractNum w:abstractNumId="59">
    <w:nsid w:val="3B0FD379"/>
    <w:multiLevelType w:val="hybridMultilevel"/>
    <w:lvl w:ilvl="0">
      <w:lvlJc w:val="left"/>
      <w:lvlText w:val="%1"/>
      <w:numFmt w:val="decimal"/>
      <w:start w:val="1"/>
    </w:lvl>
    <w:lvl w:ilvl="1">
      <w:lvlJc w:val="left"/>
      <w:lvlText w:val="(%2)"/>
      <w:numFmt w:val="lowerLetter"/>
      <w:start w:val="5"/>
    </w:lvl>
  </w:abstractNum>
  <w:abstractNum w:abstractNumId="60">
    <w:nsid w:val="68EB2F63"/>
    <w:multiLevelType w:val="hybridMultilevel"/>
    <w:lvl w:ilvl="0">
      <w:lvlJc w:val="left"/>
      <w:lvlText w:val="%1."/>
      <w:numFmt w:val="decimal"/>
      <w:start w:val="8"/>
    </w:lvl>
    <w:lvl w:ilvl="1">
      <w:lvlJc w:val="left"/>
      <w:lvlText w:val="(%2)"/>
      <w:numFmt w:val="lowerLetter"/>
      <w:start w:val="1"/>
    </w:lvl>
  </w:abstractNum>
  <w:abstractNum w:abstractNumId="61">
    <w:nsid w:val="4962813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62">
    <w:nsid w:val="60B6DF7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63">
    <w:nsid w:val="6A5EE64"/>
    <w:multiLevelType w:val="hybridMultilevel"/>
    <w:lvl w:ilvl="0">
      <w:lvlJc w:val="left"/>
      <w:lvlText w:val="(%1)"/>
      <w:numFmt w:val="lowerLetter"/>
      <w:start w:val="5"/>
    </w:lvl>
  </w:abstractNum>
  <w:abstractNum w:abstractNumId="64">
    <w:nsid w:val="14330624"/>
    <w:multiLevelType w:val="hybridMultilevel"/>
    <w:lvl w:ilvl="0">
      <w:lvlJc w:val="left"/>
      <w:lvlText w:val="%1."/>
      <w:numFmt w:val="decimal"/>
      <w:start w:val="10"/>
    </w:lvl>
    <w:lvl w:ilvl="1">
      <w:lvlJc w:val="left"/>
      <w:lvlText w:val="(%2)"/>
      <w:numFmt w:val="lowerRoman"/>
      <w:start w:val="1"/>
    </w:lvl>
  </w:abstractNum>
  <w:abstractNum w:abstractNumId="65">
    <w:nsid w:val="7FFFCA11"/>
    <w:multiLevelType w:val="hybridMultilevel"/>
    <w:lvl w:ilvl="0">
      <w:lvlJc w:val="left"/>
      <w:lvlText w:val="%1."/>
      <w:numFmt w:val="decimal"/>
      <w:start w:val="12"/>
    </w:lvl>
    <w:lvl w:ilvl="1">
      <w:lvlJc w:val="left"/>
      <w:lvlText w:val="(%2)"/>
      <w:numFmt w:val="lowerLetter"/>
      <w:start w:val="1"/>
    </w:lvl>
  </w:abstractNum>
  <w:abstractNum w:abstractNumId="66">
    <w:nsid w:val="1A27709E"/>
    <w:multiLevelType w:val="hybridMultilevel"/>
    <w:lvl w:ilvl="0">
      <w:lvlJc w:val="left"/>
      <w:lvlText w:val="%1."/>
      <w:numFmt w:val="decimal"/>
      <w:start w:val="13"/>
    </w:lvl>
    <w:lvl w:ilvl="1">
      <w:lvlJc w:val="left"/>
      <w:lvlText w:val="(%2)"/>
      <w:numFmt w:val="lowerLetter"/>
      <w:start w:val="1"/>
    </w:lvl>
  </w:abstractNum>
  <w:abstractNum w:abstractNumId="67">
    <w:nsid w:val="71EA110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8">
    <w:nsid w:val="100F59DC"/>
    <w:multiLevelType w:val="hybridMultilevel"/>
    <w:lvl w:ilvl="0">
      <w:lvlJc w:val="left"/>
      <w:lvlText w:val="(%1)"/>
      <w:numFmt w:val="lowerLetter"/>
      <w:start w:val="3"/>
    </w:lvl>
    <w:lvl w:ilvl="1">
      <w:lvlJc w:val="left"/>
      <w:lvlText w:val="(%2)"/>
      <w:numFmt w:val="lowerRoman"/>
      <w:start w:val="1"/>
    </w:lvl>
  </w:abstractNum>
  <w:abstractNum w:abstractNumId="69">
    <w:nsid w:val="7FB7E0AA"/>
    <w:multiLevelType w:val="hybridMultilevel"/>
    <w:lvl w:ilvl="0">
      <w:lvlJc w:val="left"/>
      <w:lvlText w:val="(%1)"/>
      <w:numFmt w:val="lowerLetter"/>
      <w:start w:val="7"/>
    </w:lvl>
    <w:lvl w:ilvl="1">
      <w:lvlJc w:val="left"/>
      <w:lvlText w:val="(%2)"/>
      <w:numFmt w:val="lowerRoman"/>
      <w:start w:val="1"/>
    </w:lvl>
  </w:abstractNum>
  <w:abstractNum w:abstractNumId="70">
    <w:nsid w:val="6EB5BD4"/>
    <w:multiLevelType w:val="hybridMultilevel"/>
    <w:lvl w:ilvl="0">
      <w:lvlJc w:val="left"/>
      <w:lvlText w:val="(%1)"/>
      <w:numFmt w:val="lowerLetter"/>
      <w:start w:val="11"/>
    </w:lvl>
  </w:abstractNum>
  <w:abstractNum w:abstractNumId="71">
    <w:nsid w:val="6F6DD9AC"/>
    <w:multiLevelType w:val="hybridMultilevel"/>
    <w:lvl w:ilvl="0">
      <w:lvlJc w:val="left"/>
      <w:lvlText w:val="(%1)"/>
      <w:numFmt w:val="lowerLetter"/>
      <w:start w:val="19"/>
    </w:lvl>
    <w:lvl w:ilvl="1">
      <w:lvlJc w:val="left"/>
      <w:lvlText w:val="(%2)"/>
      <w:numFmt w:val="lowerRoman"/>
      <w:start w:val="1"/>
    </w:lvl>
  </w:abstractNum>
  <w:abstractNum w:abstractNumId="72">
    <w:nsid w:val="94211F2"/>
    <w:multiLevelType w:val="hybridMultilevel"/>
    <w:lvl w:ilvl="0">
      <w:lvlJc w:val="left"/>
      <w:lvlText w:val="(%1)"/>
      <w:numFmt w:val="lowerLetter"/>
      <w:start w:val="25"/>
    </w:lvl>
    <w:lvl w:ilvl="1">
      <w:lvlJc w:val="left"/>
      <w:lvlText w:val="*"/>
      <w:numFmt w:val="bullet"/>
      <w:start w:val="1"/>
    </w:lvl>
  </w:abstractNum>
  <w:abstractNum w:abstractNumId="73">
    <w:nsid w:val="885E1B"/>
    <w:multiLevelType w:val="hybridMultilevel"/>
    <w:lvl w:ilvl="0">
      <w:lvlJc w:val="left"/>
      <w:lvlText w:val="%1."/>
      <w:numFmt w:val="decimal"/>
      <w:start w:val="1"/>
    </w:lvl>
  </w:abstractNum>
  <w:abstractNum w:abstractNumId="74">
    <w:nsid w:val="76272110"/>
    <w:multiLevelType w:val="hybridMultilevel"/>
    <w:lvl w:ilvl="0">
      <w:lvlJc w:val="left"/>
      <w:lvlText w:val="%1."/>
      <w:numFmt w:val="decimal"/>
      <w:start w:val="2"/>
    </w:lvl>
  </w:abstractNum>
  <w:abstractNum w:abstractNumId="75">
    <w:nsid w:val="4C04A8AF"/>
    <w:multiLevelType w:val="hybridMultilevel"/>
    <w:lvl w:ilvl="0">
      <w:lvlJc w:val="left"/>
      <w:lvlText w:val="%1."/>
      <w:numFmt w:val="decimal"/>
      <w:start w:val="5"/>
    </w:lvl>
    <w:lvl w:ilvl="1">
      <w:lvlJc w:val="left"/>
      <w:lvlText w:val="(%2)"/>
      <w:numFmt w:val="lowerLetter"/>
      <w:start w:val="1"/>
    </w:lvl>
  </w:abstractNum>
  <w:abstractNum w:abstractNumId="76">
    <w:nsid w:val="1716703B"/>
    <w:multiLevelType w:val="hybridMultilevel"/>
    <w:lvl w:ilvl="0">
      <w:lvlJc w:val="left"/>
      <w:lvlText w:val="(%1)"/>
      <w:numFmt w:val="lowerLetter"/>
      <w:start w:val="2"/>
    </w:lvl>
  </w:abstractNum>
  <w:abstractNum w:abstractNumId="77">
    <w:nsid w:val="14E17E33"/>
    <w:multiLevelType w:val="hybridMultilevel"/>
    <w:lvl w:ilvl="0">
      <w:lvlJc w:val="left"/>
      <w:lvlText w:val="(%1)"/>
      <w:numFmt w:val="lowerLetter"/>
      <w:start w:val="61"/>
    </w:lvl>
  </w:abstractNum>
  <w:abstractNum w:abstractNumId="78">
    <w:nsid w:val="3222E7CD"/>
    <w:multiLevelType w:val="hybridMultilevel"/>
    <w:lvl w:ilvl="0">
      <w:lvlJc w:val="left"/>
      <w:lvlText w:val="%1."/>
      <w:numFmt w:val="decimal"/>
      <w:start w:val="6"/>
    </w:lvl>
    <w:lvl w:ilvl="1">
      <w:lvlJc w:val="left"/>
      <w:lvlText w:val="(%2)"/>
      <w:numFmt w:val="lowerLetter"/>
      <w:start w:val="1"/>
    </w:lvl>
  </w:abstractNum>
  <w:abstractNum w:abstractNumId="79">
    <w:nsid w:val="74DE0EE3"/>
    <w:multiLevelType w:val="hybridMultilevel"/>
    <w:lvl w:ilvl="0">
      <w:lvlJc w:val="left"/>
      <w:lvlText w:val="%1"/>
      <w:numFmt w:val="decimal"/>
      <w:start w:val="1"/>
    </w:lvl>
    <w:lvl w:ilvl="1">
      <w:lvlJc w:val="left"/>
      <w:lvlText w:val="(%2)"/>
      <w:numFmt w:val="lowerLetter"/>
      <w:start w:val="2"/>
    </w:lvl>
  </w:abstractNum>
  <w:abstractNum w:abstractNumId="80">
    <w:nsid w:val="68EBC550"/>
    <w:multiLevelType w:val="hybridMultilevel"/>
    <w:lvl w:ilvl="0">
      <w:lvlJc w:val="left"/>
      <w:lvlText w:val="%1."/>
      <w:numFmt w:val="decimal"/>
      <w:start w:val="7"/>
    </w:lvl>
    <w:lvl w:ilvl="1">
      <w:lvlJc w:val="left"/>
      <w:lvlText w:val="(%2)"/>
      <w:numFmt w:val="lowerLetter"/>
      <w:start w:val="1"/>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Letter"/>
      <w:start w:val="8"/>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7"/>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9"/>
    </w:lvl>
    <w:lvl w:ilvl="1">
      <w:lvlJc w:val="left"/>
      <w:lvlText w:val="%2."/>
      <w:numFmt w:val="lowerLetter"/>
      <w:start w:val="1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lowerLetter"/>
      <w:start w:val="1"/>
    </w:lvl>
    <w:lvl w:ilvl="1">
      <w:lvlJc w:val="left"/>
      <w:lvlText w:val="%2."/>
      <w:numFmt w:val="decimal"/>
      <w:start w:val="5"/>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decimal"/>
      <w:start w:val="5"/>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7" Type="http://schemas.openxmlformats.org/officeDocument/2006/relationships/image" Target="media/image109.png"/><Relationship Id="rId155" Type="http://schemas.openxmlformats.org/officeDocument/2006/relationships/image" Target="media/image110.png"/><Relationship Id="rId173"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78" Type="http://schemas.openxmlformats.org/officeDocument/2006/relationships/image" Target="media/image115.png"/><Relationship Id="rId179"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86" Type="http://schemas.openxmlformats.org/officeDocument/2006/relationships/image" Target="media/image123.png"/><Relationship Id="rId187" Type="http://schemas.openxmlformats.org/officeDocument/2006/relationships/image" Target="media/image124.png"/><Relationship Id="rId188" Type="http://schemas.openxmlformats.org/officeDocument/2006/relationships/image" Target="media/image125.png"/><Relationship Id="rId189" Type="http://schemas.openxmlformats.org/officeDocument/2006/relationships/image" Target="media/image126.png"/><Relationship Id="rId190" Type="http://schemas.openxmlformats.org/officeDocument/2006/relationships/image" Target="media/image127.png"/><Relationship Id="rId191" Type="http://schemas.openxmlformats.org/officeDocument/2006/relationships/image" Target="media/image128.pn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96" Type="http://schemas.openxmlformats.org/officeDocument/2006/relationships/image" Target="media/image133.png"/><Relationship Id="rId197" Type="http://schemas.openxmlformats.org/officeDocument/2006/relationships/image" Target="media/image134.png"/><Relationship Id="rId198" Type="http://schemas.openxmlformats.org/officeDocument/2006/relationships/image" Target="media/image135.png"/><Relationship Id="rId199"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1" Type="http://schemas.openxmlformats.org/officeDocument/2006/relationships/image" Target="media/image158.png"/><Relationship Id="rId222" Type="http://schemas.openxmlformats.org/officeDocument/2006/relationships/image" Target="media/image159.png"/><Relationship Id="rId223" Type="http://schemas.openxmlformats.org/officeDocument/2006/relationships/image" Target="media/image160.png"/><Relationship Id="rId224" Type="http://schemas.openxmlformats.org/officeDocument/2006/relationships/image" Target="media/image161.png"/><Relationship Id="rId225" Type="http://schemas.openxmlformats.org/officeDocument/2006/relationships/image" Target="media/image162.png"/><Relationship Id="rId226" Type="http://schemas.openxmlformats.org/officeDocument/2006/relationships/image" Target="media/image163.png"/><Relationship Id="rId227" Type="http://schemas.openxmlformats.org/officeDocument/2006/relationships/image" Target="media/image164.png"/><Relationship Id="rId228" Type="http://schemas.openxmlformats.org/officeDocument/2006/relationships/image" Target="media/image165.png"/><Relationship Id="rId229" Type="http://schemas.openxmlformats.org/officeDocument/2006/relationships/image" Target="media/image166.png"/><Relationship Id="rId230" Type="http://schemas.openxmlformats.org/officeDocument/2006/relationships/image" Target="media/image167.png"/><Relationship Id="rId231" Type="http://schemas.openxmlformats.org/officeDocument/2006/relationships/image" Target="media/image168.png"/><Relationship Id="rId232" Type="http://schemas.openxmlformats.org/officeDocument/2006/relationships/image" Target="media/image169.png"/><Relationship Id="rId233" Type="http://schemas.openxmlformats.org/officeDocument/2006/relationships/image" Target="media/image170.png"/><Relationship Id="rId234" Type="http://schemas.openxmlformats.org/officeDocument/2006/relationships/image" Target="media/image171.png"/><Relationship Id="rId235" Type="http://schemas.openxmlformats.org/officeDocument/2006/relationships/image" Target="media/image172.png"/><Relationship Id="rId236" Type="http://schemas.openxmlformats.org/officeDocument/2006/relationships/image" Target="media/image173.png"/><Relationship Id="rId237" Type="http://schemas.openxmlformats.org/officeDocument/2006/relationships/image" Target="media/image174.png"/><Relationship Id="rId238" Type="http://schemas.openxmlformats.org/officeDocument/2006/relationships/image" Target="media/image175.png"/><Relationship Id="rId239" Type="http://schemas.openxmlformats.org/officeDocument/2006/relationships/image" Target="media/image176.png"/><Relationship Id="rId240" Type="http://schemas.openxmlformats.org/officeDocument/2006/relationships/image" Target="media/image177.png"/><Relationship Id="rId241" Type="http://schemas.openxmlformats.org/officeDocument/2006/relationships/image" Target="media/image178.png"/><Relationship Id="rId242" Type="http://schemas.openxmlformats.org/officeDocument/2006/relationships/image" Target="media/image179.png"/><Relationship Id="rId243" Type="http://schemas.openxmlformats.org/officeDocument/2006/relationships/image" Target="media/image180.png"/><Relationship Id="rId244" Type="http://schemas.openxmlformats.org/officeDocument/2006/relationships/image" Target="media/image181.png"/><Relationship Id="rId245" Type="http://schemas.openxmlformats.org/officeDocument/2006/relationships/image" Target="media/image182.png"/><Relationship Id="rId246" Type="http://schemas.openxmlformats.org/officeDocument/2006/relationships/image" Target="media/image183.png"/><Relationship Id="rId247" Type="http://schemas.openxmlformats.org/officeDocument/2006/relationships/image" Target="media/image184.png"/><Relationship Id="rId248" Type="http://schemas.openxmlformats.org/officeDocument/2006/relationships/image" Target="media/image185.png"/><Relationship Id="rId249" Type="http://schemas.openxmlformats.org/officeDocument/2006/relationships/image" Target="media/image186.png"/><Relationship Id="rId250" Type="http://schemas.openxmlformats.org/officeDocument/2006/relationships/image" Target="media/image187.png"/><Relationship Id="rId251" Type="http://schemas.openxmlformats.org/officeDocument/2006/relationships/image" Target="media/image188.png"/><Relationship Id="rId252" Type="http://schemas.openxmlformats.org/officeDocument/2006/relationships/image" Target="media/image189.png"/><Relationship Id="rId253" Type="http://schemas.openxmlformats.org/officeDocument/2006/relationships/image" Target="media/image190.png"/><Relationship Id="rId254" Type="http://schemas.openxmlformats.org/officeDocument/2006/relationships/image" Target="media/image191.png"/><Relationship Id="rId255" Type="http://schemas.openxmlformats.org/officeDocument/2006/relationships/image" Target="media/image192.png"/><Relationship Id="rId256" Type="http://schemas.openxmlformats.org/officeDocument/2006/relationships/image" Target="media/image193.png"/><Relationship Id="rId257" Type="http://schemas.openxmlformats.org/officeDocument/2006/relationships/image" Target="media/image194.png"/><Relationship Id="rId258" Type="http://schemas.openxmlformats.org/officeDocument/2006/relationships/image" Target="media/image195.png"/><Relationship Id="rId259" Type="http://schemas.openxmlformats.org/officeDocument/2006/relationships/image" Target="media/image196.png"/><Relationship Id="rId260" Type="http://schemas.openxmlformats.org/officeDocument/2006/relationships/image" Target="media/image197.png"/><Relationship Id="rId116" Type="http://schemas.openxmlformats.org/officeDocument/2006/relationships/hyperlink" Target="https://www.sec.gov/Archives/edgar/data/1425205/000114420417030892/v468249_ex2-1.htm" TargetMode="External"/><Relationship Id="rId117" Type="http://schemas.openxmlformats.org/officeDocument/2006/relationships/hyperlink" Target="https://www.sec.gov/Archives/edgar/data/1425205/000114420417030892/v468249_ex3-1.htm" TargetMode="External"/><Relationship Id="rId118" Type="http://schemas.openxmlformats.org/officeDocument/2006/relationships/hyperlink" Target="https://www.sec.gov/Archives/edgar/data/1425205/000114420417030892/v468249_ex3-2.htm" TargetMode="External"/><Relationship Id="rId119" Type="http://schemas.openxmlformats.org/officeDocument/2006/relationships/hyperlink" Target="https://www.sec.gov/Archives/edgar/data/1425205/000114420417030892/v468249_ex3-3.htm" TargetMode="External"/><Relationship Id="rId120" Type="http://schemas.openxmlformats.org/officeDocument/2006/relationships/hyperlink" Target="https://www.sec.gov/Archives/edgar/data/1425205/000114420417039309/v471615_ex3-4.htm" TargetMode="External"/><Relationship Id="rId121" Type="http://schemas.openxmlformats.org/officeDocument/2006/relationships/hyperlink" Target="https://www.sec.gov/Archives/edgar/data/1425205/000114420417039309/v471615_ex3-5.htm" TargetMode="External"/><Relationship Id="rId122" Type="http://schemas.openxmlformats.org/officeDocument/2006/relationships/hyperlink" Target="https://www.sec.gov/Archives/edgar/data/1425205/000114420417034350/v469760_ex3-1.htm" TargetMode="External"/><Relationship Id="rId123" Type="http://schemas.openxmlformats.org/officeDocument/2006/relationships/hyperlink" Target="https://www.sec.gov/Archives/edgar/data/1425205/000114420419030502/tv523383_ex3-1.htm" TargetMode="External"/><Relationship Id="rId124" Type="http://schemas.openxmlformats.org/officeDocument/2006/relationships/hyperlink" Target="https://www.sec.gov/Archives/edgar/data/1425205/000110465920066367/tm2021089d1_ex3-1.htm" TargetMode="External"/><Relationship Id="rId125" Type="http://schemas.openxmlformats.org/officeDocument/2006/relationships/hyperlink" Target="https://www.sec.gov/Archives/edgar/data/1425205/000114420418014151/tv485173_ex4-2.htm" TargetMode="External"/><Relationship Id="rId126" Type="http://schemas.openxmlformats.org/officeDocument/2006/relationships/hyperlink" Target="https://www.sec.gov/Archives/edgar/data/1425205/000110465920024830/ex-4d3.htm" TargetMode="External"/><Relationship Id="rId127" Type="http://schemas.openxmlformats.org/officeDocument/2006/relationships/hyperlink" Target="https://www.sec.gov/Archives/edgar/data/1425205/000114420411058601/v237591_ex10-3.htm" TargetMode="External"/><Relationship Id="rId128" Type="http://schemas.openxmlformats.org/officeDocument/2006/relationships/hyperlink" Target="https://www.sec.gov/Archives/edgar/data/1425205/000110465920024830/ex-10d4.htm" TargetMode="External"/><Relationship Id="rId129" Type="http://schemas.openxmlformats.org/officeDocument/2006/relationships/hyperlink" Target="https://www.sec.gov/Archives/edgar/data/1425205/000110465920024830/ex-10d5.htm" TargetMode="External"/><Relationship Id="rId130" Type="http://schemas.openxmlformats.org/officeDocument/2006/relationships/hyperlink" Target="https://www.sec.gov/Archives/edgar/data/1425205/000114420416111940/v443869_def14a.htm" TargetMode="External"/><Relationship Id="rId131" Type="http://schemas.openxmlformats.org/officeDocument/2006/relationships/hyperlink" Target="https://www.sec.gov/Archives/edgar/data/1425205/000110465920024830/ex-10d7.htm" TargetMode="External"/><Relationship Id="rId132" Type="http://schemas.openxmlformats.org/officeDocument/2006/relationships/hyperlink" Target="https://www.sec.gov/Archives/edgar/data/1425205/000110465920024830/ex-10d8.htm" TargetMode="External"/><Relationship Id="rId133" Type="http://schemas.openxmlformats.org/officeDocument/2006/relationships/hyperlink" Target="https://www.sec.gov/Archives/edgar/data/1425205/000110465920071492/tm2022183d1_ex10-2.htm" TargetMode="External"/><Relationship Id="rId134" Type="http://schemas.openxmlformats.org/officeDocument/2006/relationships/hyperlink" Target="https://www.sec.gov/Archives/edgar/data/1425205/000110465920024830/ex-10d10.htm" TargetMode="External"/><Relationship Id="rId135" Type="http://schemas.openxmlformats.org/officeDocument/2006/relationships/hyperlink" Target="https://www.sec.gov/Archives/edgar/data/1425205/000110465920024830/ex-10d11.htm" TargetMode="External"/><Relationship Id="rId136" Type="http://schemas.openxmlformats.org/officeDocument/2006/relationships/hyperlink" Target="https://www.sec.gov/Archives/edgar/data/1425205/000155837021010617/iova-20210630xex10d2.htm" TargetMode="External"/><Relationship Id="rId138" Type="http://schemas.openxmlformats.org/officeDocument/2006/relationships/hyperlink" Target="https://www.sec.gov/Archives/edgar/data/1425205/000155837021010617/iova-20210630xex10d3.htm" TargetMode="External"/><Relationship Id="rId139" Type="http://schemas.openxmlformats.org/officeDocument/2006/relationships/hyperlink" Target="https://www.sec.gov/Archives/edgar/data/1425205/000110465920071492/tm2022183d1_ex10-1.htm" TargetMode="External"/><Relationship Id="rId140" Type="http://schemas.openxmlformats.org/officeDocument/2006/relationships/hyperlink" Target="https://www.sec.gov/Archives/edgar/data/1425205/000155837021012704/iova-20210922xex10d2.htm" TargetMode="External"/><Relationship Id="rId141" Type="http://schemas.openxmlformats.org/officeDocument/2006/relationships/hyperlink" Target="https://www.sec.gov/Archives/edgar/data/1425205/000155837021012704/iova-20210922xex10d3.htm" TargetMode="External"/><Relationship Id="rId142" Type="http://schemas.openxmlformats.org/officeDocument/2006/relationships/hyperlink" Target="https://www.sec.gov/Archives/edgar/data/1425205/000114420411069602/v242935_ex10-1.htm" TargetMode="External"/><Relationship Id="rId143" Type="http://schemas.openxmlformats.org/officeDocument/2006/relationships/hyperlink" Target="https://www.sec.gov/Archives/edgar/data/1425205/000114420411067480/v241925_ex10-1.htm" TargetMode="External"/><Relationship Id="rId144" Type="http://schemas.openxmlformats.org/officeDocument/2006/relationships/hyperlink" Target="https://www.sec.gov/Archives/edgar/data/1425205/000151316013000040/ex102.htm" TargetMode="External"/><Relationship Id="rId145" Type="http://schemas.openxmlformats.org/officeDocument/2006/relationships/hyperlink" Target="https://www.sec.gov/Archives/edgar/data/1425205/000151316013000065/ex102.htm" TargetMode="External"/><Relationship Id="rId146" Type="http://schemas.openxmlformats.org/officeDocument/2006/relationships/hyperlink" Target="https://www.sec.gov/Archives/edgar/data/1425205/000114420415003901/v399590_ex10-1.htm" TargetMode="External"/><Relationship Id="rId147" Type="http://schemas.openxmlformats.org/officeDocument/2006/relationships/hyperlink" Target="https://www.sec.gov/Archives/edgar/data/1425205/000114420415016315/v403564_ex10-47.htm" TargetMode="External"/><Relationship Id="rId148" Type="http://schemas.openxmlformats.org/officeDocument/2006/relationships/hyperlink" Target="https://www.sec.gov/Archives/edgar/data/1425205/000114420415016315/v403564_ex10-46.htm" TargetMode="External"/><Relationship Id="rId149" Type="http://schemas.openxmlformats.org/officeDocument/2006/relationships/hyperlink" Target="https://www.sec.gov/Archives/edgar/data/1425205/000114420415063327/v423195_ex10-47.htm" TargetMode="External"/><Relationship Id="rId150" Type="http://schemas.openxmlformats.org/officeDocument/2006/relationships/hyperlink" Target="https://www.sec.gov/Archives/edgar/data/1425205/000155837021010617/iova-20210630xex10d1.htm" TargetMode="External"/><Relationship Id="rId151" Type="http://schemas.openxmlformats.org/officeDocument/2006/relationships/hyperlink" Target="https://www.sec.gov/Archives/edgar/data/1425205/000114420416106835/v441731_ex10-1.htm" TargetMode="External"/><Relationship Id="rId152" Type="http://schemas.openxmlformats.org/officeDocument/2006/relationships/hyperlink" Target="https://www.sec.gov/Archives/edgar/data/1425205/000114420416106835/v441731_ex10-2.htm" TargetMode="External"/><Relationship Id="rId153" Type="http://schemas.openxmlformats.org/officeDocument/2006/relationships/hyperlink" Target="https://www.sec.gov/Archives/edgar/data/1425205/000114420416122251/v448086_ex10-3.htm" TargetMode="External"/><Relationship Id="rId154" Type="http://schemas.openxmlformats.org/officeDocument/2006/relationships/hyperlink" Target="https://www.sec.gov/Archives/edgar/data/1425205/000114420417013535/v460270_ex10-36.htm" TargetMode="External"/><Relationship Id="rId156" Type="http://schemas.openxmlformats.org/officeDocument/2006/relationships/hyperlink" Target="https://www.sec.gov/Archives/edgar/data/1425205/000114420417040380/v471203_ex10-1.htm" TargetMode="External"/><Relationship Id="rId157" Type="http://schemas.openxmlformats.org/officeDocument/2006/relationships/hyperlink" Target="https://www.sec.gov/Archives/edgar/data/1425205/000114420418014151/tv485173_ex10-34.htm" TargetMode="External"/><Relationship Id="rId158" Type="http://schemas.openxmlformats.org/officeDocument/2006/relationships/hyperlink" Target="https://www.sec.gov/Archives/edgar/data/1425205/000114420418014151/tv485173_ex10-35.htm" TargetMode="External"/><Relationship Id="rId159" Type="http://schemas.openxmlformats.org/officeDocument/2006/relationships/hyperlink" Target="https://www.sec.gov/Archives/edgar/data/1425205/000114420416117596/v445492_ex10-3.htm" TargetMode="External"/><Relationship Id="rId160" Type="http://schemas.openxmlformats.org/officeDocument/2006/relationships/hyperlink" Target="https://www.sec.gov/Archives/edgar/data/1425205/000110465920091526/iova-20200630xex10d4.htm" TargetMode="External"/><Relationship Id="rId161" Type="http://schemas.openxmlformats.org/officeDocument/2006/relationships/hyperlink" Target="https://www.sec.gov/Archives/edgar/data/1425205/000114420418014151/tv485173_ex10-32.htm" TargetMode="External"/><Relationship Id="rId162" Type="http://schemas.openxmlformats.org/officeDocument/2006/relationships/hyperlink" Target="https://www.sec.gov/Archives/edgar/data/1425205/000114420419037248/iova-20190630ex1010a68ed.htm" TargetMode="External"/><Relationship Id="rId163" Type="http://schemas.openxmlformats.org/officeDocument/2006/relationships/hyperlink" Target="https://www.sec.gov/Archives/edgar/data/1425205/000155837021001858/iova-20201231xex10d30.htm" TargetMode="External"/><Relationship Id="rId164" Type="http://schemas.openxmlformats.org/officeDocument/2006/relationships/hyperlink" Target="https://www.sec.gov/Archives/edgar/data/1425205/000155837021006301/iova-20210331xex10d4.htm" TargetMode="External"/><Relationship Id="rId165" Type="http://schemas.openxmlformats.org/officeDocument/2006/relationships/hyperlink" Target="https://www.sec.gov/Archives/edgar/data/1425205/000114420416117275/v446243_ex10-1.htm" TargetMode="External"/><Relationship Id="rId166" Type="http://schemas.openxmlformats.org/officeDocument/2006/relationships/hyperlink" Target="https://www.sec.gov/Archives/edgar/data/1425205/000114420418055365/tv505364_ex10-1.htm" TargetMode="External"/><Relationship Id="rId167" Type="http://schemas.openxmlformats.org/officeDocument/2006/relationships/hyperlink" Target="https://www.sec.gov/Archives/edgar/data/1425205/000110465919059564/ex-10d1.htm" TargetMode="External"/><Relationship Id="rId168" Type="http://schemas.openxmlformats.org/officeDocument/2006/relationships/hyperlink" Target="https://www.sec.gov/Archives/edgar/data/1425205/000110465921016221/tm215703d2_ex10-2.htm" TargetMode="External"/><Relationship Id="rId169" Type="http://schemas.openxmlformats.org/officeDocument/2006/relationships/hyperlink" Target="https://www.sec.gov/Archives/edgar/data/1425205/000110465921016221/tm215703d2_ex10-3.htm" TargetMode="External"/><Relationship Id="rId170" Type="http://schemas.openxmlformats.org/officeDocument/2006/relationships/hyperlink" Target="https://www.sec.gov/Archives/edgar/data/1425205/000114420419029469/tv522894_ex10-1.htm" TargetMode="External"/><Relationship Id="rId171" Type="http://schemas.openxmlformats.org/officeDocument/2006/relationships/hyperlink" Target="https://www.sec.gov/Archives/edgar/data/1425205/000110465919059564/ex-10d2.htm" TargetMode="External"/><Relationship Id="rId172" Type="http://schemas.openxmlformats.org/officeDocument/2006/relationships/hyperlink" Target="https://www.sec.gov/Archives/edgar/data/1425205/000110465920091526/iova-20200630xex10d3.htm" TargetMode="External"/><Relationship Id="rId174" Type="http://schemas.openxmlformats.org/officeDocument/2006/relationships/hyperlink" Target="https://www.sec.gov/Archives/edgar/data/1425205/000110465921016221/tm215703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2022-02-24T16:49:16Z</dcterms:created>
  <dcterms:modified xsi:type="dcterms:W3CDTF">2022-02-24T16:49:16Z</dcterms:modified>
</cp:coreProperties>
</file>