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UNITED STATES</w:t>
      </w:r>
    </w:p>
    <w:p>
      <w:pPr>
        <w:jc w:val="center"/>
        <w:spacing w:after="0" w:line="219" w:lineRule="auto"/>
        <w:rPr>
          <w:sz w:val="20"/>
          <w:szCs w:val="20"/>
          <w:color w:val="auto"/>
        </w:rPr>
      </w:pPr>
      <w:r>
        <w:rPr>
          <w:rFonts w:ascii="Times New Roman" w:cs="Times New Roman" w:eastAsia="Times New Roman" w:hAnsi="Times New Roman"/>
          <w:sz w:val="13"/>
          <w:szCs w:val="1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(Mark One)</w:t>
      </w:r>
    </w:p>
    <w:p>
      <w:pPr>
        <w:spacing w:after="0" w:line="57"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color w:val="auto"/>
        </w:rPr>
        <w:t>ANNUAL REPORT PURSUANT TO SECTION 13 OR 15(d) OF THE SECURITIES EXCHANGE ACT OF 1934</w:t>
      </w:r>
    </w:p>
    <w:p>
      <w:pPr>
        <w:spacing w:after="0" w:line="281" w:lineRule="exact"/>
        <w:rPr>
          <w:sz w:val="24"/>
          <w:szCs w:val="24"/>
          <w:color w:val="auto"/>
        </w:rPr>
      </w:pPr>
    </w:p>
    <w:p>
      <w:pPr>
        <w:ind w:left="3460" w:right="3180" w:hanging="3452"/>
        <w:spacing w:after="0" w:line="357" w:lineRule="auto"/>
        <w:tabs>
          <w:tab w:leader="none" w:pos="665" w:val="left"/>
        </w:tabs>
        <w:numPr>
          <w:ilvl w:val="0"/>
          <w:numId w:val="2"/>
        </w:numPr>
        <w:rPr>
          <w:rFonts w:ascii="Arial" w:cs="Arial" w:eastAsia="Arial" w:hAnsi="Arial"/>
          <w:sz w:val="12"/>
          <w:szCs w:val="12"/>
          <w:color w:val="auto"/>
        </w:rPr>
      </w:pPr>
      <w:r>
        <w:rPr>
          <w:rFonts w:ascii="Times New Roman" w:cs="Times New Roman" w:eastAsia="Times New Roman" w:hAnsi="Times New Roman"/>
          <w:sz w:val="12"/>
          <w:szCs w:val="12"/>
          <w:color w:val="auto"/>
        </w:rPr>
        <w:t>TRANSITION REPORT PURSUANT TO SECTION 13 OR 15(d) OF THE SECURITIES EXCHANGE ACT OF 1934 For the transaction period from __________ to __________</w:t>
      </w:r>
    </w:p>
    <w:p>
      <w:pPr>
        <w:spacing w:after="0" w:line="1" w:lineRule="exact"/>
        <w:rPr>
          <w:rFonts w:ascii="Arial" w:cs="Arial" w:eastAsia="Arial" w:hAnsi="Arial"/>
          <w:sz w:val="12"/>
          <w:szCs w:val="12"/>
          <w:color w:val="auto"/>
        </w:rPr>
      </w:pPr>
    </w:p>
    <w:p>
      <w:pPr>
        <w:ind w:left="4040"/>
        <w:spacing w:after="0"/>
        <w:rPr>
          <w:rFonts w:ascii="Arial" w:cs="Arial" w:eastAsia="Arial" w:hAnsi="Arial"/>
          <w:sz w:val="12"/>
          <w:szCs w:val="12"/>
          <w:color w:val="auto"/>
        </w:rPr>
      </w:pPr>
      <w:r>
        <w:rPr>
          <w:rFonts w:ascii="Times New Roman" w:cs="Times New Roman" w:eastAsia="Times New Roman" w:hAnsi="Times New Roman"/>
          <w:sz w:val="13"/>
          <w:szCs w:val="13"/>
          <w:color w:val="auto"/>
        </w:rPr>
        <w:t>Commission file number: 001-36860</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IOVANCE BIOTHERAPEUTICS,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500" w:type="dxa"/>
            <w:vAlign w:val="bottom"/>
            <w:gridSpan w:val="3"/>
          </w:tcPr>
          <w:p>
            <w:pPr>
              <w:jc w:val="center"/>
              <w:ind w:left="137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3040" w:type="dxa"/>
            <w:vAlign w:val="bottom"/>
          </w:tcPr>
          <w:p>
            <w:pPr>
              <w:spacing w:after="0"/>
              <w:rPr>
                <w:sz w:val="12"/>
                <w:szCs w:val="12"/>
                <w:color w:val="auto"/>
              </w:rPr>
            </w:pPr>
          </w:p>
        </w:tc>
        <w:tc>
          <w:tcPr>
            <w:tcW w:w="3360" w:type="dxa"/>
            <w:vAlign w:val="bottom"/>
            <w:gridSpan w:val="2"/>
          </w:tcPr>
          <w:p>
            <w:pPr>
              <w:jc w:val="right"/>
              <w:ind w:right="2117"/>
              <w:spacing w:after="0"/>
              <w:rPr>
                <w:sz w:val="20"/>
                <w:szCs w:val="20"/>
                <w:color w:val="auto"/>
              </w:rPr>
            </w:pPr>
            <w:r>
              <w:rPr>
                <w:rFonts w:ascii="Times New Roman" w:cs="Times New Roman" w:eastAsia="Times New Roman" w:hAnsi="Times New Roman"/>
                <w:sz w:val="13"/>
                <w:szCs w:val="13"/>
                <w:b w:val="1"/>
                <w:bCs w:val="1"/>
                <w:color w:val="auto"/>
              </w:rPr>
              <w:t>75-3254381</w:t>
            </w:r>
          </w:p>
        </w:tc>
      </w:tr>
      <w:tr>
        <w:trPr>
          <w:trHeight w:val="135"/>
        </w:trPr>
        <w:tc>
          <w:tcPr>
            <w:tcW w:w="20" w:type="dxa"/>
            <w:vAlign w:val="bottom"/>
          </w:tcPr>
          <w:p>
            <w:pPr>
              <w:spacing w:after="0"/>
              <w:rPr>
                <w:sz w:val="11"/>
                <w:szCs w:val="11"/>
                <w:color w:val="auto"/>
              </w:rPr>
            </w:pPr>
          </w:p>
        </w:tc>
        <w:tc>
          <w:tcPr>
            <w:tcW w:w="3500" w:type="dxa"/>
            <w:vAlign w:val="bottom"/>
            <w:gridSpan w:val="3"/>
          </w:tcPr>
          <w:p>
            <w:pPr>
              <w:jc w:val="center"/>
              <w:ind w:left="137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3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60" w:type="dxa"/>
            <w:vAlign w:val="bottom"/>
          </w:tcPr>
          <w:p>
            <w:pPr>
              <w:jc w:val="center"/>
              <w:ind w:right="1737"/>
              <w:spacing w:after="0" w:line="135" w:lineRule="exact"/>
              <w:rPr>
                <w:sz w:val="20"/>
                <w:szCs w:val="20"/>
                <w:color w:val="auto"/>
              </w:rPr>
            </w:pPr>
            <w:r>
              <w:rPr>
                <w:rFonts w:ascii="Times New Roman" w:cs="Times New Roman" w:eastAsia="Times New Roman" w:hAnsi="Times New Roman"/>
                <w:sz w:val="13"/>
                <w:szCs w:val="13"/>
                <w:color w:val="auto"/>
                <w:w w:val="99"/>
              </w:rPr>
              <w:t>(I.R.S. Employer</w:t>
            </w:r>
          </w:p>
        </w:tc>
      </w:tr>
      <w:tr>
        <w:trPr>
          <w:trHeight w:val="164"/>
        </w:trPr>
        <w:tc>
          <w:tcPr>
            <w:tcW w:w="20" w:type="dxa"/>
            <w:vAlign w:val="bottom"/>
          </w:tcPr>
          <w:p>
            <w:pPr>
              <w:spacing w:after="0"/>
              <w:rPr>
                <w:sz w:val="14"/>
                <w:szCs w:val="14"/>
                <w:color w:val="auto"/>
              </w:rPr>
            </w:pPr>
          </w:p>
        </w:tc>
        <w:tc>
          <w:tcPr>
            <w:tcW w:w="3500" w:type="dxa"/>
            <w:vAlign w:val="bottom"/>
            <w:gridSpan w:val="3"/>
          </w:tcPr>
          <w:p>
            <w:pPr>
              <w:jc w:val="center"/>
              <w:ind w:left="1377"/>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jc w:val="center"/>
              <w:ind w:right="1737"/>
              <w:spacing w:after="0"/>
              <w:rPr>
                <w:sz w:val="20"/>
                <w:szCs w:val="20"/>
                <w:color w:val="auto"/>
              </w:rPr>
            </w:pPr>
            <w:r>
              <w:rPr>
                <w:rFonts w:ascii="Times New Roman" w:cs="Times New Roman" w:eastAsia="Times New Roman" w:hAnsi="Times New Roman"/>
                <w:sz w:val="13"/>
                <w:szCs w:val="13"/>
                <w:color w:val="auto"/>
                <w:w w:val="95"/>
              </w:rPr>
              <w:t>Identification No.)</w:t>
            </w:r>
          </w:p>
        </w:tc>
      </w:tr>
      <w:tr>
        <w:trPr>
          <w:trHeight w:val="214"/>
        </w:trPr>
        <w:tc>
          <w:tcPr>
            <w:tcW w:w="20" w:type="dxa"/>
            <w:vAlign w:val="bottom"/>
          </w:tcPr>
          <w:p>
            <w:pPr>
              <w:spacing w:after="0"/>
              <w:rPr>
                <w:sz w:val="18"/>
                <w:szCs w:val="18"/>
                <w:color w:val="auto"/>
              </w:rPr>
            </w:pPr>
          </w:p>
        </w:tc>
        <w:tc>
          <w:tcPr>
            <w:tcW w:w="6540" w:type="dxa"/>
            <w:vAlign w:val="bottom"/>
            <w:gridSpan w:val="4"/>
          </w:tcPr>
          <w:p>
            <w:pPr>
              <w:jc w:val="center"/>
              <w:ind w:right="1537"/>
              <w:spacing w:after="0"/>
              <w:rPr>
                <w:sz w:val="20"/>
                <w:szCs w:val="20"/>
                <w:color w:val="auto"/>
              </w:rPr>
            </w:pPr>
            <w:r>
              <w:rPr>
                <w:rFonts w:ascii="Times New Roman" w:cs="Times New Roman" w:eastAsia="Times New Roman" w:hAnsi="Times New Roman"/>
                <w:sz w:val="13"/>
                <w:szCs w:val="13"/>
                <w:b w:val="1"/>
                <w:bCs w:val="1"/>
                <w:color w:val="auto"/>
                <w:w w:val="96"/>
              </w:rPr>
              <w:t>825 Industrial Road, Suite 400, San Carlos, California</w:t>
            </w:r>
          </w:p>
        </w:tc>
        <w:tc>
          <w:tcPr>
            <w:tcW w:w="3360" w:type="dxa"/>
            <w:vAlign w:val="bottom"/>
            <w:gridSpan w:val="2"/>
          </w:tcPr>
          <w:p>
            <w:pPr>
              <w:jc w:val="right"/>
              <w:ind w:right="2257"/>
              <w:spacing w:after="0"/>
              <w:rPr>
                <w:sz w:val="20"/>
                <w:szCs w:val="20"/>
                <w:color w:val="auto"/>
              </w:rPr>
            </w:pPr>
            <w:r>
              <w:rPr>
                <w:rFonts w:ascii="Times New Roman" w:cs="Times New Roman" w:eastAsia="Times New Roman" w:hAnsi="Times New Roman"/>
                <w:sz w:val="13"/>
                <w:szCs w:val="13"/>
                <w:b w:val="1"/>
                <w:bCs w:val="1"/>
                <w:color w:val="auto"/>
              </w:rPr>
              <w:t>94070</w:t>
            </w:r>
          </w:p>
        </w:tc>
      </w:tr>
      <w:tr>
        <w:trPr>
          <w:trHeight w:val="164"/>
        </w:trPr>
        <w:tc>
          <w:tcPr>
            <w:tcW w:w="20" w:type="dxa"/>
            <w:vAlign w:val="bottom"/>
          </w:tcPr>
          <w:p>
            <w:pPr>
              <w:spacing w:after="0"/>
              <w:rPr>
                <w:sz w:val="14"/>
                <w:szCs w:val="14"/>
                <w:color w:val="auto"/>
              </w:rPr>
            </w:pPr>
          </w:p>
        </w:tc>
        <w:tc>
          <w:tcPr>
            <w:tcW w:w="3500" w:type="dxa"/>
            <w:vAlign w:val="bottom"/>
            <w:gridSpan w:val="3"/>
          </w:tcPr>
          <w:p>
            <w:pPr>
              <w:jc w:val="center"/>
              <w:ind w:left="1377"/>
              <w:spacing w:after="0"/>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jc w:val="center"/>
              <w:ind w:right="1737"/>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187"/>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(650) 260-7120</w:t>
            </w: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20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55"/>
        </w:trPr>
        <w:tc>
          <w:tcPr>
            <w:tcW w:w="20" w:type="dxa"/>
            <w:vAlign w:val="bottom"/>
          </w:tcPr>
          <w:p>
            <w:pPr>
              <w:spacing w:after="0"/>
              <w:rPr>
                <w:sz w:val="13"/>
                <w:szCs w:val="13"/>
                <w:color w:val="auto"/>
              </w:rPr>
            </w:pPr>
          </w:p>
        </w:tc>
        <w:tc>
          <w:tcPr>
            <w:tcW w:w="350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30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200" w:type="dxa"/>
            <w:vAlign w:val="bottom"/>
          </w:tcPr>
          <w:p>
            <w:pPr>
              <w:spacing w:after="0"/>
              <w:rPr>
                <w:sz w:val="13"/>
                <w:szCs w:val="13"/>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On Which Registered</w:t>
            </w:r>
          </w:p>
        </w:tc>
      </w:tr>
      <w:tr>
        <w:trPr>
          <w:trHeight w:val="158"/>
        </w:trPr>
        <w:tc>
          <w:tcPr>
            <w:tcW w:w="20" w:type="dxa"/>
            <w:vAlign w:val="bottom"/>
          </w:tcPr>
          <w:p>
            <w:pPr>
              <w:spacing w:after="0"/>
              <w:rPr>
                <w:sz w:val="13"/>
                <w:szCs w:val="13"/>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$ 0.000041666 Par Value per Share</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040" w:type="dxa"/>
            <w:vAlign w:val="bottom"/>
            <w:tcBorders>
              <w:top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2"/>
              </w:rPr>
              <w:t>IOVA</w:t>
            </w:r>
          </w:p>
        </w:tc>
        <w:tc>
          <w:tcPr>
            <w:tcW w:w="200" w:type="dxa"/>
            <w:vAlign w:val="bottom"/>
          </w:tcPr>
          <w:p>
            <w:pPr>
              <w:spacing w:after="0"/>
              <w:rPr>
                <w:sz w:val="13"/>
                <w:szCs w:val="13"/>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The Nasdaq Global Market</w:t>
            </w:r>
          </w:p>
        </w:tc>
      </w:tr>
      <w:tr>
        <w:trPr>
          <w:trHeight w:val="167"/>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6"/>
              </w:rPr>
              <w:t>Securities registered pursuant to Section 12(g) of the Act:</w:t>
            </w:r>
          </w:p>
        </w:tc>
        <w:tc>
          <w:tcPr>
            <w:tcW w:w="20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20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249"/>
        </w:trPr>
        <w:tc>
          <w:tcPr>
            <w:tcW w:w="6560" w:type="dxa"/>
            <w:vAlign w:val="bottom"/>
            <w:gridSpan w:val="5"/>
          </w:tcPr>
          <w:p>
            <w:pPr>
              <w:spacing w:after="0" w:line="175" w:lineRule="exact"/>
              <w:rPr>
                <w:sz w:val="20"/>
                <w:szCs w:val="20"/>
                <w:color w:val="auto"/>
              </w:rPr>
            </w:pPr>
            <w:r>
              <w:rPr>
                <w:rFonts w:ascii="Times New Roman" w:cs="Times New Roman" w:eastAsia="Times New Roman" w:hAnsi="Times New Roman"/>
                <w:sz w:val="13"/>
                <w:szCs w:val="13"/>
                <w:color w:val="auto"/>
                <w:w w:val="97"/>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w w:val="97"/>
              </w:rPr>
              <w:t>⌧</w:t>
            </w:r>
            <w:r>
              <w:rPr>
                <w:rFonts w:ascii="Times New Roman" w:cs="Times New Roman" w:eastAsia="Times New Roman" w:hAnsi="Times New Roman"/>
                <w:sz w:val="13"/>
                <w:szCs w:val="13"/>
                <w:color w:val="auto"/>
                <w:w w:val="97"/>
              </w:rPr>
              <w:t xml:space="preserve"> No</w:t>
            </w:r>
          </w:p>
        </w:tc>
        <w:tc>
          <w:tcPr>
            <w:tcW w:w="3360" w:type="dxa"/>
            <w:vAlign w:val="bottom"/>
            <w:gridSpan w:val="2"/>
          </w:tcPr>
          <w:p>
            <w:pPr>
              <w:ind w:left="6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17"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70" w:lineRule="exact"/>
        <w:rPr>
          <w:sz w:val="24"/>
          <w:szCs w:val="24"/>
          <w:color w:val="auto"/>
        </w:rPr>
      </w:pPr>
    </w:p>
    <w:p>
      <w:pPr>
        <w:jc w:val="both"/>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right="38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right="46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66" w:lineRule="exact"/>
        <w:rPr>
          <w:sz w:val="24"/>
          <w:szCs w:val="24"/>
          <w:color w:val="auto"/>
        </w:rPr>
      </w:pPr>
    </w:p>
    <w:p>
      <w:pPr>
        <w:spacing w:after="0" w:line="303" w:lineRule="auto"/>
        <w:rPr>
          <w:sz w:val="20"/>
          <w:szCs w:val="20"/>
          <w:color w:val="auto"/>
        </w:rPr>
      </w:pPr>
      <w:r>
        <w:rPr>
          <w:rFonts w:ascii="Times New Roman" w:cs="Times New Roman" w:eastAsia="Times New Roman" w:hAnsi="Times New Roman"/>
          <w:sz w:val="12"/>
          <w:szCs w:val="12"/>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12"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Arial Unicode MS" w:cs="Arial Unicode MS" w:eastAsia="Arial Unicode MS" w:hAnsi="Arial Unicode MS"/>
          <w:sz w:val="12"/>
          <w:szCs w:val="12"/>
          <w:color w:val="auto"/>
        </w:rPr>
        <w:t>☐</w:t>
      </w:r>
    </w:p>
    <w:p>
      <w:pPr>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Arial Unicode MS" w:cs="Arial Unicode MS" w:eastAsia="Arial Unicode MS" w:hAnsi="Arial Unicode MS"/>
          <w:sz w:val="12"/>
          <w:szCs w:val="12"/>
          <w:color w:val="auto"/>
        </w:rPr>
        <w:t>☐</w:t>
      </w:r>
    </w:p>
    <w:p>
      <w:pPr>
        <w:spacing w:after="0" w:line="41" w:lineRule="exact"/>
        <w:rPr>
          <w:sz w:val="24"/>
          <w:szCs w:val="24"/>
          <w:color w:val="auto"/>
        </w:rPr>
      </w:pPr>
    </w:p>
    <w:p>
      <w:pPr>
        <w:sectPr>
          <w:pgSz w:w="11900" w:h="16838" w:orient="portrait"/>
          <w:cols w:equalWidth="0" w:num="3">
            <w:col w:w="1140" w:space="100"/>
            <w:col w:w="3000" w:space="720"/>
            <w:col w:w="4960"/>
          </w:cols>
          <w:pgMar w:left="980" w:top="661" w:right="999" w:bottom="1440" w:gutter="0" w:footer="0" w:header="0"/>
          <w:type w:val="continuous"/>
        </w:sectPr>
      </w:pPr>
    </w:p>
    <w:p>
      <w:pPr>
        <w:ind w:right="80"/>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87" w:lineRule="exact"/>
        <w:rPr>
          <w:sz w:val="24"/>
          <w:szCs w:val="24"/>
          <w:color w:val="auto"/>
        </w:rPr>
      </w:pPr>
    </w:p>
    <w:p>
      <w:pPr>
        <w:ind w:right="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87" w:lineRule="exact"/>
        <w:rPr>
          <w:sz w:val="24"/>
          <w:szCs w:val="24"/>
          <w:color w:val="auto"/>
        </w:rPr>
      </w:pPr>
    </w:p>
    <w:p>
      <w:pPr>
        <w:spacing w:after="0" w:line="166" w:lineRule="exact"/>
        <w:rPr>
          <w:sz w:val="20"/>
          <w:szCs w:val="20"/>
          <w:color w:val="auto"/>
        </w:rPr>
      </w:pPr>
      <w:r>
        <w:rPr>
          <w:rFonts w:ascii="Times New Roman" w:cs="Times New Roman" w:eastAsia="Times New Roman" w:hAnsi="Times New Roman"/>
          <w:sz w:val="13"/>
          <w:szCs w:val="13"/>
          <w:color w:val="auto"/>
        </w:rPr>
        <w:t xml:space="preserve">If the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87" w:lineRule="exact"/>
        <w:rPr>
          <w:sz w:val="24"/>
          <w:szCs w:val="24"/>
          <w:color w:val="auto"/>
        </w:rPr>
      </w:pPr>
    </w:p>
    <w:p>
      <w:pPr>
        <w:ind w:right="3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3"/>
          <w:szCs w:val="13"/>
          <w:color w:val="auto"/>
        </w:rPr>
        <w:t>☐</w:t>
      </w:r>
    </w:p>
    <w:p>
      <w:pPr>
        <w:spacing w:after="0" w:line="153"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6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80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3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58"/>
        </w:trPr>
        <w:tc>
          <w:tcPr>
            <w:tcW w:w="20" w:type="dxa"/>
            <w:vAlign w:val="bottom"/>
          </w:tcPr>
          <w:p>
            <w:pPr>
              <w:spacing w:after="0"/>
              <w:rPr>
                <w:sz w:val="13"/>
                <w:szCs w:val="13"/>
                <w:color w:val="auto"/>
              </w:rPr>
            </w:pPr>
          </w:p>
        </w:tc>
        <w:tc>
          <w:tcPr>
            <w:tcW w:w="3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Common stock, par value $0.000041666 per value</w:t>
            </w:r>
          </w:p>
        </w:tc>
        <w:tc>
          <w:tcPr>
            <w:tcW w:w="140" w:type="dxa"/>
            <w:vAlign w:val="bottom"/>
          </w:tcPr>
          <w:p>
            <w:pPr>
              <w:spacing w:after="0"/>
              <w:rPr>
                <w:sz w:val="13"/>
                <w:szCs w:val="13"/>
                <w:color w:val="auto"/>
              </w:rPr>
            </w:pPr>
          </w:p>
        </w:tc>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IOVA</w:t>
            </w:r>
          </w:p>
        </w:tc>
        <w:tc>
          <w:tcPr>
            <w:tcW w:w="140" w:type="dxa"/>
            <w:vAlign w:val="bottom"/>
          </w:tcPr>
          <w:p>
            <w:pPr>
              <w:spacing w:after="0"/>
              <w:rPr>
                <w:sz w:val="13"/>
                <w:szCs w:val="13"/>
                <w:color w:val="auto"/>
              </w:rPr>
            </w:pPr>
          </w:p>
        </w:tc>
        <w:tc>
          <w:tcPr>
            <w:tcW w:w="3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34" w:lineRule="exact"/>
        <w:rPr>
          <w:sz w:val="24"/>
          <w:szCs w:val="24"/>
          <w:color w:val="auto"/>
        </w:rPr>
      </w:pPr>
    </w:p>
    <w:p>
      <w:pPr>
        <w:ind w:right="40"/>
        <w:spacing w:after="0" w:line="228"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on June 30, 2023, the last business day of the registrant’s most recently completed second fiscal quarter, was approximately $1.4 billion. Shares of common stock held by directors and executive officers and any ten percent or greater stockholders and their respective affiliates have been excluded from this calculation, because such stockholders may be deemed to be "affiliates" of the Registrant. This is not necessarily determinative of affiliate status of other purposes. As of February 22, 2024, there were 279,307,043 shares of the registrant’s common stock outstanding.</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 w:lineRule="exact"/>
        <w:rPr>
          <w:sz w:val="24"/>
          <w:szCs w:val="24"/>
          <w:color w:val="auto"/>
        </w:rPr>
      </w:pPr>
    </w:p>
    <w:p>
      <w:pPr>
        <w:jc w:val="both"/>
        <w:ind w:right="120" w:firstLine="492"/>
        <w:spacing w:after="0" w:line="245" w:lineRule="auto"/>
        <w:rPr>
          <w:sz w:val="20"/>
          <w:szCs w:val="20"/>
          <w:color w:val="auto"/>
        </w:rPr>
      </w:pPr>
      <w:r>
        <w:rPr>
          <w:rFonts w:ascii="Times New Roman" w:cs="Times New Roman" w:eastAsia="Times New Roman" w:hAnsi="Times New Roman"/>
          <w:sz w:val="12"/>
          <w:szCs w:val="12"/>
          <w:color w:val="auto"/>
        </w:rPr>
        <w:t>Portions of registrant’s proxy statement relating to registrant’s 2024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128905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9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97485"/>
                    </a:xfrm>
                    <a:prstGeom prst="rect">
                      <a:avLst/>
                    </a:prstGeom>
                    <a:noFill/>
                  </pic:spPr>
                </pic:pic>
              </a:graphicData>
            </a:graphic>
          </wp:anchor>
        </w:drawing>
      </w:r>
    </w:p>
    <w:p>
      <w:pPr>
        <w:spacing w:after="0" w:line="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u w:val="single" w:color="auto"/>
          <w:color w:val="0000EE"/>
        </w:rPr>
        <w:t>Item 1.</w:t>
      </w:r>
      <w:r>
        <w:rPr>
          <w:sz w:val="20"/>
          <w:szCs w:val="20"/>
          <w:color w:val="auto"/>
        </w:rPr>
        <w:tab/>
      </w:r>
      <w:r>
        <w:rPr>
          <w:rFonts w:ascii="Times New Roman" w:cs="Times New Roman" w:eastAsia="Times New Roman" w:hAnsi="Times New Roman"/>
          <w:sz w:val="17"/>
          <w:szCs w:val="17"/>
          <w:u w:val="single" w:color="auto"/>
          <w:color w:val="0000EE"/>
        </w:rPr>
        <w:t>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8859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1B. Unresolved Staff Comments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1C.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97485"/>
                    </a:xfrm>
                    <a:prstGeom prst="rect">
                      <a:avLst/>
                    </a:prstGeom>
                    <a:noFill/>
                  </pic:spPr>
                </pic:pic>
              </a:graphicData>
            </a:graphic>
          </wp:anchor>
        </w:drawing>
      </w:r>
    </w:p>
    <w:p>
      <w:pPr>
        <w:spacing w:after="0" w:line="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u w:val="single" w:color="auto"/>
          <w:color w:val="0000EE"/>
        </w:rPr>
        <w:t>Item 2.</w:t>
      </w:r>
      <w:r>
        <w:rPr>
          <w:sz w:val="20"/>
          <w:szCs w:val="20"/>
          <w:color w:val="auto"/>
        </w:rPr>
        <w:tab/>
      </w:r>
      <w:r>
        <w:rPr>
          <w:rFonts w:ascii="Times New Roman" w:cs="Times New Roman" w:eastAsia="Times New Roman" w:hAnsi="Times New Roman"/>
          <w:sz w:val="17"/>
          <w:szCs w:val="17"/>
          <w:u w:val="single" w:color="auto"/>
          <w:color w:val="0000EE"/>
        </w:rPr>
        <w:t>Properties</w:t>
      </w:r>
    </w:p>
    <w:p>
      <w:pPr>
        <w:spacing w:after="0" w:line="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u w:val="single" w:color="auto"/>
          <w:color w:val="0000EE"/>
        </w:rPr>
        <w:t>Item 3.</w:t>
      </w:r>
      <w:r>
        <w:rPr>
          <w:sz w:val="20"/>
          <w:szCs w:val="20"/>
          <w:color w:val="auto"/>
        </w:rPr>
        <w:tab/>
      </w:r>
      <w:r>
        <w:rPr>
          <w:rFonts w:ascii="Times New Roman" w:cs="Times New Roman" w:eastAsia="Times New Roman" w:hAnsi="Times New Roman"/>
          <w:sz w:val="17"/>
          <w:szCs w:val="17"/>
          <w:u w:val="single" w:color="auto"/>
          <w:color w:val="0000EE"/>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97485"/>
                    </a:xfrm>
                    <a:prstGeom prst="rect">
                      <a:avLst/>
                    </a:prstGeom>
                    <a:noFill/>
                  </pic:spPr>
                </pic:pic>
              </a:graphicData>
            </a:graphic>
          </wp:anchor>
        </w:drawing>
      </w:r>
    </w:p>
    <w:p>
      <w:pPr>
        <w:spacing w:after="0" w:line="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u w:val="single" w:color="auto"/>
          <w:color w:val="0000EE"/>
        </w:rPr>
        <w:t>Item 4.</w:t>
      </w:r>
      <w:r>
        <w:rPr>
          <w:sz w:val="20"/>
          <w:szCs w:val="20"/>
          <w:color w:val="auto"/>
        </w:rPr>
        <w:tab/>
      </w:r>
      <w:r>
        <w:rPr>
          <w:rFonts w:ascii="Times New Roman" w:cs="Times New Roman" w:eastAsia="Times New Roman" w:hAnsi="Times New Roman"/>
          <w:sz w:val="17"/>
          <w:szCs w:val="17"/>
          <w:u w:val="single" w:color="auto"/>
          <w:color w:val="0000EE"/>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6292215"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9748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PART II</w:t>
      </w:r>
    </w:p>
    <w:p>
      <w:pPr>
        <w:spacing w:after="0" w:line="104" w:lineRule="exact"/>
        <w:rPr>
          <w:sz w:val="20"/>
          <w:szCs w:val="20"/>
          <w:color w:val="auto"/>
        </w:rPr>
      </w:pPr>
    </w:p>
    <w:p>
      <w:pPr>
        <w:ind w:right="620"/>
        <w:spacing w:after="0" w:line="352" w:lineRule="auto"/>
        <w:rPr>
          <w:sz w:val="20"/>
          <w:szCs w:val="20"/>
          <w:color w:val="auto"/>
        </w:rPr>
      </w:pPr>
      <w:r>
        <w:rPr>
          <w:rFonts w:ascii="Times New Roman" w:cs="Times New Roman" w:eastAsia="Times New Roman" w:hAnsi="Times New Roman"/>
          <w:sz w:val="18"/>
          <w:szCs w:val="18"/>
          <w:u w:val="single" w:color="auto"/>
          <w:color w:val="0000EE"/>
        </w:rPr>
        <w:t>Item 5. Market for Common Equity, Related Stockholder Matters and Issuer Purchases of Equity Securities 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-373380</wp:posOffset>
            </wp:positionV>
            <wp:extent cx="629221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88595"/>
                    </a:xfrm>
                    <a:prstGeom prst="rect">
                      <a:avLst/>
                    </a:prstGeom>
                    <a:noFill/>
                  </pic:spPr>
                </pic:pic>
              </a:graphicData>
            </a:graphic>
          </wp:anchor>
        </w:drawing>
      </w:r>
    </w:p>
    <w:p>
      <w:pPr>
        <w:ind w:right="1340"/>
        <w:spacing w:after="0" w:line="352" w:lineRule="auto"/>
        <w:rPr>
          <w:sz w:val="20"/>
          <w:szCs w:val="20"/>
          <w:color w:val="auto"/>
        </w:rPr>
      </w:pPr>
      <w:r>
        <w:rPr>
          <w:rFonts w:ascii="Times New Roman" w:cs="Times New Roman" w:eastAsia="Times New Roman" w:hAnsi="Times New Roman"/>
          <w:sz w:val="18"/>
          <w:szCs w:val="18"/>
          <w:u w:val="single" w:color="auto"/>
          <w:color w:val="0000EE"/>
        </w:rPr>
        <w:t>Item 7. Management’s Discussion and Analysis of Financial Condition and Results of Operations Item 7A.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-373380</wp:posOffset>
            </wp:positionV>
            <wp:extent cx="6292215"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9748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18"/>
          <w:szCs w:val="18"/>
          <w:u w:val="single" w:color="auto"/>
          <w:color w:val="0000EE"/>
        </w:rPr>
        <w:t>Item 8.</w:t>
      </w:r>
      <w:r>
        <w:rPr>
          <w:sz w:val="20"/>
          <w:szCs w:val="20"/>
          <w:color w:val="auto"/>
        </w:rPr>
        <w:tab/>
      </w:r>
      <w:r>
        <w:rPr>
          <w:rFonts w:ascii="Times New Roman" w:cs="Times New Roman" w:eastAsia="Times New Roman" w:hAnsi="Times New Roman"/>
          <w:sz w:val="17"/>
          <w:szCs w:val="17"/>
          <w:u w:val="single" w:color="auto"/>
          <w:color w:val="0000EE"/>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96850"/>
                    </a:xfrm>
                    <a:prstGeom prst="rect">
                      <a:avLst/>
                    </a:prstGeom>
                    <a:noFill/>
                  </pic:spPr>
                </pic:pic>
              </a:graphicData>
            </a:graphic>
          </wp:anchor>
        </w:drawing>
      </w:r>
    </w:p>
    <w:p>
      <w:pPr>
        <w:spacing w:after="0" w:line="84" w:lineRule="exact"/>
        <w:rPr>
          <w:sz w:val="20"/>
          <w:szCs w:val="20"/>
          <w:color w:val="auto"/>
        </w:rPr>
      </w:pPr>
    </w:p>
    <w:p>
      <w:pPr>
        <w:ind w:right="1320"/>
        <w:spacing w:after="0" w:line="352" w:lineRule="auto"/>
        <w:rPr>
          <w:sz w:val="20"/>
          <w:szCs w:val="20"/>
          <w:color w:val="auto"/>
        </w:rPr>
      </w:pPr>
      <w:r>
        <w:rPr>
          <w:rFonts w:ascii="Times New Roman" w:cs="Times New Roman" w:eastAsia="Times New Roman" w:hAnsi="Times New Roman"/>
          <w:sz w:val="18"/>
          <w:szCs w:val="18"/>
          <w:u w:val="single" w:color="auto"/>
          <w:color w:val="0000EE"/>
        </w:rPr>
        <w:t>Item 9. Changes in and Disagreements with Accountants on Accounting and Financial Disclosure Item 9A.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-184785</wp:posOffset>
            </wp:positionV>
            <wp:extent cx="6292215"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968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EE"/>
        </w:rPr>
        <w:t>Item 9B.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629221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8859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PART III</w:t>
      </w:r>
    </w:p>
    <w:p>
      <w:pPr>
        <w:spacing w:after="0" w:line="104" w:lineRule="exact"/>
        <w:rPr>
          <w:sz w:val="20"/>
          <w:szCs w:val="20"/>
          <w:color w:val="auto"/>
        </w:rPr>
      </w:pPr>
    </w:p>
    <w:p>
      <w:pPr>
        <w:ind w:right="3700"/>
        <w:spacing w:after="0" w:line="352" w:lineRule="auto"/>
        <w:rPr>
          <w:sz w:val="20"/>
          <w:szCs w:val="20"/>
          <w:color w:val="auto"/>
        </w:rPr>
      </w:pPr>
      <w:r>
        <w:rPr>
          <w:rFonts w:ascii="Times New Roman" w:cs="Times New Roman" w:eastAsia="Times New Roman" w:hAnsi="Times New Roman"/>
          <w:sz w:val="18"/>
          <w:szCs w:val="18"/>
          <w:u w:val="single" w:color="auto"/>
          <w:color w:val="0000EE"/>
        </w:rPr>
        <w:t>Item 10. Directors, Executive Officers and Corporate Governance 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-373380</wp:posOffset>
            </wp:positionV>
            <wp:extent cx="6292215"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97485"/>
                    </a:xfrm>
                    <a:prstGeom prst="rect">
                      <a:avLst/>
                    </a:prstGeom>
                    <a:noFill/>
                  </pic:spPr>
                </pic:pic>
              </a:graphicData>
            </a:graphic>
          </wp:anchor>
        </w:drawing>
      </w:r>
    </w:p>
    <w:p>
      <w:pPr>
        <w:ind w:right="500"/>
        <w:spacing w:after="0" w:line="375" w:lineRule="auto"/>
        <w:rPr>
          <w:sz w:val="20"/>
          <w:szCs w:val="20"/>
          <w:color w:val="auto"/>
        </w:rPr>
      </w:pPr>
      <w:r>
        <w:rPr>
          <w:rFonts w:ascii="Times New Roman" w:cs="Times New Roman" w:eastAsia="Times New Roman" w:hAnsi="Times New Roman"/>
          <w:sz w:val="18"/>
          <w:szCs w:val="18"/>
          <w:u w:val="single" w:color="auto"/>
          <w:color w:val="0000EE"/>
        </w:rPr>
        <w:t>Item 12. Security Ownership of Certain Beneficial Owners and Management and Related Stockholder Matters Item 13. Certain Relationships and Related Transactions, and Director Independence Item 14. 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-603885</wp:posOffset>
            </wp:positionV>
            <wp:extent cx="6292215"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968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-209550</wp:posOffset>
            </wp:positionV>
            <wp:extent cx="629221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8859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8859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15. Exhibits, Financial Statements Schedules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16.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97485"/>
                    </a:xfrm>
                    <a:prstGeom prst="rect">
                      <a:avLst/>
                    </a:prstGeom>
                    <a:noFill/>
                  </pic:spPr>
                </pic:pic>
              </a:graphicData>
            </a:graphic>
          </wp:anchor>
        </w:drawing>
      </w:r>
    </w:p>
    <w:p>
      <w:pPr>
        <w:spacing w:after="0" w:line="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0000EE"/>
        </w:rPr>
        <w:t>Signatures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19685</wp:posOffset>
            </wp:positionV>
            <wp:extent cx="6426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83</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83</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84</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85</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86</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86</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86</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87</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87</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108</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2">
            <w:col w:w="8500" w:space="720"/>
            <w:col w:w="700"/>
          </w:cols>
          <w:pgMar w:left="980" w:top="66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 and Market Data</w:t>
      </w:r>
    </w:p>
    <w:p>
      <w:pPr>
        <w:spacing w:after="0" w:line="22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are based on management’s beliefs and assumptions and on information currently available to management. All statements other than statements of historical facts contained in this report are forward-looking statements. In some cases, you can identify forward-looking statements by the following words: “may,” “will,” “might,” “could,” “would,” “should,” “expect,” “intend,” “plan,” “anticipate,” “believe,” “estimate,” “predict,” “project,” “aim,” “potential,” “continue,” “ongoing,” “goal,” “forecast,” “guidance,” “outlook,” or the negative of these terms or other similar expressions, although not all forward-looking statements contain these words.</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report, we caution you that these statements are based on a combination of facts and factors currently known by us and our projections of the future, about which we cannot be certain. Forward-looking statements in this Annual Report on Form 10-K include, but are not limited to, statements about:</w:t>
      </w:r>
    </w:p>
    <w:p>
      <w:pPr>
        <w:spacing w:after="0" w:line="183"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enrollment, and timing of our clinical trials;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activities;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us or our third-party contract manufacturers to continue to manufacture tumor infiltrating lymphocytes, or TIL, in accordance with our selected process;</w:t>
      </w: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construct and staff our own manufacturing facility on a timely basis and within the estimated expenses;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of America, or U.S., and foreign countries;</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U.S. Food and Drug Administration, or the FDA, or other regulatory authority approval of, or other action with respect to, our products and /or product candidates;</w:t>
      </w: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of our product candidates and commercialization of our products;</w:t>
      </w:r>
    </w:p>
    <w:p>
      <w:pPr>
        <w:ind w:left="680" w:right="20" w:hanging="321"/>
        <w:spacing w:after="0" w:line="204"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Amtagvi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(lifileucel) and any other products and/or product candidates for which we obtain FDA or other regulatory approvals;</w:t>
      </w:r>
    </w:p>
    <w:p>
      <w:pPr>
        <w:spacing w:after="0" w:line="1"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research institution collaborators to continue research and development activities relating to our product candidates;</w:t>
      </w: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other research and development and strategic collaborations;</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manufacturing methods and products and/or product candidates;</w:t>
      </w: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products and/or product candidates;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products and/or product candidates, and our ability to serve those markets;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price of our common stock;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and other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Actual results may differ from those set forth in this Annual Report on Form 10-K due to the risks and uncertainties inherent in our business, including, without limitation: the FDA may not agree with our interpretation of the results of its clinical trials; later developments with the FDA that may be inconsistent with already completed FDA meetings; the preliminary clinical results, including efficacy and safety results, from ongoing Phase 2 and Phase 3 clinical trials may not be reflected in the final analyses of these clinical trials including new cohorts within these clinical trials; the results obtained in our ongoing clinical trials, such as the studies and clinical trials referred to in this Annual Report on Form 10-K, may not be indicative of results obtained in future clinical trials or supportive of product approval; regulatory authorities may potentially delay the timing of FDA or other regulatory authority approval of, or other action with respect to, our product candidates, specifically, our description of FDA interactions are subject to FDA’s interpretation, as well as FDA’s authority to request new or additional information; we may not be able to obtain or maintain FDA or other regulatory authority approval of its product candidates; our ability to address FDA or other regulatory authority requirements relating to our clinical programs and registrational plans, such requirements including, but not limited to, clinical and safety requirements as well as manufacturing and control requirements; risks related to our accelerated FDA review designations; our ability to obtain and maintain intellectual property rights relating to our product pipeline; and the acceptance by the market of our product candidates and their potential reimbursement by payors, if approved.</w:t>
      </w:r>
    </w:p>
    <w:p>
      <w:pPr>
        <w:spacing w:after="0" w:line="19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referenced above may not contain all the risks, uncertainties and other factors that are important to you. In addition, we cannot guarantee future results, level of activity, performance, or achievements. Any forward-looking statement made by us in this Annual Report on Form 10-K speaks only as of the date of this Annual Report on Form 10-K or as of the date on which it is made. Except as required by law, we undertake no obligation to publicly update any forward-looking statements, whether because of new information, future events or otherwise, after the date of this Annual Report on Form 10-K.</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in this report the terms “Iovance,” the “Company,” “we,” “us” and “our” refer to Iovance Biotherapeutics,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92"/>
        <w:spacing w:after="0" w:line="234" w:lineRule="auto"/>
        <w:rPr>
          <w:sz w:val="20"/>
          <w:szCs w:val="20"/>
          <w:color w:val="auto"/>
        </w:rPr>
      </w:pPr>
      <w:r>
        <w:rPr>
          <w:rFonts w:ascii="Times New Roman" w:cs="Times New Roman" w:eastAsia="Times New Roman" w:hAnsi="Times New Roman"/>
          <w:sz w:val="18"/>
          <w:szCs w:val="18"/>
          <w:color w:val="auto"/>
        </w:rPr>
        <w:t>We are a commercial-stage biopharmaceutical company pioneering a transformational approach to treating cancer by harnessing the human immune system’s ability to recognize and destroy diverse cancer cells using therapies personalized for each patient. Our mission is to be the global leader in innovating, developing and delivering tumor infiltrating lymphocyte, or TIL, cell therapies for patients with solid tumor cancers. With the recent approval of our biologics license application, or BLA, we are executing the U.S. launch of Amtagvi™ (lifileucel), the first product within our autologous TIL cell therapy platform, while also marketing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(aldesleukin), an interleukin-2, or IL-2, product used in the Amtagvi™ treatment regimen. Amtagvi™ is a tumor-derived autologous T cell immunotherapy indicated for the treatment of adult patients with unresectable or metastatic melanoma previously treated with a PD-1 blocking antibody, and if BRAF V600 mutation positive, a BRAF inhibitor with or without a MEK inhibitor. This indication is approved under accelerated approval based on an endpoint of overall response rate, or ORR. Continued approval for this indication may be contingent upon verification and description of clinical benefit in future confirmatory trials. Amtagvi™ is the first and the only one-time, individualized T cell therapy to receive FDA approval for a solid tumor cancer. Amtagvi™ and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part of a treatment regimen that also includes lymphodepletion.</w:t>
      </w:r>
    </w:p>
    <w:p>
      <w:pPr>
        <w:spacing w:after="0" w:line="166"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Iovance was founded to build upon the promise of TIL cell therapy that was previously demonstrated in single-center clinical trials at academic centers, including the National Cancer Institute, or the NCI. Our multi-center trials, novel TIL products, manufacturing processes, facilities, and bioanalytical platforms have transformed TIL cell therapy into a commercially viable treatment, which many more patients with cancer can access.</w:t>
      </w:r>
    </w:p>
    <w:p>
      <w:pPr>
        <w:spacing w:after="0" w:line="15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manufacture Amtagvi™ and our investigational TIL cell therapies using a centralized, scalable, and proprietary 22-day manufacturing process which rejuvenates and multiplies polyclonal T cells unique to each patient into the billions and yields a cryopreserved, individualized therapy.</w:t>
      </w:r>
    </w:p>
    <w:p>
      <w:pPr>
        <w:spacing w:after="0" w:line="135"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Our development pipeline includes multicenter trials of TIL cell therapies in additional treatment settings for solid tumor cancers. We are investigating TIL monotherapies for patients with later stage disease who were previously treated with standard of care therapies and TIL combinations with standard of care therapies to potentially improve outcomes in patients who are earlier in their disease. These trials include two ongoing registrational trials to support a supplementary BLA, or sBLA, of our TIL cell therapies in frontline advanced</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melanoma and in advanced non-small cell lung cancer following standard of care chemo-immunotherapy. We are also developing next generation therapies using TIL, such as genetically modified TIL cell therapy.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Strategy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Be the global leader in innovating, developing and delivering TIL cell therapy</w:t>
      </w:r>
    </w:p>
    <w:p>
      <w:pPr>
        <w:spacing w:after="0" w:line="22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Our mission is to be the global leader in innovating, developing and delivering TIL cell therapy for patients with solid tumor cancers. We are pioneering this transformational approach to cure cancer by harnessing the human immune system’s ability to recognize and destroy diverse cancer cells in each patient. Through the U.S. launch of Amtagvi™ and the advancement of our pipeline, we are committed to continuous innovation in developing TIL cell therapy and optimizing TIL treatment regimens that may extend and improve life for patients with cancer.</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Successfully commercialize our lead product Amtagvi™ for the treatment of post-anti-PD-1 advanced melanoma</w:t>
      </w:r>
    </w:p>
    <w:p>
      <w:pPr>
        <w:spacing w:after="0" w:line="248" w:lineRule="exact"/>
        <w:rPr>
          <w:sz w:val="20"/>
          <w:szCs w:val="20"/>
          <w:color w:val="auto"/>
        </w:rPr>
      </w:pPr>
    </w:p>
    <w:p>
      <w:pPr>
        <w:jc w:val="both"/>
        <w:ind w:firstLine="492"/>
        <w:spacing w:after="0" w:line="235" w:lineRule="auto"/>
        <w:rPr>
          <w:sz w:val="20"/>
          <w:szCs w:val="20"/>
          <w:color w:val="auto"/>
        </w:rPr>
      </w:pPr>
      <w:r>
        <w:rPr>
          <w:rFonts w:ascii="Times New Roman" w:cs="Times New Roman" w:eastAsia="Times New Roman" w:hAnsi="Times New Roman"/>
          <w:sz w:val="18"/>
          <w:szCs w:val="18"/>
          <w:color w:val="auto"/>
        </w:rPr>
        <w:t>Our top priority is commercialization of Amtagvi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U.S. for the treatment of patients with post-anti-PD-1 advanced melanoma, for which we received FDA approval on February 16, 2024. We have experienced marketing, payer access and distribution teams as well as a sales force with extensive experience in oncology and cell therapy. Our medical affairs team is also in the field educating key opinion leaders, or KOLs, about Amtagvi™ and TIL cell therapy as well as presenting and publishing our clinical results. More than half of the members of our field teams have prior cell therapy experience.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four primary areas of our Amtagvi™ launch efforts include:</w:t>
      </w:r>
    </w:p>
    <w:p>
      <w:pPr>
        <w:spacing w:after="0" w:line="225" w:lineRule="exact"/>
        <w:rPr>
          <w:sz w:val="20"/>
          <w:szCs w:val="20"/>
          <w:color w:val="auto"/>
        </w:rPr>
      </w:pPr>
    </w:p>
    <w:p>
      <w:pPr>
        <w:ind w:left="840" w:right="20" w:hanging="319"/>
        <w:spacing w:after="0" w:line="26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onboarding of authorized treatment centers, or ATCs, for commercial launch, with the goal of activating 50 ATCs within 90 days of the BLA Prescription Drug User Fee Act, or PDUFA, date of February 24, 2024;</w:t>
      </w:r>
    </w:p>
    <w:p>
      <w:pPr>
        <w:ind w:left="840" w:hanging="319"/>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with healthcare professionals, or HCPs, who will be administering our product;</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excellence in launch execution, commercial manufacturing and delivery of therapy; and</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and continuous communication with payors about the value of Amtagvi™.</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Prepare for commercial manufacturing to meet forecasted demand</w:t>
      </w:r>
    </w:p>
    <w:p>
      <w:pPr>
        <w:spacing w:after="0" w:line="22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 xml:space="preserve">We are the first company to obtain FDA approval for a TIL cell therapy product. We believe that we are the only company in the U.S. to have a centralized, scalable and commercially viable TIL manufacturing process. To date, more than 700 patients have been treated with Iovance TIL cell therapy products manufactured using our proprietary processes across multiple indications. Iovance TIL cell therapies are manufactured for commercial use and clinical trials at our manufacturing facility, the Iovance Cell Therapy Center, or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and by a contract manufacturing organization, or CMO.</w:t>
      </w:r>
    </w:p>
    <w:p>
      <w:pPr>
        <w:spacing w:after="0" w:line="141"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 xml:space="preserve">We are building capacity to treat several thousands of cancer patients annually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which is the first centralized and scalable current Good Manufacturing Practice, or cGMP, manufacturing facility dedicated to producing TIL. Located in Philadelphia, Pennsylvania, the 136,000 square feet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is also among the largest cell therapy manufacturing facilities in existence. Additional expansion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is under way which will significantly increase this capacity. The proximity of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to multiple airports facilitates delivery of TIL cell therapies to treatment centers, with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expected to cover logistics and delivery of TIL cell therapies in both North America and Europe. Owning our own facility allows us to control manufacturing capacity and product quality, manage logistics around supply and delivery, implement process improvement and realize potential cost efficiencies for TIL cell therapies that we may develop and commercialize. We are also exploring future TIL manufacturing processes, as well as next-generation treatments and technologies, which may further streamline development timelines and costs.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has a flexible design that allows future expansion within existing shell space and an option to build on an adjacent lot to support future growth and capacity needs.</w:t>
      </w:r>
    </w:p>
    <w:p>
      <w:pPr>
        <w:spacing w:after="0" w:line="160" w:lineRule="exact"/>
        <w:rPr>
          <w:sz w:val="20"/>
          <w:szCs w:val="20"/>
          <w:color w:val="auto"/>
        </w:rPr>
      </w:pPr>
    </w:p>
    <w:p>
      <w:pPr>
        <w:jc w:val="both"/>
        <w:ind w:firstLine="492"/>
        <w:spacing w:after="0" w:line="224" w:lineRule="auto"/>
        <w:rPr>
          <w:sz w:val="20"/>
          <w:szCs w:val="20"/>
          <w:color w:val="auto"/>
        </w:rPr>
      </w:pPr>
      <w:r>
        <w:rPr>
          <w:rFonts w:ascii="Times New Roman" w:cs="Times New Roman" w:eastAsia="Times New Roman" w:hAnsi="Times New Roman"/>
          <w:sz w:val="18"/>
          <w:szCs w:val="18"/>
          <w:color w:val="auto"/>
        </w:rPr>
        <w:t>In 2018, we began using our Gen 2 TIL manufacturing process, which reduced TIL manufacturing time to 22 days while producing a cryopreserved TIL product. The Gen 2 process was used to manufacture Amtagvi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the clinical trial that supported FDA approval, and most of our ongoing clinical trials use the Gen 2 process.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492"/>
        <w:spacing w:after="0" w:line="232" w:lineRule="auto"/>
        <w:rPr>
          <w:sz w:val="20"/>
          <w:szCs w:val="20"/>
          <w:color w:val="auto"/>
        </w:rPr>
      </w:pPr>
      <w:r>
        <w:rPr>
          <w:rFonts w:ascii="Times New Roman" w:cs="Times New Roman" w:eastAsia="Times New Roman" w:hAnsi="Times New Roman"/>
          <w:sz w:val="18"/>
          <w:szCs w:val="18"/>
          <w:color w:val="auto"/>
        </w:rPr>
        <w:t>Amtagvi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approved for commercial manufacturing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In addition, our CMO is approved for additional capacity to supplement our internal manufacturing. We plan to carefully manage our cost structure and reduce the long-term cost of manufacturing our products. Details of related agreements are provided in the Research, Development, Manufacturing and License Agreements for TIL Cell Therapy section of this Annual Report on Form 10-K.</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 Commercial Launch of the First TIL Cell Therapy in Advanced Melanoma</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Amtagvi™</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Amtagvi™ (lifileucel) was approved by the FDA on February 16, 2024 for the treatment of adult patients with unresectable or metastatic melanoma previously treated with a PD-1 blocking antibody, and if BRAF V600 mutation positive, a BRAF inhibitor with or without MEK inhibitor. The approval is based on safety and efficacy results from the C-144-01 clinical trial, a global, multicenter trial investigating Amtagvi™ in patients with advanced melanoma previously treated with anti-PD-1 therapy and targeted therapy, where applicable. Amtagvi™ demonstrated deep and durable responses. The primary efficacy analysis set included 73 patients from Cohort 4 who received the recommended Amtagvi™ dose from an approved manufacturing facility. Among the 73 patients, 31.5% achieved an objective response by Response Evaluation Criteria in Solid Tumors, or RECIST 1.1, with a median duration of response not reached at 18.6 months follow-up; 43.5% of responses had a duration greater than 12 months. Additionally, the supporting pooled efficacy set included a total of 153 patients from Cohort 4 and Cohort 2. Among the 153 patients, 31.4% achieved an objective response by RECIST 1.1 with a median duration of response not reached at 21.5 months follow-up; 54.2% of responses had a duration greater than 12 months. We completed the BLA submission in March 2023, which the FDA accepted in May 2023 for Priority Review. Based on the unmet need in post-anti-PD-1 advanced melanoma, as well as initial clinical data, Amtagvi™ previously received a Regenerative Medicine Advanced Therapy, or RMAT, designation from the FDA in 2018.</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Amtagvi™ has a boxed warning for treatment-related mortality, prolonged severe cytopenia, severe infection, and cardiopulmonary and renal impairment. Warnings and precautions include treatment-related mortality, prolonged severe cytopenia, internal organ hemorrhage, severe infection, cardiac disorder, respiratory failure, acute renal failure, and hypersensitivity reactions.</w:t>
      </w:r>
    </w:p>
    <w:p>
      <w:pPr>
        <w:spacing w:after="0" w:line="176" w:lineRule="exact"/>
        <w:rPr>
          <w:sz w:val="20"/>
          <w:szCs w:val="20"/>
          <w:color w:val="auto"/>
        </w:rPr>
      </w:pPr>
    </w:p>
    <w:p>
      <w:pPr>
        <w:jc w:val="both"/>
        <w:ind w:firstLine="486"/>
        <w:spacing w:after="0" w:line="271" w:lineRule="auto"/>
        <w:rPr>
          <w:sz w:val="20"/>
          <w:szCs w:val="20"/>
          <w:color w:val="auto"/>
        </w:rPr>
      </w:pPr>
      <w:r>
        <w:rPr>
          <w:rFonts w:ascii="Times New Roman" w:cs="Times New Roman" w:eastAsia="Times New Roman" w:hAnsi="Times New Roman"/>
          <w:sz w:val="18"/>
          <w:szCs w:val="18"/>
          <w:color w:val="auto"/>
        </w:rPr>
        <w:t>Amtagvi™ is manufactured using a proprietary process to collect and multiply a patient’s unique T cells from a portion of their tumor. Amtagvi™ returns billions of the patient’s T cells back to the body to fight cancer. ATCs will administer Amtagvi™ to patients as part of a treatment regimen that includes lymphodepletion and a short course of high-dose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(aldesleukin).</w:t>
      </w:r>
    </w:p>
    <w:p>
      <w:pPr>
        <w:spacing w:after="0" w:line="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are three key steps in the Amtagvi™ treatment process.</w:t>
      </w:r>
    </w:p>
    <w:p>
      <w:pPr>
        <w:spacing w:after="0" w:line="221" w:lineRule="exact"/>
        <w:rPr>
          <w:sz w:val="20"/>
          <w:szCs w:val="20"/>
          <w:color w:val="auto"/>
        </w:rPr>
      </w:pPr>
    </w:p>
    <w:p>
      <w:pPr>
        <w:ind w:left="820" w:hanging="320"/>
        <w:spacing w:after="0" w:line="286" w:lineRule="auto"/>
        <w:tabs>
          <w:tab w:leader="none" w:pos="8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Step 1: Sample Collection. </w:t>
      </w:r>
      <w:r>
        <w:rPr>
          <w:rFonts w:ascii="Times New Roman" w:cs="Times New Roman" w:eastAsia="Times New Roman" w:hAnsi="Times New Roman"/>
          <w:sz w:val="18"/>
          <w:szCs w:val="18"/>
          <w:color w:val="auto"/>
        </w:rPr>
        <w:t>At an ATC, a tumor tissue sample of at least 1.5 cm in diameter is removed and collected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surgical resection and shipped to an approved, centralized manufacturing facility.</w:t>
      </w:r>
    </w:p>
    <w:p>
      <w:pPr>
        <w:spacing w:after="0" w:line="154" w:lineRule="exact"/>
        <w:rPr>
          <w:rFonts w:ascii="Times New Roman" w:cs="Times New Roman" w:eastAsia="Times New Roman" w:hAnsi="Times New Roman"/>
          <w:sz w:val="18"/>
          <w:szCs w:val="18"/>
          <w:color w:val="auto"/>
        </w:rPr>
      </w:pPr>
    </w:p>
    <w:p>
      <w:pPr>
        <w:jc w:val="both"/>
        <w:ind w:left="820" w:hanging="320"/>
        <w:spacing w:after="0" w:line="257" w:lineRule="auto"/>
        <w:tabs>
          <w:tab w:leader="none" w:pos="8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Step 2: Manufacturing. </w:t>
      </w:r>
      <w:r>
        <w:rPr>
          <w:rFonts w:ascii="Times New Roman" w:cs="Times New Roman" w:eastAsia="Times New Roman" w:hAnsi="Times New Roman"/>
          <w:sz w:val="18"/>
          <w:szCs w:val="18"/>
          <w:color w:val="auto"/>
        </w:rPr>
        <w:t>Patient-specific TIL are manufactured using our commercial Gen 2 manufacturing process.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arrival at the facility, TIL are separated from other cells within the patient’s tumor tissue sample. Over the next 22 days, the cells are multiplied into the billions, so they can be returned to the patient to fight cancer cells. Upon completion of manufacturing, Amtagvi™ is quality tested to meet specific product release criteria. The final product is cryopreserved and sent back to the ATC for administration to the patient. Additional details on the Gen 2 manufacturing process are provided in the Manufacturing Process section of our Annual Report on Form 10-K.</w:t>
      </w:r>
    </w:p>
    <w:p>
      <w:pPr>
        <w:spacing w:after="0" w:line="182" w:lineRule="exact"/>
        <w:rPr>
          <w:rFonts w:ascii="Times New Roman" w:cs="Times New Roman" w:eastAsia="Times New Roman" w:hAnsi="Times New Roman"/>
          <w:sz w:val="18"/>
          <w:szCs w:val="18"/>
          <w:color w:val="auto"/>
        </w:rPr>
      </w:pPr>
    </w:p>
    <w:p>
      <w:pPr>
        <w:jc w:val="both"/>
        <w:ind w:left="820" w:hanging="320"/>
        <w:spacing w:after="0" w:line="266" w:lineRule="auto"/>
        <w:tabs>
          <w:tab w:leader="none" w:pos="8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Step 3: Treatment Regimen</w:t>
      </w:r>
      <w:r>
        <w:rPr>
          <w:rFonts w:ascii="Times New Roman" w:cs="Times New Roman" w:eastAsia="Times New Roman" w:hAnsi="Times New Roman"/>
          <w:sz w:val="18"/>
          <w:szCs w:val="18"/>
          <w:color w:val="auto"/>
        </w:rPr>
        <w:t>. The patient’s cell therapy treatment begins with a preparative regimen of non-myeloablative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lymphodepletion, or NMA-LD, to suppress the immunosuppressive tumor microenvironment, which we believe will enhance the efficacy of TIL cell therapy. After NMA-LD, the patient is treated at the ATC with Amtagvi™, followed by a short course of up to six doses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promote T cell activity in the body after TIL infusion.</w:t>
      </w:r>
    </w:p>
    <w:p>
      <w:pPr>
        <w:spacing w:after="0" w:line="64" w:lineRule="exact"/>
        <w:rPr>
          <w:sz w:val="20"/>
          <w:szCs w:val="20"/>
          <w:color w:val="auto"/>
        </w:rPr>
      </w:pPr>
    </w:p>
    <w:p>
      <w:pPr>
        <w:ind w:left="500" w:right="560"/>
        <w:spacing w:after="0" w:line="393" w:lineRule="auto"/>
        <w:rPr>
          <w:sz w:val="20"/>
          <w:szCs w:val="20"/>
          <w:color w:val="auto"/>
        </w:rPr>
      </w:pPr>
      <w:r>
        <w:rPr>
          <w:rFonts w:ascii="Times New Roman" w:cs="Times New Roman" w:eastAsia="Times New Roman" w:hAnsi="Times New Roman"/>
          <w:sz w:val="18"/>
          <w:szCs w:val="18"/>
          <w:color w:val="auto"/>
        </w:rPr>
        <w:t xml:space="preserve">Until now, there were no FDA approved therapies in this treatment setting for advanced melanoma after anti-PD-1 therapy. </w:t>
      </w:r>
      <w:r>
        <w:rPr>
          <w:rFonts w:ascii="Times New Roman" w:cs="Times New Roman" w:eastAsia="Times New Roman" w:hAnsi="Times New Roman"/>
          <w:sz w:val="18"/>
          <w:szCs w:val="18"/>
          <w:b w:val="1"/>
          <w:bCs w:val="1"/>
          <w:color w:val="auto"/>
        </w:rPr>
        <w:t>Proleukin</w:t>
      </w:r>
      <w:r>
        <w:rPr>
          <w:rFonts w:ascii="Times New Roman" w:cs="Times New Roman" w:eastAsia="Times New Roman" w:hAnsi="Times New Roman"/>
          <w:sz w:val="26"/>
          <w:szCs w:val="26"/>
          <w:color w:val="auto"/>
          <w:vertAlign w:val="superscript"/>
        </w:rPr>
        <w:t>®</w:t>
      </w:r>
    </w:p>
    <w:p>
      <w:pPr>
        <w:spacing w:after="0" w:line="1" w:lineRule="exact"/>
        <w:rPr>
          <w:sz w:val="20"/>
          <w:szCs w:val="20"/>
          <w:color w:val="auto"/>
        </w:rPr>
      </w:pPr>
    </w:p>
    <w:p>
      <w:pPr>
        <w:jc w:val="both"/>
        <w:ind w:firstLine="492"/>
        <w:spacing w:after="0" w:line="234" w:lineRule="auto"/>
        <w:rPr>
          <w:sz w:val="20"/>
          <w:szCs w:val="20"/>
          <w:color w:val="auto"/>
        </w:rPr>
      </w:pPr>
      <w:r>
        <w:rPr>
          <w:rFonts w:ascii="Times New Roman" w:cs="Times New Roman" w:eastAsia="Times New Roman" w:hAnsi="Times New Roman"/>
          <w:sz w:val="18"/>
          <w:szCs w:val="18"/>
          <w:color w:val="auto"/>
        </w:rPr>
        <w:t>In May 2023, we acquired the worldwide rights to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(aldesleukin) as well as the manufacturing, supply, and commercialization income generated from such rights and associated operations from Clinigen Holdings Limited, Clinigen Healthcare Limited, and Clinigen, Inc, which we refer to collectively as Clinigen. Ownership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provides an additional revenue source,</w:t>
      </w:r>
    </w:p>
    <w:p>
      <w:pPr>
        <w:sectPr>
          <w:pgSz w:w="11900" w:h="16838" w:orient="portrait"/>
          <w:cols w:equalWidth="0" w:num="1">
            <w:col w:w="9920"/>
          </w:cols>
          <w:pgMar w:left="980" w:top="661" w:right="99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allows Iovance to secure its supply chain and logistics surrounding TIL cell therapy administration, and lowers cost of goods and clinical trial expenses for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used with TIL cell therapies.</w:t>
      </w:r>
    </w:p>
    <w:p>
      <w:pPr>
        <w:spacing w:after="0" w:line="1" w:lineRule="exact"/>
        <w:rPr>
          <w:sz w:val="20"/>
          <w:szCs w:val="20"/>
          <w:color w:val="auto"/>
        </w:rPr>
      </w:pPr>
    </w:p>
    <w:p>
      <w:pPr>
        <w:jc w:val="both"/>
        <w:ind w:right="20" w:firstLine="492"/>
        <w:spacing w:after="0" w:line="201" w:lineRule="auto"/>
        <w:rPr>
          <w:sz w:val="20"/>
          <w:szCs w:val="20"/>
          <w:color w:val="auto"/>
        </w:rPr>
      </w:pPr>
      <w:r>
        <w:rPr>
          <w:rFonts w:ascii="Times New Roman" w:cs="Times New Roman" w:eastAsia="Times New Roman" w:hAnsi="Times New Roman"/>
          <w:sz w:val="18"/>
          <w:szCs w:val="18"/>
          <w:color w:val="auto"/>
        </w:rPr>
        <w:t>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an IL-2 product used in the Amtagvi™ treatment regimen.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also received regulatory approvals for treatment of adults with metastatic melanoma and metastatic renal cell carcinoma in the United States.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also licensed in multiple countries around the world for treatment of patients with metastatic renal cell carcinoma and/or metastatic melanoma.</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TIL Cell Therapy Clinical Development in Advanced, Metastatic or Unresectable Solid Tumor Cancers</w:t>
      </w:r>
    </w:p>
    <w:p>
      <w:pPr>
        <w:spacing w:after="0" w:line="22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TIL cell therapy is a T cell-based immunotherapy technology platform that leverages patient-specific cells to recognize and attack diverse cancer cells that are unique to each patient. Unlike other cell therapies that act on a single or small number of shared antigen targets common to certain tumors, our individualized T cell therapy are polyclonal or designed to target a variety of neoantigens that are unique to the patient or tumor. We believe this polyclonal cell therapy is potentially applicable to many solid tumor cancers, where the majority of immune targets are patient-specific. Our TIL cell therapy platform and manufacturing process have been initially validated through the FDA approval of Amtagvi™.</w:t>
      </w:r>
    </w:p>
    <w:p>
      <w:pPr>
        <w:spacing w:after="0" w:line="160"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have investigated TIL cell therapy in global, multicenter clinical trials in advanced melanoma, cervical cancer, non-small cell lung cancer, or NSCLC, and head and neck squamous cell carcinoma, or HNSCC. Through ongoing academic collaborations, as well as government and other partners, we are investigating the next frontier for TIL cell therapy in other tumor types and treatment settings.</w:t>
      </w:r>
    </w:p>
    <w:p>
      <w:pPr>
        <w:spacing w:after="0" w:line="131" w:lineRule="exact"/>
        <w:rPr>
          <w:sz w:val="20"/>
          <w:szCs w:val="20"/>
          <w:color w:val="auto"/>
        </w:rPr>
      </w:pPr>
    </w:p>
    <w:p>
      <w:pPr>
        <w:jc w:val="both"/>
        <w:ind w:left="1160" w:hanging="315"/>
        <w:spacing w:after="0" w:line="25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Frontline Advanced Melanoma: </w:t>
      </w:r>
      <w:r>
        <w:rPr>
          <w:rFonts w:ascii="Times New Roman" w:cs="Times New Roman" w:eastAsia="Times New Roman" w:hAnsi="Times New Roman"/>
          <w:sz w:val="18"/>
          <w:szCs w:val="18"/>
          <w:color w:val="auto"/>
        </w:rPr>
        <w:t>In frontline advanced melanoma patients who are naïve to anti-PD-1 therapy,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investigating lifileucel in combination with pembrolizumab in the Phase 3 TILVANCE-301 clinical trial. TILVANCE-301 is a randomized Phase 3 clinical trial intended to support registration in advanced frontline melanoma as well as to serve as a confirmatory trial for full approval in post-anti-PD-1 advanced melanoma. TILVANCE-301 is expected to enroll approximately 670 patients and features dual primary endpoints of ORR and progression free survival, or PFS, by a blinded independent review committee.</w:t>
      </w:r>
    </w:p>
    <w:p>
      <w:pPr>
        <w:spacing w:after="0" w:line="141" w:lineRule="exact"/>
        <w:rPr>
          <w:rFonts w:ascii="Times New Roman" w:cs="Times New Roman" w:eastAsia="Times New Roman" w:hAnsi="Times New Roman"/>
          <w:sz w:val="18"/>
          <w:szCs w:val="18"/>
          <w:color w:val="auto"/>
        </w:rPr>
      </w:pPr>
    </w:p>
    <w:p>
      <w:pPr>
        <w:jc w:val="both"/>
        <w:ind w:left="1160" w:hanging="315"/>
        <w:spacing w:after="0" w:line="259"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Non-Small Cell Lung Cancer: </w:t>
      </w:r>
      <w:r>
        <w:rPr>
          <w:rFonts w:ascii="Times New Roman" w:cs="Times New Roman" w:eastAsia="Times New Roman" w:hAnsi="Times New Roman"/>
          <w:sz w:val="18"/>
          <w:szCs w:val="18"/>
          <w:color w:val="auto"/>
        </w:rPr>
        <w:t>In NSCLC, we are investigating LN-145 TIL cell therapy in two clinical trials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NSCLC patient populations with significant unmet need. IOV-LUN-202 is a registrational clinical trial of LN-145 in advanced NSCLC patients who have progressed following chemotherapy and anti-PD-1 therapy. The IOV-COM-202 trial in solid tumors also includes cohorts of NSCLC patients treated with LN-145 monotherapy and combination therapy.</w:t>
      </w:r>
    </w:p>
    <w:p>
      <w:pPr>
        <w:spacing w:after="0" w:line="152" w:lineRule="exact"/>
        <w:rPr>
          <w:rFonts w:ascii="Times New Roman" w:cs="Times New Roman" w:eastAsia="Times New Roman" w:hAnsi="Times New Roman"/>
          <w:sz w:val="18"/>
          <w:szCs w:val="18"/>
          <w:color w:val="auto"/>
        </w:rPr>
      </w:pPr>
    </w:p>
    <w:p>
      <w:pPr>
        <w:jc w:val="both"/>
        <w:ind w:left="1160" w:hanging="315"/>
        <w:spacing w:after="0" w:line="268"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Gynecological Cancers: </w:t>
      </w:r>
      <w:r>
        <w:rPr>
          <w:rFonts w:ascii="Times New Roman" w:cs="Times New Roman" w:eastAsia="Times New Roman" w:hAnsi="Times New Roman"/>
          <w:sz w:val="18"/>
          <w:szCs w:val="18"/>
          <w:color w:val="auto"/>
        </w:rPr>
        <w:t>We are planning to initiate a clinical trial for lifileucel TIL cell therapy in endometrial cancer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potentially address the unmet need for patients previously treated with anti-PD-1 therapy. We also are exploring lifileucel in advanced cervical cancer in the C-145-04 multicenter Phase 2 clinical trial.</w:t>
      </w:r>
    </w:p>
    <w:p>
      <w:pPr>
        <w:spacing w:after="0" w:line="130" w:lineRule="exact"/>
        <w:rPr>
          <w:rFonts w:ascii="Times New Roman" w:cs="Times New Roman" w:eastAsia="Times New Roman" w:hAnsi="Times New Roman"/>
          <w:sz w:val="18"/>
          <w:szCs w:val="18"/>
          <w:color w:val="auto"/>
        </w:rPr>
      </w:pPr>
    </w:p>
    <w:p>
      <w:pPr>
        <w:jc w:val="both"/>
        <w:ind w:left="1160" w:hanging="315"/>
        <w:spacing w:after="0" w:line="231"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Next Generation TIL Cell Therapy: </w:t>
      </w:r>
      <w:r>
        <w:rPr>
          <w:rFonts w:ascii="Times New Roman" w:cs="Times New Roman" w:eastAsia="Times New Roman" w:hAnsi="Times New Roman"/>
          <w:sz w:val="18"/>
          <w:szCs w:val="18"/>
          <w:color w:val="auto"/>
        </w:rPr>
        <w:t>Our first genetically modified, PD-1 inactivated TIL cell therapy, IOV-4001,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a first-in-human Phase 1/2 clinical trial, IOV-GM1-201, in 2022 in patients with previously treated advanced melanoma and NSCLC. IOV-4001 utilizes the gene-editing TALEN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licensed from Cellectis S.A., or Cellectis, to inactivate the gene coding for the programmed cell death protein-1, or PD-1.</w:t>
      </w:r>
    </w:p>
    <w:p>
      <w:pPr>
        <w:spacing w:after="0" w:line="154" w:lineRule="exact"/>
        <w:rPr>
          <w:rFonts w:ascii="Times New Roman" w:cs="Times New Roman" w:eastAsia="Times New Roman" w:hAnsi="Times New Roman"/>
          <w:sz w:val="18"/>
          <w:szCs w:val="18"/>
          <w:color w:val="auto"/>
        </w:rPr>
      </w:pPr>
    </w:p>
    <w:p>
      <w:pPr>
        <w:jc w:val="both"/>
        <w:ind w:left="1160" w:hanging="315"/>
        <w:spacing w:after="0" w:line="25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Solid Tumor Cancers: </w:t>
      </w:r>
      <w:r>
        <w:rPr>
          <w:rFonts w:ascii="Times New Roman" w:cs="Times New Roman" w:eastAsia="Times New Roman" w:hAnsi="Times New Roman"/>
          <w:sz w:val="18"/>
          <w:szCs w:val="18"/>
          <w:color w:val="auto"/>
        </w:rPr>
        <w:t>Iovance TIL cell therapy has been investigated in additional solid tumor cancers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Iovance-and-investigator-sponsored clinical trials. LN-145 was evaluated as a monotherapy and in combination with pembrolizumab in the Phase 2 C-145-03 and IOV-COM-202 clinical trials in multiple patient cohorts with metastatic HNSCC. Indications studied in investigator sponsored clinical trials supported by Iovance include soft tissue sarcoma, osteosarcoma, pancreatic and colorectal cancer, platinum resistant ovarian cancer, anaplastic thyroid cancer and triple negative breast cancer.</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 information is included in the Iovance-Sponsored Clinical Trials section of this Annual Report on Form 10-K.</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established leadership within the field of TIL cell therapy by building and augmenting a leading intellectual property portfolio developed internally and licensed from third parties. We currently own more than 60 U.S. patents related to TIL cell therapy, including patents directed to compositions and methods of treatment in a broad range of cancers. Pending patent applications and granted patents cover the fields of TIL cell therapy, genetically edited TIL cell therapy, selected TIL cell therapy, small core or biopsy TIL cell therapy,</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fresh or frozen tumor digest-derived TIL cell therapy, TIL and ICI combination therapy, marrow infiltrating lymphocytes, or MIL therapy, and PBL therapy. We also license rights to a broad range of technologies related to our platforms. More details on our intellectual property portfolio are included within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Iovance-Sponsored Clinical Trials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Frontline Advanced Melanoma</w:t>
      </w:r>
    </w:p>
    <w:p>
      <w:pPr>
        <w:spacing w:after="0" w:line="22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Melanoma is a common type of skin cancer, accounting for an estimated 99,780 patients diagnosed and 7,650 deaths in 2023 in the U.S. according to the Surveillance, Epidemiology and End Results program, or SEER, program. Following the accelerated approval of Amtagvi™, our confirmatory trial is designed to support a registrational path for lifileucel in combination with pembrolizumab in frontline advanced melanoma as well as full U.S. approval for Amtagvi™, which has received an accelerated U.S. approval in its initial indication in post-anti-PD-1 advanced melanoma.</w:t>
      </w:r>
    </w:p>
    <w:p>
      <w:pPr>
        <w:spacing w:after="0" w:line="14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second quarter of 2023, the first patient was randomized in TILVANCE-301 in patients with unresectable or metastatic melanoma who have had no prior therapy for metastatic or unresectable disease. TILVANCE-301 is a Phase 3 multicenter, open-label, randomized, parallel group, treatment clinical trial that will randomize approximately 670 patients to investigate lifileucel in combination with pembrolizumab in the experimental arm compared with pembrolizumab monotherapy in the control arm. In the experimental arm, a tumor sample is procured from each patient for lifileucel manufacturing using the Gen 2 process. Patients receive pembrolizumab prior to and after the lifileucel regimen until disease progression. In the control arm, pembrolizumab monotherapy is given every six weeks until disease progression, with an optional crossover to lifileucel monotherapy upon confirmed progressive disease verified by a blinded independent review committee, or BIRC, and if patients meet eligibility criteria.</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2022, we reached agreement with the FDA on the TILVANCE-301 clinical trial design, including dual primary endpoints of ORR to support accelerated approval and PFS to support full approval of lifileucel in frontline advanced melanoma. The dual primary endpoints will be assessed by a BIRC using RECIST 1.1.</w:t>
      </w:r>
    </w:p>
    <w:p>
      <w:pPr>
        <w:spacing w:after="0" w:line="176"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Our strategy in frontline melanoma is supported by clinical results from the ongoing Cohort 1A of our IOV-COM-202 clinical trial as well as prior published NCI data for TIL monotherapy in anti-PD-1 naïve melanoma patients. As of the most recent detailed update from April 2022 in Cohort 1A, we observed a 67% ORR in twelve patients per RECIST 1.1. Eight patients had a confirmed objective response, including three complete responses and five partial responses. Six responders had ongoing response, and five responders had a duration of response of more than one year at the time of the data cut. The treatment-emergent adverse event, or TEAE, profile was consistent with the underlying advanced disease and the known adverse event profiles of pembrolizumab, lymphodepletion and IL-2 regimens. In January 2023, we disclosed that updated efficacy and safety results from nearly 20 patients treated in Cohort 1A remain consistent with previously reported Cohort 1A data and continue to support our strategy in frontline advanced melanoma.</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strategy is also supported by several NCI trials of TIL cell therapy that were conducted prior to anti-PD-1 approval. In anti-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PD-1 naïve melanoma patients, ORR was over 50% and approximately 22-24% of patients had a complete response per RECIST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complete responses remained ongoing in three to seven years of follow up.</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LN-145 for Advanced, or Metastatic or Unresectable NSCLC</w:t>
      </w:r>
    </w:p>
    <w:p>
      <w:pPr>
        <w:spacing w:after="0" w:line="2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According to the SEER program estimates, approximately 238,340 people were diagnosed with lung and bronchus cancers, and approximately 127,070 deaths occurred related to these cancers in the U.S. in 2023. Patients previously treated with standard of care chemo-immunotherapy have a poor prognosis, limited treatment options and a real-world overall survival of less than six months.</w:t>
      </w:r>
    </w:p>
    <w:p>
      <w:pPr>
        <w:spacing w:after="0" w:line="176"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We are developing our TIL cell therapy, LN-145, alone and in combination with approved therapies to treat advanced NSCLC in the IOV-LUN-202 and IOV-COM-202 clinical trials.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IOV-LUN-202 Registrational Trial</w:t>
      </w:r>
    </w:p>
    <w:p>
      <w:pPr>
        <w:spacing w:after="0" w:line="227"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IOV-LUN-202 is a single-arm, registrational trial investigating LN-145 in patients who have progressed on or after chemotherapy and anti-PD-1 therapy for advanced (unresectable or metastatic) NSCLC without epidermal growth factor receptor, or EGFR, ROS proto-oncogene receptor tyrosine kinase, or ROS, anaplastic lymphoma kinase, or ALK, genomic mutations and had received at least one line of an FDA-approved targeted therapy if indicated by other actionable tumor mutations. IOV-LUN-202 includes two</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registrational patient cohorts (Cohorts 1 and 2) and two exploratory patient cohorts (Cohort 3 and 4). The programmed death-ligand 1, or PD-L1, tumor proportion score, or TPS, in patients at the time they started frontline therapy was less than one percent or unknown in patients in Cohort 1 and greater than or equal to one percent in patients in Cohort 2. In Cohort 3, TIL is extracted from core biopsy and manufactured using our Gen 3 process. In Cohort 4, patients undergo surgical resection for TIL manufacturing prior to disease progression. Based on the regulatory discussions and positive regulatory feedback received by the FDA regarding the design of the IOV-LUN-202 trial, we plan to enroll a total of approximately 120 patients into the registrational Cohorts 1 and 2 of the IOV-LUN-202 trial.</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July 2023, we announced a preliminary analysis of the IOV-LUN-202 trial from 23 NSCLC patients treated with LN-145. An objective response rate of 26.1% per RECIST 1.1 was observed in six patients, with one complete response and five partial responses, and a disease control rate of 82.6%. While still early on study, the median duration of response, or DOR, was not reached. The DOR ranged from 1.4+ months to 9.8+ months. Treatment-emergent adverse events were consistent with the underlying disease and known adverse event profiles of non-myeloablative lymphodepletion and interleukin-2. We also reported additional ongoing responses, and duration of response greater than six months for 71% of the confirmed responders in the trial, in an updated analysis from November of 2023.</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believe the results from IOV-LUN-202 in previously treated patients with advanced NSCLC continue to support the potential benefit of one-time TIL cell therapy, including the opportunity for more durable responses than available second line chemotherapies.</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opportunity for TIL cell therapy in NSCLC is also supported by clinical results for LN-145 in heavily pre-treated patients with NSCLC (Cohort 3B) in our IOV-COM-202 trial in solid tumors. At the Society for Immunotherapy of Cancer, or SITC, in November 2021, we reported Cohort 3B results from 28 patients who had progressed on or after prior immune checkpoint inhibitor, or ICI, therapy, including patients with oncogene-driven tumors who received prior tyrosine kinase inhibitor, or TKI, therapy. The ORR was 21.4% per RECIST 1.1, including one complete response and five partial responses. The complete response remained ongoing at 37 months following treatment in a subsequent data extract from November of 2022. All Cohort 3B patients had received prior anti-PD-1/-L1 therapy, and all six responding patients had also received prior chemotherapy. The TEAE profile was consistent with the underlying disease and known adverse event profiles of non-myeloablative lymphodepletion and IL-2.</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December 22, 2023, the FDA placed a partial clinical hold on the IOV-LUN-202 trial in response to a reported Grade 5 (fatal) serious adverse event, or SAE, potentially related to the non-myeloablative lymphodepletion pre-conditioning regimen. We have paused enrollment and the LN-145 treatment regimen for new patients in IOV-LUN-202 during the clinical hold. Patients previously treated with LN-145 in the IOV-LUN-202 trial continue to be monitored and followed according to the trial protocol. While enrollment is currently paused due to an FDA-imposed clinical hold, enrollment is expected to be completed in 2025. We are working closely with the FDA to safely resume enrollment in the IOV-LUN-202 trial as soon as possible in 2024.</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Frontline NSCLC Development and Regulatory Strategy</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preparing to meet with the FDA in 2024 to discuss a randomized confirmatory trial of LN-145 in frontline advanced NSCLC patients. This confirmatory trial in frontline advanced NSCLC is expected to be well underway at the time of a potential approval of LN-145 in advanced post-anti-PD-1 NSCLC. Our goal is to improve frontline NSCLC therapy by adding TIL cell therapy to standard of care pembrolizumab maintenance therapy, administered after completion of the initial chemo-immunotherapy. This approach is supported by initial results from Cohort 3A in the IOV-COM-202 trial in solid tumors. Cohort 3A is evaluating LN-145 in combination with pembrolizumab in patients who have not received prior immunotherapy, including ICIs.</w:t>
      </w:r>
    </w:p>
    <w:p>
      <w:pPr>
        <w:spacing w:after="0" w:line="187"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September 2023, we reported preliminary Cohort 3A data in an oral presentation at the International Association for the Study of Lung Cancer, or IASLC, 2023 World Conference on Lung Cancer. The confirmed ORR per RECIST 1.1 was 58.3% in twelve treatment-naïve or post-chemotherapy patients with EGFR wild-type disease, regardless of PD-L1 status. Duration of responses of 15.4+, 10.2 +, 7.1, 6.9, 6.9+, 4.6, and 3.7 months were observed in seven patients, and three of these responses remained ongoing. Safety was consistent with other studies of Iovance TIL cell therapies in combination with pembrolizumab. Study enrollment remains ongoing.</w:t>
      </w:r>
    </w:p>
    <w:p>
      <w:pPr>
        <w:spacing w:after="0" w:line="183"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In addition to Cohort 3A, a separate patient cohort, Cohort 3C, in COM-202 is investigating LN-145 in combination with ipilimumab or nivolumab in patients who previously received only a prior line of approved systemic ICI monotherapy.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Gynecological Cancers</w:t>
      </w:r>
    </w:p>
    <w:p>
      <w:pPr>
        <w:spacing w:after="0" w:line="227"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According to the SEER program estimates, in 2023, 66,200 women were diagnosed with uterine cancer and approximately 13,030 uterine cancer-related deaths occurred in the U.S. Moreover, approximately 13,960 women were diagnosed with cervical cancer, and approximately 4,310 cervical cancer-related deaths occurred in the U.S.</w:t>
      </w:r>
    </w:p>
    <w:p>
      <w:pPr>
        <w:spacing w:after="0" w:line="176"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Advanced endometrial cancer, the most common form of uterine cancer, represents a significant opportunity for TIL cell therapy. Analogous to other tumor types, TIL cell therapy may offer benefit in the emerging treatment setting of patients who have no currently approved therapies for progression after post-anti-PD1 therapy and chemotherapy. We plan to begin a Phase 2 trial of lifileucel in post-anti-PD-1 and post-chemotherapy advanced endometrial cancer, including mismatch repair, or MMR, deficient and MMR proficient patient populations in the first half of 2024. Based on the TIL mechanism of action, the benefit of TIL cell therapy is likely to extend across patients with tumors that are MMR mechanism deficient and proficient.</w:t>
      </w:r>
    </w:p>
    <w:p>
      <w:pPr>
        <w:spacing w:after="0" w:line="187"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potential for TIL cell therapy in gynecological cancers is also supported by our clinical data for lifileucel alone and in combination with pembrolizumab in advanced cervical cancer. C-145-04 is a Phase 2, multicenter pivotal clinical trial that included patient previously treated with chemotherapy (Cohort 1), previously treated with chemo and ICIs (Cohort 2), and patients who had not received prior systemic therapy (Cohort 3). Cohorts 1 and 2 received lifileucel monotherapy and Cohort 3 received lifileucel in combination with pembrolizumab. Initial results from the C-145-04 clinical trial were reported at the American Society of Clinical Oncology in June 2019 and the SITC in November 2021.</w:t>
      </w:r>
    </w:p>
    <w:p>
      <w:pPr>
        <w:spacing w:after="0" w:line="187"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Following our assessment of the current treatment landscape in gynecological cancers, we are prioritizing endometrial cancer over cervical cancer. The C-145-04 clinical trial is expected to close during 2024. We plan to continue to explore the use of TIL cell therapies in cervical cancer, including using genetically modified TIL products and using TIL products in combination with anti-PD-1/PD-L1 blocking antibody therapies in frontline cervical cancer, with the goal of returning to clinical development in the future.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IOV-4001 for Advanced Melanoma and NSCLC</w:t>
      </w:r>
    </w:p>
    <w:p>
      <w:pPr>
        <w:spacing w:after="0" w:line="22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have a worldwide exclusive license from Cellectis that enables us to use certain TALEN® technology addressing multiple gene targets in several cancer indications, to develop genetically edited and potentially more potent TIL cell therapies. Our lead genetically modified TIL cell therapy, IOV-4001, utilizes this TALEN® technology to inactivate the gene coding for PD-1. We are investigating the safety and efficacy of IOV-4001 in IOV-GM1-201, a multicenter, first-in-human Phase 1/2 clinical trial in two patient cohorts. Cohort 1 includes patients with advanced melanoma, who were previously treated with anti-PD-1/PD-L1 blocking antibody therapy and, in those patients with BRAF mutations, after BRAF/MEK inhibitor therapy. In Cohort 2, we are investigating IOV-4001 in patients with metastatic NSCLC who have received no more than three prior lines of therapy, with or without oncogene driver mutations. We treated the first patient with IOV-4001 in the third quarter of 2022 and the Phase 1 safety portion of the clinical trial is ongoing.</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Additional Clinical Trials</w:t>
      </w:r>
    </w:p>
    <w:p>
      <w:pPr>
        <w:spacing w:after="0" w:line="243"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We previously investigated the potential for TIL cell therapy in metastatic HNSCC. The Phase 2 C-145-03 trial investigated LN-145 as monotherapy, using various manufacturing processes. The trial began in June 2017 and closed in January 2021 after reaching its pre-specified enrollment target. We also investigated LN-145 in combination with pembrolizumab in patients with HNSCC who are naïve to anti-PD-1 therapy in IOV-COM-202 Cohort 2A. The results from Cohort 2A are supportive of our strategies to develop TIL cell therapy in combination with pembrolizumab in earlier treatment settings for solid tumor cancers.</w:t>
      </w:r>
    </w:p>
    <w:p>
      <w:pPr>
        <w:spacing w:after="0" w:line="18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have also explored the potential for polyclonal T cell immunotherapies in blood cancers. A first-in-human clinical trial, IOV-CLL-01, evaluated the safety and efficacy of IOV-2001, our polyclonal PBL therapy, in patients with relapsed or refractory chronic lymphocytic leukemia, or CLL, and small lymphocytic lymphoma, or SLL.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Next-Generation TIL Cell Therapy Product Candidates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next-generation technology platforms are designed to optimize outcomes with TIL cell therapy across three key initiatives: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genetic modifications, potency, and new treatment regimens.</w:t>
      </w:r>
    </w:p>
    <w:p>
      <w:pPr>
        <w:spacing w:after="0" w:line="199" w:lineRule="exact"/>
        <w:rPr>
          <w:sz w:val="20"/>
          <w:szCs w:val="20"/>
          <w:color w:val="auto"/>
        </w:rPr>
      </w:pPr>
    </w:p>
    <w:p>
      <w:pPr>
        <w:jc w:val="both"/>
        <w:ind w:left="680" w:hanging="321"/>
        <w:spacing w:after="0" w:line="237"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Genetic modifications: </w:t>
      </w:r>
      <w:r>
        <w:rPr>
          <w:rFonts w:ascii="Times New Roman" w:cs="Times New Roman" w:eastAsia="Times New Roman" w:hAnsi="Times New Roman"/>
          <w:sz w:val="18"/>
          <w:szCs w:val="18"/>
          <w:color w:val="auto"/>
        </w:rPr>
        <w:t>We are pursuing several targets for genetic modification that utilize the gene-editing TALEN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licensed from the clinical-stage biotechnology company, Cellectis. Single- and multiple- knockouts may further harness the immune system response to cancer and potentially increase the potency of TIL cell therapy. Preclinical development is also ongoing with cytokine-tethered TIL products and additional TIL products and TIL-cell lines using transient and stable gene insertion and inactivation, which may expand and activate TIL to achieve better efficacy while avoiding systemic side effects of cytokines.</w:t>
      </w:r>
    </w:p>
    <w:p>
      <w:pPr>
        <w:spacing w:after="0" w:line="200"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Potency: </w:t>
      </w:r>
      <w:r>
        <w:rPr>
          <w:rFonts w:ascii="Times New Roman" w:cs="Times New Roman" w:eastAsia="Times New Roman" w:hAnsi="Times New Roman"/>
          <w:sz w:val="18"/>
          <w:szCs w:val="18"/>
          <w:color w:val="auto"/>
        </w:rPr>
        <w:t>We are exploring potential approaches to increase potency of the final TIL product through sorting and selection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TIL, such CD39/69 double-negative TIL, and the use of certain inhibitors or other reagents in TIL expansion cultures. We have also manufactured and investigated patient cohorts treated with TIL candidate, LN-145-S1, manufactured from TIL selected for PD-1 expression.</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treatment regimens: </w:t>
      </w:r>
      <w:r>
        <w:rPr>
          <w:rFonts w:ascii="Times New Roman" w:cs="Times New Roman" w:eastAsia="Times New Roman" w:hAnsi="Times New Roman"/>
          <w:sz w:val="18"/>
          <w:szCs w:val="18"/>
          <w:color w:val="auto"/>
        </w:rPr>
        <w:t>We are exploring potential improvements to the TIL treatment regimen. IND-enabling studies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investigating IOV-3001, an antibody cytokine-engrafted protein, or IL-2 analog, which we licensed from Novartis Pharma AG. in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Processes</w:t>
      </w:r>
    </w:p>
    <w:p>
      <w:pPr>
        <w:spacing w:after="0" w:line="22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Iovance was founded to build upon the promise of TIL cell therapy that was previously demonstrated in single-center clinical trials at academic centers. The NCI and other academic centers have historically manufactured TIL cell therapies for research purposes; using site-specific processes that have not been scalable or standardized to serve sizeable patient populations. Our multicenter trials and manufacturing processes have transformed TIL cell therapy into a commercially viable treatment which many more patients with cancer can access. At the end of 2023, more than 700 patients had been treated with an Iovance TIL cell therapy manufactured using our proprietary processes.</w:t>
      </w:r>
    </w:p>
    <w:p>
      <w:pPr>
        <w:spacing w:after="0" w:line="187"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Our internal research and process development team has innovated TIL manufacturing and processing. Our initial Gen 1 manufacturing process modified the NCI’s original TIL manufacturing and processing so that it could be reproduced in a cGMP environment. Gen 1 TIL expansion occurred over a 5-to-6-week period and produced a non-cryopreserved product.</w:t>
      </w:r>
    </w:p>
    <w:p>
      <w:pPr>
        <w:spacing w:after="0" w:line="176"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Building upon initial success with the Gen 1 process, our proprietary Gen 2 technology introduces manufacturing and logistical efficiencies aimed at further optimizing treatment and streamlining distribution processes. Gen 2 manufacturing takes 22 days and produces a cryopreserved final product. We currently use Gen 2 to manufacture our commercial product, Amtagvi™, and in most ongoing Iovance clinical trials. We are also committed to further improving and streamlining the processes for TIL cell therapy manufacturing and tumor sample collection. For example, we have developed a proprietary process for genetic modification to manufacture IOV-4001 and other next generation TIL cell therapy candidates, as well as a 16-day Gen 3 process to manufacture TIL from core biopsy as a less invasive collection of tumor samples.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 2 Manufacturing Process</w:t>
      </w:r>
    </w:p>
    <w:p>
      <w:pPr>
        <w:spacing w:after="0" w:line="219" w:lineRule="exact"/>
        <w:rPr>
          <w:sz w:val="20"/>
          <w:szCs w:val="20"/>
          <w:color w:val="auto"/>
        </w:rPr>
      </w:pPr>
    </w:p>
    <w:p>
      <w:pPr>
        <w:jc w:val="both"/>
        <w:ind w:firstLine="492"/>
        <w:spacing w:after="0" w:line="257" w:lineRule="auto"/>
        <w:rPr>
          <w:sz w:val="20"/>
          <w:szCs w:val="20"/>
          <w:color w:val="auto"/>
        </w:rPr>
      </w:pPr>
      <w:r>
        <w:rPr>
          <w:rFonts w:ascii="Times New Roman" w:cs="Times New Roman" w:eastAsia="Times New Roman" w:hAnsi="Times New Roman"/>
          <w:sz w:val="17"/>
          <w:szCs w:val="17"/>
          <w:color w:val="auto"/>
        </w:rPr>
        <w:t>During the Gen 2 process, TILs are multiplied into the billions or 10</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7"/>
          <w:szCs w:val="17"/>
          <w:color w:val="auto"/>
        </w:rPr>
        <w:t xml:space="preserve"> – 10</w:t>
      </w:r>
      <w:r>
        <w:rPr>
          <w:rFonts w:ascii="Times New Roman" w:cs="Times New Roman" w:eastAsia="Times New Roman" w:hAnsi="Times New Roman"/>
          <w:sz w:val="25"/>
          <w:szCs w:val="25"/>
          <w:color w:val="auto"/>
          <w:vertAlign w:val="superscript"/>
        </w:rPr>
        <w:t>11</w:t>
      </w:r>
      <w:r>
        <w:rPr>
          <w:rFonts w:ascii="Times New Roman" w:cs="Times New Roman" w:eastAsia="Times New Roman" w:hAnsi="Times New Roman"/>
          <w:sz w:val="17"/>
          <w:szCs w:val="17"/>
          <w:color w:val="auto"/>
        </w:rPr>
        <w:t xml:space="preserve"> of TIL. The process begins by collecting the patient’s tumor tissue by surgical biopsy for shipment to a central manufacturing facility, the </w:t>
      </w:r>
      <w:r>
        <w:rPr>
          <w:rFonts w:ascii="Times New Roman" w:cs="Times New Roman" w:eastAsia="Times New Roman" w:hAnsi="Times New Roman"/>
          <w:sz w:val="17"/>
          <w:szCs w:val="17"/>
          <w:i w:val="1"/>
          <w:iCs w:val="1"/>
          <w:color w:val="auto"/>
        </w:rPr>
        <w:t>i</w:t>
      </w:r>
      <w:r>
        <w:rPr>
          <w:rFonts w:ascii="Times New Roman" w:cs="Times New Roman" w:eastAsia="Times New Roman" w:hAnsi="Times New Roman"/>
          <w:sz w:val="17"/>
          <w:szCs w:val="17"/>
          <w:color w:val="auto"/>
        </w:rPr>
        <w:t>CTC or our CMO. The tumor is fragmented to facilitate a clear path for TILs to leave the tumor tissue and placed in media that optimizes the growth of TIL rather than other cell types. From days 0-11, cells grow slowly during the pre-rapid expansion, or pre-rep phase. The rapid expansion phase occurs from days 11-22. On Day 11, the cells are transferred to a larger bioreactor and feeder cells are introduced to further activate the TILs to proliferate. On day 16, the TILs are harvested while maintaining a closed system before they are counted and placed into multiple bioreactors which are incubated one last time. On day 22, TILs are filtered, washed, concentrated, and formulated with cryopreservation media before being placed in the final product bags and shipped back to the patient’s treatment center. Our commercial product, Amtagvi™, undergoes additional analytical and quality testing to meet certain criteria for commercial release prior to shipment to the ATCs.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Large-Scale Centralized Manufacturing for TIL Cell Therapies</w:t>
      </w:r>
    </w:p>
    <w:p>
      <w:pPr>
        <w:spacing w:after="0" w:line="241"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 xml:space="preserve">The cell processing activities for our TIL cell therapies are conducted at centralized facilities under cGMP, using qualified equipment and materials. We are manufacturing our commercial product, Amtagvi™, at both our internal facility and a CMO to meet manufacturing capabilities and the current and expected demand for commercialization and clinical trials.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is the first FDA-approved, centralized and scalable cGMP manufacturing facility dedicated to producing TIL cell therapies. Through a manufacturing service agreement, or MSA, with WuXi Advanced Therapies, Inc., or WuXi, WuXi manufactures, packages, ships and handles quality assurance and quality control of our commercial product, Amtagvi™, working closely with our employees.</w:t>
      </w:r>
    </w:p>
    <w:p>
      <w:pPr>
        <w:spacing w:after="0" w:line="187"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Certain clinical trials for our investigational TIL cell therapies are also supported by our MSA with WuXi as well as our Sponsored Research Agreement with the H. Lee Moffitt Cancer Center, or Moffitt. These relationships are described in more detail in the Research, Development, Manufacturing and License Agreements for TIL Cell Therapy section of this Annual Report on Form 10-K.</w:t>
      </w:r>
    </w:p>
    <w:p>
      <w:pPr>
        <w:spacing w:after="0" w:line="176"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We expect to rely on our own manufacturing capabilities, together with other third parties, for the manufacturing and processing of commercial and investigational TIL cell therapy products to ensure sufficient capacity is available for commercial purposes and clinical trials. As an alternative, we also believe that, given sufficient time to hire staff and increase production, we have the ability to move our production of commercial and investigational TIL cell therapy products entirely in house. We believe that all materials and components utilized in the production of the final TIL product are readily available from qualified suppliers.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Manufacturing and License Agreements for TIL Cell Therapy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WuXi Advanced Therapies, Inc.</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Manufacturing and Services Agreements</w:t>
      </w:r>
    </w:p>
    <w:p>
      <w:pPr>
        <w:spacing w:after="0" w:line="227"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November 2016, we entered into a three-year manufacturing services agreement, or the First WuXi MSA, with WuXi, pursuant to which WuXi agreed to provide manufacturing and other services, which has since been amended and assigned to our subsidiary Iovance Biotherapeutics Manufacturing LLC. Under the First Wuxi MSA, we entered into two statements of work for two cGMP manufacturing suites to be operated by WuXi for us. The terms of one of these statements of work were extended to December 2022.</w:t>
      </w:r>
    </w:p>
    <w:p>
      <w:pPr>
        <w:spacing w:after="0" w:line="180"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October 2022, Iovance Biotherapeutics Manufacturing LLC entered into an additional three-year MSA, or the Second WuXi MSA, with WuXi and its parent company WuXi Apptec, Co. Ltd. The Second WuXi MSA and its related statement of work superseded the statement of work under the First WuXi MSA with respect to commercial, clinical manufacturing and related testing services for the two existing manufacturing suites. Both suites are expected to be capable of use for the commercial manufacture of our products.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National Institutes of Health and the National Cancer Institute</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Cooperative Research and Development Agreement</w:t>
      </w:r>
    </w:p>
    <w:p>
      <w:pPr>
        <w:spacing w:after="0" w:line="227"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In August 2011, we signed a five-year Cooperative Research and Development Agreement, or CRADA, with the NCI to work on the development of adoptive cell immunotherapies in multiple solid tumor types, including unmodified TIL as a stand-alone therapy or in combination, improved methods for the generation and selection of TIL cell therapy with anti-tumor reactivity and strategies for more potent TILs. The CRADA was amended in 2015 and 2016, to, among other things, extend the term of the CRADA through August 2021, include new indications such as bladder, lung, triple-negative breast, and Human Papilloma Virus, or HPV, associated cancers and modify the focus on the development of unmodified TIL as a stand-alone therapy or in combination. The parties have continued the development of improved methods for the generation and selection of TIL with anti-tumor reactivity in metastatic melanoma, bladder, lung, breast, and HPV-associated cancers.</w:t>
      </w:r>
    </w:p>
    <w:p>
      <w:pPr>
        <w:spacing w:after="0" w:line="192"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 August 2021, a third amendment extended the term of the CRADA by three years to August 2024, among other things. The research plan in this third amendment includes the evaluation in clinical trials of strategies for development of more potent TILs, such as selection of CD39/69 double negative cells and the use of certain inhibitors or other reagents in TIL expansion cultures.</w:t>
      </w:r>
    </w:p>
    <w:p>
      <w:pPr>
        <w:spacing w:after="0" w:line="17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Pursuant to the terms of the CRADA, as amended, we are required to make quarterly payments of $0.5 million to the NCI for support of research activities. To the extent we license patent rights relating to a TIL-based product candidate, we will be responsible for all patent-related expenses and fees, past and future. In addition, we may be required to supply certain test articles, including TIL,</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grown and processed under cGMP conditions, suitable for use in clinical trials. We or the NCI may unilaterally terminate the CRADA for any reason or for no reason, at any time, by providing written notice at least 60 days before the desired termination date.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Patent License Agreement Related to the Development and Manufacture of TIL Cell Therapies</w:t>
      </w:r>
    </w:p>
    <w:p>
      <w:pPr>
        <w:spacing w:after="0" w:line="227"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We have licensed exclusive, co-exclusive, and non-exclusive licenses from the National Institutes of Health, or the NIH, to certain technologies relating to autologous tumor infiltrating lymphocyte adoptive cell therapy products.</w:t>
      </w:r>
    </w:p>
    <w:p>
      <w:pPr>
        <w:spacing w:after="0" w:line="16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entered into an Exclusive Patent License Agreement, or the Patent License Agreement, with the NIH, in 2011, which was amended in 2015. Pursuant to the Patent License Agreement, as amended, the NIH granted us licenses, including exclusive, co-exclusive, and non-exclusive licenses, to certain technologies relating to autologous tumor infiltrating lymphocyte adoptive cell therapy products for the treatment of metastatic melanoma, lung, breast, bladder and HPV-positive cancers.</w:t>
      </w:r>
    </w:p>
    <w:p>
      <w:pPr>
        <w:spacing w:after="0" w:line="180"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In May 2021, we entered into an Amended and Restated Patent License Agreement with NIH, which included the grant of additional exclusive, worldwide patent rights in the indications to interleukin-15 and interleukin-21 cytokine-tethered TIL technology, and expanded the non-exclusive, worldwide field of use to all cancers. Effective August 1, 2022, we entered into a Second Amended and Restated Patent License Agreement with NIH to include additional exclusive, worldwide patent rights to TIL products expressing interleukin-12, expanded rights to TIL selection technologies previously licensed under the Exclusive Patent License Agreement below, and additional non-exclusive, worldwide patent rights to certain technologies related to enhancing TIL potency.</w:t>
      </w:r>
    </w:p>
    <w:p>
      <w:pPr>
        <w:spacing w:after="0" w:line="187"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The Second Amended and Restated Patent License Agreement requires us to pay royalties based on a percentage of net sales in jurisdictions where patent rights exist, which percentage can fall into a tier that may be less than one percent to mid-single digits depending upon certain events, including the exclusivity of the rights, and we expect lower overall royalty payments as a result. We also agreed to pay potential milestone payments on the achievement of certain clinical, regulatory, and commercial sales milestones for each of the exclusive indications and other direct costs incurred by the NIH pursuant to the Second Amended and Restated Patent License Agreement. We have made and anticipate making additional milestone payments pursuant to the Second Amended and Restated Patent License Agreement, including payments ranging from several hundred thousand dollars to the mid-single-digit millions of dollars, in conjunction with certain development milestones, the approval of a BLA or its foreign equivalent, or the first U.S. and foreign commercial sales of any of our product candidates covered by the Second Amended and Restated Patent License Agreement. The term of the Second Amended and Restated Patent License Agreement continues until the expiry of the last-to-expire patent rights licensed thereunder, and the agreement contains standard termination provisions.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Exclusive Patent License Agreement Related to TIL Selection</w:t>
      </w:r>
    </w:p>
    <w:p>
      <w:pPr>
        <w:spacing w:after="0" w:line="227"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 February 2015, we entered into an exclusive patent license agreement, or the Exclusive Patent License Agreement, with the NIH under which we received an exclusive worldwide license under the selected TIL patents. This license was superseded and replaced by the Second Amended and Restated Patent License Agreement.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H. Lee Moffitt Cancer Center</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Collaboration and Clinical Grant Agreement</w:t>
      </w:r>
    </w:p>
    <w:p>
      <w:pPr>
        <w:spacing w:after="0" w:line="24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June 2020, we entered into a Sponsored Research Agreement with Moffitt, with a term that ends either upon completion of the research thereunder or on July 1, 2022, whichever is sooner. In August 2023, this agreement was extended until September 2023. In December 2023, this agreement was extended until the later of November 30, 2024 or a mutually agreed determination of the completion of the Sponsored Research Agreement.</w:t>
      </w:r>
    </w:p>
    <w:p>
      <w:pPr>
        <w:spacing w:after="0" w:line="180"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In December 2016, we entered into a clinical grant agreement with Moffitt to support an ongoing clinical trial at Moffitt that combines TIL cell therapy with nivolumab for the treatment of patients with metastatic melanoma. In June 2017, we entered into a second clinical grant agreement with Moffitt to support a new clinical trial at Moffitt that combines TIL cell therapy with nivolumab for the treatment of patients with non-small cell lung cancer, under which we obtained a non-exclusive, royalty-free license to any new Moffitt inventions made in the performance of the agreement. Under both clinical grant agreements with Moffit, we have non-exclusive rights to clinical data arising from the respective clinical trials, which are now concluded.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Exclusive License Agreements</w:t>
      </w:r>
    </w:p>
    <w:p>
      <w:pPr>
        <w:spacing w:after="0" w:line="227"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have exclusive license agreements to Moffitt’s patent-pending and patented technologies related to methods for improving TIL for adoptive cell therapy using toll-like receptor, or TLR, agonists, the use of 4-1BB agonists in conjunction with TIL manufacturing processes and therapies, and tumor digests in conjunction with TIL manufacturing processes and therapies.</w:t>
      </w:r>
    </w:p>
    <w:p>
      <w:pPr>
        <w:spacing w:after="0" w:line="176"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entered into a license agreement with Moffitt, or the First Moffitt License, effective as of June 28, 2014, under which we received a worldwide license to Moffitt’s rights to patent-pending technologies related to methods for improving TIL for adoptive cell therapy using TLR agonists. Unless earlier terminated, the term of the license extends until the earlier of the expiration of the last issued patent related to the licensed technology or 20 years after the effective date of the license agreement.</w:t>
      </w:r>
    </w:p>
    <w:p>
      <w:pPr>
        <w:spacing w:after="0" w:line="180"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Pursuant to the First Moffitt License, we paid an upfront licensing fee and a patent issuance fee upon the issuance of the first U.S. patent covering the subject technology. In addition, we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We will also be responsible for all costs associated with the preparation, filing, maintenance and prosecution of the patent applications and patents covered by the First Moffitt License related to the treatment of any cancers in the U.S., Europe and Japan and in other countries designated by us in agreement with Moffitt.</w:t>
      </w:r>
    </w:p>
    <w:p>
      <w:pPr>
        <w:spacing w:after="0" w:line="192"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May 2018, we entered into a second license agreement with Moffitt, or the Second Moffitt License, under which we received an exclusive license to Moffitt’s rights to patent-pending technologies related to the use of 4-1BB agonists in conjunction with TIL manufacturing processes and therapies. Pursuant to the Second Moffitt License, we paid an upfront licensing fee, and an annual license maintenance fee is also payable commencing on the first anniversary of the effective date. We also agreed to pay an annual commercial use payment for each indication for which a first sale has occurred.</w:t>
      </w:r>
    </w:p>
    <w:p>
      <w:pPr>
        <w:spacing w:after="0" w:line="183"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We subsequently exercised an option to exclusively license Moffitt’s rights to patent pending technologies related to the use of tumor digests in conjunction with TIL manufacturing processes and therapies and entered into an amended and restated Second Moffitt License in October 2021, or the Amended &amp; Restated Second Moffit License, to include these rights. Pursuant to the Amended &amp; Restated Second Moffitt License, we paid an upfront licensing fee in 2021. We also agreed to pay an annual commercial use payment for each indication for which a first sale has occurred for products relating to the use of 4-1BB agonists and for products relating to the use of tumor digests covered by the license.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University of Texas M.D. Anderson Cancer Center, or MDACC</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Strategic Alliance Agreement</w:t>
      </w:r>
    </w:p>
    <w:p>
      <w:pPr>
        <w:spacing w:after="0" w:line="227"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In April 2017, we entered into a Strategic Alliance Agreement, or the SAA, with MDACC, under which we and MDACC agreed to conduct clinical and preclinical research studies. We agreed in the SAA to provide total funding not to exceed approximately $14.2 million for the performance of the multi-year studies under the SAA. In return, we acquired all rights to inventions resulting from the studies and have been granted a non-exclusive, sub-licensable, royalty-free, and perpetual license to specified background intellectual property of MDACC reasonably necessary to exploit, including the commercialization thereof. We have also been granted certain rights to clinical data generated by MDACC outside of the clinical trials to be performed under the SAA. The SAA’s term shall continue in effect until the later of the fourth anniversary of the SAA or the completion or termination of the research and receipt by us of all deliverables due from MDACC thereunder.</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Cellectis S.A.</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Collaboration and Exclusive Worldwide License Agreement</w:t>
      </w:r>
    </w:p>
    <w:p>
      <w:pPr>
        <w:spacing w:after="0" w:line="227"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December 2019, we entered into a research collaboration and exclusive worldwide license agreement whereby we will license gene-editing technology from Cellectis, a clinical-stage biopharmaceutical company, to develop TIL cell therapies that have been genetically edited, including a PD-1 inactivated product that we refer to as IOV-4001. Financial terms of the license include annual license payments and development, regulatory and sales milestone payments from us to Cellectis, as well as royalty payments based on net sales of TALEN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modified TIL products.</w:t>
      </w:r>
    </w:p>
    <w:p>
      <w:pPr>
        <w:sectPr>
          <w:pgSz w:w="11900" w:h="16838" w:orient="portrait"/>
          <w:cols w:equalWidth="0" w:num="1">
            <w:col w:w="9920"/>
          </w:cols>
          <w:pgMar w:left="980" w:top="661" w:right="99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Novartis Pharma AG</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227"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January 2020, we obtained a license from Novartis Pharma AG, or Novartis, to develop and commercialize an antibody cytokine engrafted protein, which we refer to as IOV-3001. Under the agreement, we have paid an upfront payment to Novartis and may pay future milestones related to initiation of patient dosing in various phases of clinical development for IOV-3001 and approval of the product in the U.S., the European Union, or EU, and Japan. Novartis is also entitled to low-to-mid single digit percentage royalties from commercial sales of the product.</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Boehringer Ingelheim Biopharmaceuticals GmbH</w:t>
      </w:r>
    </w:p>
    <w:p>
      <w:pPr>
        <w:spacing w:after="0" w:line="221" w:lineRule="exact"/>
        <w:rPr>
          <w:sz w:val="20"/>
          <w:szCs w:val="20"/>
          <w:color w:val="auto"/>
        </w:rPr>
      </w:pPr>
    </w:p>
    <w:p>
      <w:pPr>
        <w:jc w:val="both"/>
        <w:ind w:firstLine="492"/>
        <w:spacing w:after="0" w:line="217" w:lineRule="auto"/>
        <w:rPr>
          <w:sz w:val="20"/>
          <w:szCs w:val="20"/>
          <w:color w:val="auto"/>
        </w:rPr>
      </w:pPr>
      <w:r>
        <w:rPr>
          <w:rFonts w:ascii="Times New Roman" w:cs="Times New Roman" w:eastAsia="Times New Roman" w:hAnsi="Times New Roman"/>
          <w:sz w:val="18"/>
          <w:szCs w:val="18"/>
          <w:color w:val="auto"/>
        </w:rPr>
        <w:t>In May 2023, as part of the completion of the acquisition of the worldwide rights to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inherited a manufacturing and supply agreement from Clinigen with Boehringer Ingelheim Biopharmaceuticals GmbH, or BI, pursuant to which BI will carry out the processing, manufacturing and supply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unlabeled vials. The term of this agreement is through October 2025, with automatic renewals for a period of two years unless terminated as permitted by the contract. Under this agreement, we must purchase a minimum number of vials each calendar year at fixed prices determined by vial batch size.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TIL Cell Therapy Landscape in Solid Tumors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Immune System and Cancer Surveillance</w:t>
      </w:r>
    </w:p>
    <w:p>
      <w:pPr>
        <w:spacing w:after="0" w:line="227"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immune system recognizes danger signals and responds to threats at a cellular level. The most significant components of the cellular aspect of the adaptive immune response are T cells, or T lymphocytes, so called because they mature in the thymus and are distinguished from B-cells which mature in the bone marrow. T cells can be distinguished from other white blood cells by T cell receptors present on their cell surface. These receptors contribute to tumor surveillance by helping T cells recognize infected as well as cancerous cells. T cells are involved in both sensing and killing infected or cancerous cells, as well as coordinating the activation of other cells in an immune response.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Challenges for Cancer Immunotherapy</w:t>
      </w:r>
    </w:p>
    <w:p>
      <w:pPr>
        <w:spacing w:after="0" w:line="227"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According to the SEER program, solid tumor cancers represent more than 90 percent of all cancers diagnosed in the U.S. annually. Despite progress over the past several decades, effective treatment of solid tumors continues to be challenging for several reasons, including: (i) intratumoral heterogeneity, (ii) numerous mutations and tumor neoantigens, with &lt;1% shared across patients and lack of clarity on which mutations or neoantigens are critical, and (iii) ability to adapt and evade treatments that target a single mutation. In addition, the tumor itself and the tumor microenvironment can suppress the patient’s natural immune response. When T cells with cancer-specific receptors are absent, present in low numbers, of poor quality, or rendered inactive by suppressive mechanisms employed by tumor tissue, the cancer can grow and spread to various organs. In addition, certain standard of care treatments for cancer can be deleterious to T cells’ ability to kill cancer.</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Advancing Immuno-Oncology with Our TIL Technology Platform</w:t>
      </w:r>
    </w:p>
    <w:p>
      <w:pPr>
        <w:spacing w:after="0" w:line="227"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We believe that adoptive cell therapy, specifically the use of human polyclonal TIL cells to reengage the immune system, may be a significant advancement in the treatment of cancer. Our TIL technology platform was validated by the first FDA approval of a TIL cell therapy and is potentially applicable to many solid tumor cancers. This platform is focused on leveraging patient-specific cells to recognize and attack diverse cancer cells that are unique to each patient. Unlike cell therapies that act on a single or small number of shared antigen targets common to certain tumors, TIL cell therapy is an individualized, polyclonal T cell therapy designed to target a variety of neoantigens that are unique to the patient or tumor.</w:t>
      </w:r>
    </w:p>
    <w:p>
      <w:pPr>
        <w:spacing w:after="0" w:line="187"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Our initial strategy is to deliver our commercial product, Amtagvi™, as well as investigational TIL cell therapies for patients with late-stage solid tumor cancers. After infusion, TIL can potentially infiltrate the tumor to eliminate cancer cells, further proliferate in the body and potentially overcome several mechanisms of tumor escape to which endogenous T cells may be susceptible due to the immune-suppressive tumor microenvironment.</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492"/>
        <w:spacing w:after="0" w:line="266" w:lineRule="auto"/>
        <w:rPr>
          <w:sz w:val="20"/>
          <w:szCs w:val="20"/>
          <w:color w:val="auto"/>
        </w:rPr>
      </w:pPr>
      <w:r>
        <w:rPr>
          <w:rFonts w:ascii="Times New Roman" w:cs="Times New Roman" w:eastAsia="Times New Roman" w:hAnsi="Times New Roman"/>
          <w:sz w:val="18"/>
          <w:szCs w:val="18"/>
          <w:color w:val="auto"/>
        </w:rPr>
        <w:t>For earlier intervention, we are investigating our TIL cell therapy in combination with ICIs. These ICIs seek to overcome one of the main escape mechanisms of cancer against an immune system attack. TIL cell therapy and ICIs may work in combination to target and attack cancer cells while breaking down barriers for the immune system to mount a response.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227"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put significant resources into developing novel and proprietary therapies for the treatment of cancer. We compete with multiple entities who have developed and are developing immuno-oncology therapies, including large and specialty pharmaceutical and biotechnology companies, academic research institutions and governmental agencies and public and private research institutions, as well as companies developing novel targeted therapies for cancer. Universities and public and private research institutions in the U.S. and Europe are also potential competitors. For example, a Phase 3 M14TIL clinical trial comparing TIL to standard ipilimumab in patients with metastatic melanoma is currently being conducted in Europe by the Netherlands Cancer Institute, the Copenhagen University Hospital at Herlev, and the University of Manchester. Results from the M14TIL clinical trial were presented at the European Society for Medical Oncology Congress in September 2022 and published in the New England Journal of Medicine in December 2022. While these universities and public and private research institutions primarily have educational objectives, they may develop proprietary technologies that lead to other FDA-approved therapies or that secure patent protection that we may need for the development of our technologies and products.</w:t>
      </w:r>
    </w:p>
    <w:p>
      <w:pPr>
        <w:spacing w:after="0" w:line="192"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Due to the promising clinical therapeutic effect of competitor therapies in clinical exploratory trials, we anticipate substantial direct competition from other organizations developing advanced T cell therapies targeting patients who have received prior anti-PD-1/-L1 therapies. In particular, we expect to compete with other new therapies for our lead indications developed by companies such as Agenus, BeyondSpring, Bristol-Myers Squibb, Merck, Nektar Therapeutics, Checkmate Pharmaceuticals, Daiichi Sankyo, Eisai, Exelixis, Moderna, Replimune, Regeneron Pharmaceuticals, Pfizer, and Genmab. We also may compete with other TIL cell therapies in development by companies such as Instil Bio, Achilles Therapeutics, KSQ Therapeutics, Obsidian Therapeutics, Immatics, TILT Biotherapeutics, WindMIL Therapeutics, GRIT Biotechnology, Lyell Immunopharma, Cellular Biomedicine Group, and others. Furthermore, we may compete with therapies based on genetically engineered T cell receptors rendered reactive against tumor-associated antigens prior to their administration to patients, as well as TIL cell therapies that are designed to be specific to neoantigens, including products developed by Adaptimmune Therapeutics, Alaunos Therapeutics, Intima Bioscience, Marker Therapeutics, Turnstone Biologics, Neogene and others. To date, these technologies have been primarily applicable to hematologic malignancies, but their application in solid tumor indications may create competition with us. We may also face competition from immunotherapy treatments offered by companies such as Amgen, AstraZeneca, Bristol-Myers Squibb, Merck, Pfizer, Regeneron Pharmaceuticals, Roche, and BioNTech. We may also face competition from novel IL-2 treatments in development by Alkermes, Werewolf, Merck, Sanofi, Neoleukin Therapeutics and others.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81" w:lineRule="exact"/>
        <w:rPr>
          <w:sz w:val="20"/>
          <w:szCs w:val="20"/>
          <w:color w:val="auto"/>
        </w:rPr>
      </w:pPr>
    </w:p>
    <w:p>
      <w:pPr>
        <w:jc w:val="both"/>
        <w:ind w:firstLine="492"/>
        <w:spacing w:after="0" w:line="237" w:lineRule="auto"/>
        <w:rPr>
          <w:sz w:val="20"/>
          <w:szCs w:val="20"/>
          <w:color w:val="auto"/>
        </w:rPr>
      </w:pPr>
      <w:r>
        <w:rPr>
          <w:rFonts w:ascii="Times New Roman" w:cs="Times New Roman" w:eastAsia="Times New Roman" w:hAnsi="Times New Roman"/>
          <w:sz w:val="18"/>
          <w:szCs w:val="18"/>
          <w:color w:val="auto"/>
        </w:rPr>
        <w:t>Our portfolio includes our commercial products Amtagvi™ and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well as our pipeline of investigational TIL cell therapies. Currently, there are numerous companies that are developing various alternate treatments for advanced melanoma, NSCLC and other solid tumor cancers that we are seeking to address, including patients that have progressed after prior treatment with checkpoint inhibitors and chemotherapy. Accordingly, our TIL cell therapies face significant competition from multiple companies. Even with the regulatory approval for Amtagvi™, the availability and price of our competitors’ products could limit the demand and the price we are able to charge for our therapies.</w:t>
      </w:r>
    </w:p>
    <w:p>
      <w:pPr>
        <w:spacing w:after="0" w:line="203"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Mergers and acquisitions in the biotechnology and pharmaceutical industries may result in even more resources being concentrated among a smaller number of our competitors. Early-stage companies may also prove to be significant competitors, particularly through collaborative arrangements with large and established companies. These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We may rely, in some circumstances, on trade secrets to protect our technology. However, trade secrets can be difficult to protect.</w:t>
      </w:r>
    </w:p>
    <w:p>
      <w:pPr>
        <w:spacing w:after="0" w:line="187"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aim to lead in the field of T cell-based immunotherapy by building and augmenting the patent rights for our proprietary TIL technology platform, which we have developed internally and licensed from third parties. Intellectual property is of importance in our field and in biotechnology generally. We seek to protect and enhance proprietary technology, inventions, and improvements that are commercially important to the development of our business by seeking, maintaining, and defending patent rights. We also plan to rely on regulatory protection afforded through Orphan Drug Designation, or ODD, available regulatory exclusivities and patent term extensions where available. To achieve this objective, our strategic focus has been to develop our own intellectual property, while also identifying and licensing patents from third parties that provide protection and serve as an optimal platform to enhance our intellectual property and technology base. We expect to further develop our patent portfolio as a strategic focus in 2024.</w:t>
      </w:r>
    </w:p>
    <w:p>
      <w:pPr>
        <w:spacing w:after="0" w:line="192"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We have established a leading intellectual property portfolio developed internally and licensed from third parties. We currently own more than 60 U.S. patents related to TIL cell therapy, including patents directed to compositions and methods of treatment in a broad range of cancers, such as U.S. Patent Nos. 10,130,659; 10,166,257; 10,272,113; 10,363,273; 10,398,734; 10,420,799; 10,463,697; 10,517,894; 10,537,595; 10,639,330; 10,646,517; 10,653,723; 10,695,372; 10,894,063; 10,905,718; 10,918,666; 10,925,900; 10,933,094; 10,946,044; 10,946,045; 10,953,046; 10,953,047; 11,007,225; 11,007,226; 11,013,770; 11,026,974; 11,040,070; 11,052,115; 11,052,116; 11,058,728; 11,083,752; 11,123,371; 11,141,438; 11,168,303; 11,168,304; 11,179,419; 11,202,803; 11,202,804; 11,220,670; 11,241,456; 11,254,913; 11,266,694; 11,273,180; 11,273,181; 11,291,687; 11,304,979; 11,304,980; 11,311,578; 11,337,998; 11,344,579; 11,344,580; 11,344,581; 11,351,197; 11,351,198; 11,351,199; 11,364,266; 11,369,637; 11,384,337; 11,433,097; 11,517,592; 11,529,372 ; 11,541,077; 11,713,446; 11,819,517; and 11,866,688. More than 40 of these patents are related to our Gen 2 TIL manufacturing processes and have terms that we anticipate will extend to January 2038, not including any patent term extensions or adjustments that may be available. Our owned and licensed intellectual property portfolio also includes patents and patent applications relating to TIL, marrow infiltrating lymphocytes, or MIL, and peripheral blood lymphocyte, or PBL, therapies; frozen tumor-based TIL technologies; remnant TIL and digest TIL compositions, methods and processes; methods of manufacturing TIL, MIL, and PBL therapies; the use of costimulatory and T cell modulating molecules in TIL cell therapy and manufacturing; stable and transient genetically-modified TIL cell therapies, including genetic knockouts of immune checkpoints; cytokine-tethered TIL cell therapies; methods of using ICIs in combination with TIL cell therapies; TIL selection technologies; and methods of treating patient subpopulations.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third-party contractors, will be required to navigate the various preclinical, clinical and commercial approval and post-approval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192" w:lineRule="exact"/>
        <w:rPr>
          <w:sz w:val="20"/>
          <w:szCs w:val="20"/>
          <w:color w:val="auto"/>
        </w:rPr>
      </w:pPr>
    </w:p>
    <w:p>
      <w:pPr>
        <w:jc w:val="both"/>
        <w:ind w:firstLine="492"/>
        <w:spacing w:after="0" w:line="270" w:lineRule="auto"/>
        <w:rPr>
          <w:sz w:val="20"/>
          <w:szCs w:val="20"/>
          <w:color w:val="auto"/>
        </w:rPr>
      </w:pPr>
      <w:r>
        <w:rPr>
          <w:rFonts w:ascii="Times New Roman" w:cs="Times New Roman" w:eastAsia="Times New Roman" w:hAnsi="Times New Roman"/>
          <w:sz w:val="17"/>
          <w:szCs w:val="17"/>
          <w:color w:val="auto"/>
        </w:rPr>
        <w:t>Biologic products are regulated by the FDA under a combination of the federal Food, Drug, and Cosmetic Act, or FDCA, and Public Health Services Act, or PHSA, and the FDA’s implementing regulations.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Risk Evaluation and Mitigation Strategy, or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w:t>
      </w:r>
    </w:p>
    <w:p>
      <w:pPr>
        <w:spacing w:after="0" w:line="177"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biologic product candidates may be marketed in the U.S. generally involves the following:</w:t>
      </w:r>
    </w:p>
    <w:p>
      <w:pPr>
        <w:spacing w:after="0" w:line="162" w:lineRule="exact"/>
        <w:rPr>
          <w:sz w:val="20"/>
          <w:szCs w:val="20"/>
          <w:color w:val="auto"/>
        </w:rPr>
      </w:pPr>
    </w:p>
    <w:p>
      <w:pPr>
        <w:ind w:left="840" w:hanging="319"/>
        <w:spacing w:after="0" w:line="261"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current Good Laboratory Practices, or cGLP, regulation, as well as manufacturing development and formulation studies;</w:t>
      </w:r>
    </w:p>
    <w:p>
      <w:pPr>
        <w:ind w:left="840" w:hanging="319"/>
        <w:spacing w:after="0" w:line="250"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clinical trials may begin and must be updated annually or when significant changes are made;</w:t>
      </w:r>
    </w:p>
    <w:p>
      <w:pPr>
        <w:ind w:left="840" w:hanging="319"/>
        <w:spacing w:after="0" w:line="250"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or centrally, before the clinical trial is begun;</w:t>
      </w:r>
    </w:p>
    <w:p>
      <w:pPr>
        <w:jc w:val="both"/>
        <w:ind w:left="840" w:hanging="319"/>
        <w:spacing w:after="0" w:line="250"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the FDA’s current Good Clinical Practices, or cGCP, regulation, to establish the safety, purity, and potency of the proposed biologic product candidate for its intended purpose;</w:t>
      </w:r>
    </w:p>
    <w:p>
      <w:pPr>
        <w:spacing w:after="0" w:line="1"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BLA, after completion of pivotal clinical trial(s);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9" w:lineRule="exact"/>
        <w:rPr>
          <w:rFonts w:ascii="Times New Roman" w:cs="Times New Roman" w:eastAsia="Times New Roman" w:hAnsi="Times New Roman"/>
          <w:sz w:val="18"/>
          <w:szCs w:val="18"/>
          <w:color w:val="auto"/>
        </w:rPr>
      </w:pPr>
    </w:p>
    <w:p>
      <w:pPr>
        <w:jc w:val="both"/>
        <w:ind w:left="840" w:hanging="319"/>
        <w:spacing w:after="0" w:line="250"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sites to assess compliance with cGCPs; and</w:t>
      </w:r>
    </w:p>
    <w:p>
      <w:pPr>
        <w:spacing w:after="0" w:line="1" w:lineRule="exact"/>
        <w:rPr>
          <w:rFonts w:ascii="Times New Roman" w:cs="Times New Roman" w:eastAsia="Times New Roman" w:hAnsi="Times New Roman"/>
          <w:sz w:val="18"/>
          <w:szCs w:val="18"/>
          <w:color w:val="auto"/>
        </w:rPr>
      </w:pPr>
    </w:p>
    <w:p>
      <w:pPr>
        <w:ind w:left="840" w:hanging="319"/>
        <w:spacing w:after="0" w:line="260"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to permit commercial marketing of the product for particular indications for use in the U.S., which must be updated periodically when changes are made.</w:t>
      </w:r>
    </w:p>
    <w:p>
      <w:pPr>
        <w:spacing w:after="0" w:line="181"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we cannot be certain that any approvals for our product candidates will be granted on a timely basis, if at all. Prior to beginning the first clinical trial with a new product candidate, we must submit an IND to the FDA. An IND is a request for authorization from the FDA to administer an investigational new drug product to humans. The central focus of an IND submission is on the general investigational plan and the protocol(s) for clinical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that initial 30-day time period, raises concerns or questions about the proposed clinical trial. In such a case, the IND may be placed on clinical hold and the IND sponsor, and the FDA must resolve any outstanding concerns or questions before the clinical trial can begin. Clinical holds also</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may be imposed by the FDA at any time before or during clinical trials due to safety concerns or non-compliance. Submission of an IND therefore may or may not result in FDA authorization to begin a clinical trial.</w:t>
      </w:r>
    </w:p>
    <w:p>
      <w:pPr>
        <w:spacing w:after="0" w:line="16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Human immunotherapy products are a new category of therapeutics. Because this is a relatively new and expanding area of novel therapeutic interventions, there can be no assurance as to the length of the clinical trial period, the number of patients the FDA will require to be enrolled in the clinical trials in order to establish the safety, efficacy, purity and potency of immunotherapy products, or that the data generated in these clinical trials will be acceptable to the FDA to support marketing approval.</w:t>
      </w:r>
    </w:p>
    <w:p>
      <w:pPr>
        <w:spacing w:after="0" w:line="180"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trial. Clinical trials are conducted under protocols detailing, among other things, the objectives of the clinical trial, the parameters to be used in monitoring safety and the effectiveness criteria to be evaluated, and a statistical analysis plan. A separate submission to the existing IND must be made for each successive clinical trial conducted during product development and for any subsequent protocol amendments. Investigators must also provide certain information to the clinical trial sponsors to allow the sponsors to make certain financial disclosures to the FDA.</w:t>
      </w:r>
    </w:p>
    <w:p>
      <w:pPr>
        <w:spacing w:after="0" w:line="18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Furthermore, an independent IRB for each site proposing to conduct the clinical trial or centrally must review and approve the plan for any clinical trial, its informed consent documentation and processes, and any subject communications, before the clinical trial begins at that site, and upon amendment of the clinical trial protocol, and must monitor the clinical trial until completed. An IRB considers, among other things, whether the risks to individuals participating in the clinical trials are minimized and are reasonable in relation to anticipated benefits and whether the planned human subject protections are adequate. Informed consent must be received from each clinical trial subject prior to participation in a clinical trial. Progress reports detailing the results of the clinical trials must also be submitted at least annually to the FDA and the IRB and more frequently if serious adverse events or other significant safety information is found.</w:t>
      </w:r>
    </w:p>
    <w:p>
      <w:pPr>
        <w:spacing w:after="0" w:line="192"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Regulatory authorities, the IRB, or the sponsor may suspend a clinical trial at any time on various grounds, including a finding that the subjects are being exposed to an unacceptable health risk, that the clinical trial is not being conducted in accordance with regulatory or IRB requirements, or that the clinical trial is unlikely to meet its stated objectives. Sponsors may also discontinue studies or development programs for many reasons, including changing business objectives. Some studies also include oversight by an independent group of qualified experts organized by the clinical trial sponsor, known as a data safety monitoring board, or DSMB, which provides recommendations and assessments for whether or not a clinical trial should move forward at designated check points based on access to certain data from the clinical trial. Following a review by a DSMB, the clinical trial may be halted if there is an unacceptable safety risk for subjects or on other grounds, such as failure to demonstrate efficacy. There are also requirements governing the reporting of ongoing clinical trials and clinical trial results to public registries. For instance, we are required to register certain clinical trials and post the results of certain completed clinical trials on a government-sponsored database, ClinicalTrials.gov, within specified timeframes, and also to certify to FDA our compliance with these requirements when we make FDA submissions. Failure to make required ClinicalTrials.gov submissions, submitting false or misleading information to ClinicalTrials.gov, or making false certifications to FDA could result in enforcement actions, including civil money penalties and adverse publicity.</w:t>
      </w:r>
    </w:p>
    <w:p>
      <w:pPr>
        <w:spacing w:after="0" w:line="187"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 Although these are the typical phases for progression, and characteristics of the phases of a clinical development program, certain expedited programs allow for variations that could support a marketing application based on surrogate endpoints, intermediate clinical endpoints, or single-arm as opposed to comparative or placebo-controlled studies.</w:t>
      </w:r>
    </w:p>
    <w:p>
      <w:pPr>
        <w:spacing w:after="0" w:line="180" w:lineRule="exact"/>
        <w:rPr>
          <w:sz w:val="20"/>
          <w:szCs w:val="20"/>
          <w:color w:val="auto"/>
        </w:rPr>
      </w:pPr>
    </w:p>
    <w:p>
      <w:pPr>
        <w:jc w:val="both"/>
        <w:ind w:left="840" w:hanging="319"/>
        <w:spacing w:after="0" w:line="255"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2" w:lineRule="exact"/>
        <w:rPr>
          <w:rFonts w:ascii="Times New Roman" w:cs="Times New Roman" w:eastAsia="Times New Roman" w:hAnsi="Times New Roman"/>
          <w:sz w:val="18"/>
          <w:szCs w:val="18"/>
          <w:color w:val="auto"/>
        </w:rPr>
      </w:pPr>
    </w:p>
    <w:p>
      <w:pPr>
        <w:jc w:val="both"/>
        <w:ind w:left="840" w:hanging="319"/>
        <w:spacing w:after="0" w:line="250"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 w:lineRule="exact"/>
        <w:rPr>
          <w:rFonts w:ascii="Times New Roman" w:cs="Times New Roman" w:eastAsia="Times New Roman" w:hAnsi="Times New Roman"/>
          <w:sz w:val="18"/>
          <w:szCs w:val="18"/>
          <w:color w:val="auto"/>
        </w:rPr>
      </w:pPr>
    </w:p>
    <w:p>
      <w:pPr>
        <w:jc w:val="both"/>
        <w:ind w:left="840" w:hanging="319"/>
        <w:spacing w:after="0" w:line="255"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 The investigational product is administered to an expanded patient population in adequate and well-controlled studies to further evaluate dosage, to provide statistically significant evidence of clinical efficacy and to further test for safety, generally at multiple geographically dispersed clinical trial sites. These clinical trials are intended to establish the overall</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40" w:right="20"/>
        <w:spacing w:after="0" w:line="261" w:lineRule="auto"/>
        <w:rPr>
          <w:sz w:val="20"/>
          <w:szCs w:val="20"/>
          <w:color w:val="auto"/>
        </w:rPr>
      </w:pPr>
      <w:r>
        <w:rPr>
          <w:rFonts w:ascii="Times New Roman" w:cs="Times New Roman" w:eastAsia="Times New Roman" w:hAnsi="Times New Roman"/>
          <w:sz w:val="18"/>
          <w:szCs w:val="18"/>
          <w:color w:val="auto"/>
        </w:rPr>
        <w:t>risk/benefit relationship of the investigational product and to provide an adequate basis for product approval. Typically, two Phase 3 studies are required by the FDA for product approval.</w:t>
      </w:r>
    </w:p>
    <w:p>
      <w:pPr>
        <w:jc w:val="both"/>
        <w:ind w:left="840" w:right="20" w:hanging="319"/>
        <w:spacing w:after="0" w:line="255"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4 - In some cases, the FDA may require, or companies may voluntarily pursue, additional clinical trials after a product is approved to gain more information about the product, known as post-approval requirements or commitments, respectively. These so-called Phase 4 studies may be made a condition to approval of the BLA.</w:t>
      </w:r>
    </w:p>
    <w:p>
      <w:pPr>
        <w:spacing w:after="0" w:line="186"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Additional types of data may also help to support a BLA, such as real-world evidence and patient experience data. Phase 1, Phase 2 and Phase 3, and Phase 4 testing, if applicable,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 and manufacturing processes must be validated.</w:t>
      </w:r>
    </w:p>
    <w:p>
      <w:pPr>
        <w:spacing w:after="0" w:line="188"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manufacture of investigational biologics for the conduct of human clinical trials is subject to cGMP requirements. Investigational biologics and active ingredients imported into the U.S. are also subject to regulation by the FDA relating to their labeling and distribution. Further, the export of investigational products outside of the U.S. is subject to regulatory requirements of the importing country as well as U.S. export requirements under the FDCA. Additional U.S. and foreign laws and regulations may also be applicable to the handling, import, export, and transportation of biological materials, including tissue samples.</w:t>
      </w:r>
    </w:p>
    <w:p>
      <w:pPr>
        <w:spacing w:after="0" w:line="183"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During the development of a new therapeutic, a sponsor may be able to request a Special Protocol Assessment, or SPA, the purpose of which is to reach an agreement with the FDA on the Phase 3 clinical trial protocol design and analysis that will form the primary basis of product approval and an efficacy claim, as well as preclinical carcinogenicity trials and stability studies. An SPA may only be modified with the agreement of the FDA and the clinical trial sponsor, or if the director of the FDA reviewing division determines that a substantial scientific issue essential to determining the safety or efficacy of the product was identified after the testing began. An SPA is intended to provide assurance that, in the case of clinical trials, if the agreed upon clinical trial protocol is followed, the clinical trial endpoints are achieved, and there is a favorable risk-benefit profile, the data may serve as the primary basis for an efficacy claim in support of a BLA. However, SPA agreements are not a guarantee of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192"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 BLA or supplement to a BLA for a new active ingredient, indication, dosage form, dosage regimen, or route of administration, must contain data that are adequate to assess the safety and effectiveness of the product for the claimed indications in all relevant pediatric subpopulations, and to support dosing and administration for each pediatric subpopulation for which the product is safe and effective. Also, under the FDA Reauthorization Act of 2017, beginning in 2020, sponsors submitting applications for product candidates intended for the treatment of adult cancer which are directed at molecular targets that the FDA determines to be substantially relevant to the growth or progression of pediatric cancer must submit, with the application, reports from molecularly targeted pediatric cancer investigations designed to yield clinically meaningful pediatric clinical trial data, using appropriate formulations, to inform potential pediatric labeling. The FDA may, on its own initiative or at the request of the applicant, grant deferrals for submission of some or all pediatric data until after approval of the product for use in adults, or full or partial waivers from the pediatric data requirements. Orphan products are also exempt from PREA requirements.</w:t>
      </w:r>
    </w:p>
    <w:p>
      <w:pPr>
        <w:spacing w:after="0" w:line="194"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FDA also may require submission of REMS, to ensure that the benefits of the biologic outweigh the risks.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biologic outweigh the risks.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 Approval and Post-Approval Requirements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BLA Submission and Review by the FDA</w:t>
      </w:r>
    </w:p>
    <w:p>
      <w:pPr>
        <w:spacing w:after="0" w:line="227"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the FDA, under PDUFA, and the sponsor of an approved BLA is also subject to annual program fees. These fees are typically increased annually. A waiver of user fees may be obtained under certain limited circumstances.</w:t>
      </w:r>
    </w:p>
    <w:p>
      <w:pPr>
        <w:spacing w:after="0" w:line="188"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Once a BLA has been submitted, the FDA has sixty days to determine whether it will accept the application for filing. The FDA accepts applications for filing if it determines that the application is substantially complete to permit a substantive review. The FDA may request additional information rather than accept a BLA for filing. In this event, the application must be resubmitted with the additional information. The resubmitted application is also subject to review before the FDA accepts it for filing. Once the submission is accepted for filing, the FDA begins an in-depth substantive review.</w:t>
      </w:r>
    </w:p>
    <w:p>
      <w:pPr>
        <w:spacing w:after="0" w:line="183"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FDA’s goal is to review the application within ten months after it accepts the application for filing, or, if the application relates to a serious or life-threatening indication and, if approved, the product would provide a significant improvement in safety and efficacy, six months after the FDA accepts the application for filing, which is referred to as Priority Review. The review process is often significantly extended if the FDA requests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There are numerous FDA personnel assigned to review different aspects of a BLA, and uncertainties can be presented by their ability to exercise judgment and discretion during the review process. The development and provision of additional data and information requested by FDA during review of a BLA may be time consuming and expensive.</w:t>
      </w:r>
    </w:p>
    <w:p>
      <w:pPr>
        <w:spacing w:after="0" w:line="188"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FDA may convene an advisory committee to provide clinical insight on application review questions. Before approving a novel biologic, the FDA must either refer that biologic to an external advisory committee or provide in an action letter, a summary of the reasons why the FDA did not refer the product candidate to an advisory committee.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commercial production of the product within required specifications. Additionally, before approving a BLA, the FDA will typically inspect one or more clinical sites to ensure compliance with cGCP.</w:t>
      </w:r>
    </w:p>
    <w:p>
      <w:pPr>
        <w:spacing w:after="0" w:line="180"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If the FDA determines that the application, manufacturing process or manufacturing facilities are not acceptable, it will outline the deficiencies in the submission and often will request additional testing, clinical trials, application modifications, or information in a complete response letter, or CRL. A CRL indicates that the review cycle for the application is complete, and that the application is not ready for approval. If a CRL is issued, the applicant may either: resubmit the BLA, addressing all the deficiencies identified in the letter; withdraw the application; or request an opportunity for a hearing. Notwithstanding the submission of any requested additional information, the FDA ultimately may decide that the application does not satisfy the regulatory criteria for approval. Data obtained from clinical trials are not always conclusive and the FDA may interpret data differently than an applicant interprets the same data.</w:t>
      </w:r>
    </w:p>
    <w:p>
      <w:pPr>
        <w:spacing w:after="0" w:line="18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If the FDA finds that a BLA is approvable, the FDA may issue an approval letter. An approval letter authorizes commercial marketing of the product with specific prescribing information for specific indications. However, even if the FDA approves a product, it may limit the approved indications for use of the product, require that contraindications, warnings, or precautions be included in the product labeling, including a boxed warning, require that post-approval studies, including Phase 4 clinical trials, be conducted to further assess a product’s safety and efficacy after approval, require testing and surveillance programs to monitor the product after</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176" w:lineRule="exact"/>
        <w:rPr>
          <w:sz w:val="20"/>
          <w:szCs w:val="20"/>
          <w:color w:val="auto"/>
        </w:rPr>
      </w:pPr>
    </w:p>
    <w:p>
      <w:pPr>
        <w:jc w:val="both"/>
        <w:ind w:right="20" w:firstLine="492"/>
        <w:spacing w:after="0" w:line="266" w:lineRule="auto"/>
        <w:rPr>
          <w:sz w:val="20"/>
          <w:szCs w:val="20"/>
          <w:color w:val="auto"/>
        </w:rPr>
      </w:pPr>
      <w:r>
        <w:rPr>
          <w:rFonts w:ascii="Times New Roman" w:cs="Times New Roman" w:eastAsia="Times New Roman" w:hAnsi="Times New Roman"/>
          <w:sz w:val="18"/>
          <w:szCs w:val="18"/>
          <w:color w:val="auto"/>
        </w:rPr>
        <w:t>If compliance with the pre-and post-marketing regulatory standards are not maintained or if problems occur after the product reaches the marketplace, the FDA may also withdraw the product approval. Further, should new safety information arise, additional testing, product labeling, or FDA notification may be required.</w:t>
      </w:r>
    </w:p>
    <w:p>
      <w:pPr>
        <w:spacing w:after="0" w:line="176"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A sponsor may seek approval of its product candidate under programs designed to accelerate the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For a Fast Track designation, the FDA may consider sections of the BLA for review on a rolling basis before the complete application is submitted if relevant criteria are met. Fast Track-designated products are also eligible for more frequent FDA interactions. A Fast Track-designated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the FDA accepts the application for filing. Priority Review designation does not change the scientific/medical standard for approval or the quality of evidence necessary to support approval.</w:t>
      </w:r>
    </w:p>
    <w:p>
      <w:pPr>
        <w:spacing w:after="0" w:line="192"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To qualify for Accelerated Approval, the product must be intended to treat a serious condition and must generally provide a meaningful advantage over available therapies. Post-marketing studies or completion of ongoing studies after marketing approval are required to verify the biologic’s clinical benefit in relationship to the surrogate endpoint or ultimate outcome in relationship to the clinical benefit. If this clinical trial is not conducted, if it fails to verify the benefit, if other evidence demonstrates that the product is not safe, pure or potent, or if the applicant disseminates false or misleading promotional material, the FDA may withdraw approval of the application on an expedited basis. Sponsors of products under the Accelerated Approval Pathway must further submit promotional materials to the FDA before dissemination.</w:t>
      </w:r>
    </w:p>
    <w:p>
      <w:pPr>
        <w:spacing w:after="0" w:line="194"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In addition, the Food and Drug Administration Safety and Innovation Act, or FDASIA, which was enacted and signed into law in 2012, established the new Breakthrough Therapy Designation, or BTD.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Sponsors may request the FDA to designate a Breakthrough Therapy at the time of or any time after the submission of an IND, but ideally before an end-of-Phase 2 meeting with the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clinical trials or more efficient clinical trials that require less time to complete and may minimize the number of patients exposed to a potentially less efficacious treatment. BTD also allows the sponsor to file sections of the BLA for review on a rolling basis.</w:t>
      </w:r>
    </w:p>
    <w:p>
      <w:pPr>
        <w:spacing w:after="0" w:line="195"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Through the 21st Century Cures Act, or Cures Act, Congress also established another expedited program, called a Regenerative Medicine Advanced Therapy, or RMAT, designation. The Cures Act directs the FDA to facilitate an efficient development program for and expedite review of RMATs. To qualify for this program, the product must be a cell therapy, therapeutic tissue engineering product, human cell and tissue product, or a combination of such products, and not a product solely regulated as a human cell and tissue product. The product must be intended to treat, modify, reverse, or cure a serious or life-threatening disease or condition, and preliminary clinical evidence must indicate that the product has the potential to address an unmet need for such disease or condition. Advantages of the RMAT designation include all the benefits of the Fast Track and breakthrough therapy designation programs, including early interactions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the FDA. These early interactions may be used to discuss potential surrogate or intermediate endpoints to support accelerated approval.</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Any products for which we receive FDA approvals are subject to continuing regulation by the FDA, including, among other things, record-keeping requirements, reporting of adverse experiences with the product and deviations, annual reporting and monitoring and providing the FDA with updated safety and efficacy information, product sampling and distribution requirements, certain electronic records and signature requirements, fulfilling post-marketing clinical trial and REMS commitments, and complying with FDA promotion and advertising requirements, which include, among other things, standards for direct-to-consumer advertising, restrictions on promoting products for uses or in patient populations that are not described in the product’s approved uses or otherwise consistent with the FDA-approved product labeling (known as “off-label use”), limitations on industry-sponsored scientific and educational activities, rules regarding communication of health care economic information regarding biopharmaceutical products to payors and formularies, and requirements for promotional activities involving the internet. Although physicians may prescribe legally available products for off-label use, if they deem such use to be appropriate in their professional medical judgment, manufacturers may not market or promote such off-label uses. In the past several years, certain court decisions have impacted FDA’s enforcement activity regarding off-label promotion in light of First Amendment considerations; however, there are still significant risks in this area, in part due to the potential for False Claims Act exposure.</w:t>
      </w:r>
    </w:p>
    <w:p>
      <w:pPr>
        <w:spacing w:after="0" w:line="187"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and list their products with the FDA and certain state agencies and are subject to periodic unannounced inspections by the FDA and certain state agencies for compliance with cGMP and other applicable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BLA, including, among other things, withdrawal of approval, recall or withdrawal of the product from the market. In addition, changes to the manufacturing process are strictly regulated, and depending on the significance of the change, may require prior FDA approval or notification before being implemented. Other types of changes to the approved product, such as adding new indications and claims to the product labeling, are also subject to further FDA review and approval.</w:t>
      </w:r>
    </w:p>
    <w:p>
      <w:pPr>
        <w:spacing w:after="0" w:line="190"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Commercial products must meet the requirements of the Drug Supply Chain Security Act, or DSCSA, which imposes obligations on manufacturers of prescription biopharmaceutical products for commercial distribution, regulating the distribution of the products at the federal level, and sets certain standards for federal or state registration and compliance of entities in the supply chain, including manufacturers and repackagers, wholesale distributors, third-party logistics providers, and dispensers. The DSCSA preempts previously enacted state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required. The DSCSA requirements, development of standards, and the system for product tracing have been and will continue to be phased in over a period of years, with the FDA indicating that it would permit certain exemptions and exclusions, and exercise enforcement discretion on certain aspects of the law due to the COVID-19 pandemic, although this situation may continue to evolve. The distribution of product samples continues to be regulated under the PDMA, and some states also impose regulations on drug sample distribution.</w:t>
      </w:r>
    </w:p>
    <w:p>
      <w:pPr>
        <w:spacing w:after="0" w:line="190"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As previously mentioned, the FDA may also require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Designations</w:t>
      </w:r>
    </w:p>
    <w:p>
      <w:pPr>
        <w:spacing w:after="0" w:line="22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FDA has granted ODD for lifileucel in the U.S. to treat malignant melanoma stages IIB-IV and for the treatment of cervical cancer with a tumor size of greater than 2 cm in diameter; Fast Track and RMAT designations for lifileucel to treat advanced metastatic melanoma; Fast Track and BTD for lifileucel to treat metastatic cervical cancer; and Fast Track designation for lifileucel in combination with pembrolizumab for the treatment of ICI naïve metastatic melanoma.</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Orphan Drug Designations</w:t>
      </w:r>
    </w:p>
    <w:p>
      <w:pPr>
        <w:spacing w:after="0" w:line="227"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During 2015, we received ODD for lifileucel in the U.S. to treat malignant melanoma stages IIB-IV, and in 2018, we received an ODD for lifileucel for the treatment of cervical cancer with a tumor size of greater than 2 cm in diameter. If approved, an ODD provides seven years of market exclusivity in the U.S., which means that the FDA may not approve any other applications, including a full BLA, to market the same biologic, as sameness is defined in the FDA’s regulations, for the same indication for seven years, subject to certain limited exceptions. However, an ODD does not convey any advantage in, or shorten the duration of, the regulatory review or approval process. The benefits and limitations of ODD are described in more detail under the Government Regulations section in this Annual Report on Form 10-K.</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Fast Track Designations</w:t>
      </w:r>
    </w:p>
    <w:p>
      <w:pPr>
        <w:spacing w:after="0" w:line="227"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In August 2017, we announced that the FDA had granted Fast Track designation for lifileucel for the treatment of advanced metastatic melanoma. In February 2019, we announced that the FDA had granted Fast Track designation for lifileucel in the treatment of metastatic cervical cancer. Additionally, in November 2021, we announced that the FDA granted Fast Track designation for lifileucel in combination with pembrolizumab for the treatment of ICI-naïve metastatic melanoma. The FDA’s Fast Track process is designed to facilitate the development and expedite the review of drugs that treat serious conditions and fill an unmet medical need. Fast Track designation allows more frequent meetings and communications with the FDA to discuss the drug’s development plans and review process. The Fast Track designation also allows for the possibility for rolling review of a BLA by FDA, where the FDA may consider beginning review portions of a marketing application before the full submission is complete, and also potential eligibility if certain criteria are met for accelerated approval.</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Regenerative Medicine Advanced Therapy Designation</w:t>
      </w:r>
    </w:p>
    <w:p>
      <w:pPr>
        <w:spacing w:after="0" w:line="227"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October 2018, we announced that the FDA had granted RMAT designation for lifileucel for the treatment of patients with metastatic melanoma. The RMAT designation is based on data provided to the FDA from our C-144-01 trial. RMAT designation is granted for regenerative medicine drugs and allows for increased access to FDA during development. Under this designation, surrogate endpoints can be used to receive approval for a product, accelerated approval may be granted, and a rolling review of a BLA may be permitted by FDA.</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Breakthrough Therapy Designation</w:t>
      </w:r>
    </w:p>
    <w:p>
      <w:pPr>
        <w:spacing w:after="0" w:line="227"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In May 2019, we announced that the FDA had granted BTD for lifileucel for the treatment of patients with metastatic cervical cancer. The BTD was granted based on data provided to the FDA from our C-145-04 clinical trial. Under a BTD, the FDA may take actions that help expedite the development and review of the application for a product candidate, including seeking to provide timely advice and interactive communications to the sponsor with intensive guidance during development, to help the sponsor design and conduct a more efficient development program. Product candidates with BTD may be suitable for alternative clinical trial designs when scientifically appropriate, which may result in smaller clinical trials or more efficient clinical trials that require less time to complete. BTD also allows the sponsor to submit portions of the BLA on an ongoing basis for rolling review. In addition, BTD status allows for the potential to request priority review of our BLA at the time of BLA submission if supported by clinical data. The clinical evidence needed to support breakthrough designation is preliminary, and the FDA has authority to rescind a BTD if a product candidate no longer meets the qualifying criteria.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Orphan Drugs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Under the Orphan Drug Act, the FDA may grant ODD to a drug or biologic intended to treat a rare disease or condition, defined as a disease or condition with a patient population of fewer than 200,000 individuals in the U.S., or a patient population greater than 200,000 individuals in the U.S. and when there is no reasonable expectation that the cost of developing and making available the drug</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biologic in the U.S. will be recovered from sales in the U.S. for that drug or biologic. Additionally, sponsors must present a plausible hypothesis for clinical superiority to obtain ODD if there is a product already approved by the FDA that is intended for the same indication and that is considered by the FDA to be the same product as the already approved product. This hypothesis for clinical superiority must be demonstrated to obtain orphan exclusivity. ODD must be requested before submitting a BLA. After the FDA grants ODD, the generic identity of the therapeutic agent and its potential orphan use are disclosed publicly by the FDA.</w:t>
      </w:r>
    </w:p>
    <w:p>
      <w:pPr>
        <w:spacing w:after="0" w:line="183"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If a product that has ODD subsequently receives the first FDA approval for a particular active ingredient for the disease for which it has such designation, the product is entitled to orphan product exclusivity, a seven-year period of marketing exclusivity, which means that the FDA may not approve any other applications, including a full BLA, to market the same biologic, as sameness is defined in the FDA’s regulations,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opportunities for certain research grant funding, and a waiver of the BLA application fees. The tax credit, however, was recently limited through Congress’s tax reform efforts. Despite these benefits, the ODD does not convey any advantage in, or shorten the duration of, the regulatory review or approval process.</w:t>
      </w:r>
    </w:p>
    <w:p>
      <w:pPr>
        <w:spacing w:after="0" w:line="192"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quantities of the product to meet the needs of patients with the rare disease or condition. The FDA may also approve a product deemed to be the same as an approved orphan product for the same orphan indication, despite periods of exclusivity, if the new product is demonstrated to be clinically superior to the former product.</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plan to seek ODD for some or all of our other product candidates in specific orphan indications in which there is a medically plausible basis for the use of such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Data Exclusivity and Biosimilars</w:t>
      </w:r>
    </w:p>
    <w:p>
      <w:pPr>
        <w:spacing w:after="0" w:line="229"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While under the Biologics Price Competition and Innovation Act of 2009, or BPCIA, the FDA may eventually license products, as further described below, that are biosimilar to any of our product candidates that are approved, our products may receive periods of regulatory exclusivity, separately from orphan drug exclusivity for those products with ODDs, providing additional protection from certain forms of competition. For instance, our products may receive 12 years of reference product exclusivity that begins running at the time of first licensure. During this 12-year time period, the period of marketing exclusivity, the FDA may not make an approval of a biosimilar product effective. In addition, the FDA may not accept a biosimilar application until after four years from the date of first licensure, the period of data exclusivity. However, certain changes and supplements to an approved BLA, and subsequent applications filed by the same sponsor, manufacturer, licensor, predecessor in interest, or other related entity do not qualify for the exclusivity period. The PHSA also includes provisions governing patent litigation over patents that are directed to the reference products. The biosimilar product sponsor and reference product sponsor may, but are not required to, exchange certain patent and product information for the purpose of negotiating and determining the scope of patent litigation, including the patents to be asserted and challenged.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 under certain circumstances.</w:t>
      </w:r>
    </w:p>
    <w:p>
      <w:pPr>
        <w:spacing w:after="0" w:line="197"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BPCIA created an abbreviated approval pathway for biological products shown to be highly similar to or interchangeable with an FDA-licensed reference biological product. Accordingly, if we receive FDA licensure, we may face competition from biosimilar products. Biosimilarity sufficient to reference a prior FDA-approved product requires a high similarity to the reference product notwithstanding minor differences in clinically inactive components, and no clinically meaningful differences between the biological product and the reference product in terms of safety, purity, and potency. Biosimilarity must be shown through analytical studies, animal studies, and at least one clinical trial, absent a waiver by the FDA. There must be no difference between the reference product and a biosimilar in conditions of use, route of administration, dosage form, and strength. Further,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switched after one has been previously administered without increasing safety risks or risks of diminished efficacy relative to exclusive use of the reference biologic.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Pediatric Exclusivity and Patent Term Extension</w:t>
      </w:r>
    </w:p>
    <w:p>
      <w:pPr>
        <w:spacing w:after="0" w:line="22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U.S. and, if granted, provides for the attachment of an additional six months of marketing protection to the term of any existing regulatory exclusivity. Under the Best Pharmaceuticals for Children Act, a six-month exclusivity may be granted if a sponsor submits pediatric data that fairly responds to a written request from the FDA for such data. The FDA may issue such a written request on its own initiative or at the request of the sponsor.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whatever regulatory periods of exclusivity that already cover the product are extended by six months. Pediatric exclusivity is thus an “add-on” exclusivity and is unique in this regard among the various regulatory exclusivities provided by FDA. The FDA can also require pediatric studies of a drug submitted in a new drug application if the FDA determines that the product is likely to be used in a substantial number of pediatric patients, or if the product would provide a meaningful benefit in the pediatric population over existing treatments. This requirement may be waived in certain circumstances, for example, where the indication does not occur or is not highly prevent in the pediatric population.</w:t>
      </w:r>
    </w:p>
    <w:p>
      <w:pPr>
        <w:spacing w:after="0" w:line="190"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If approved, biologics may also be eligible for periods of U.S. patent term restoration. If granted, patent term restoration extends the patent life of a single unexpired patent that has not previously been extended, for a maximum of five years. The total patent life of the product with the extension also cannot exceed fourteen years from the product’s approval date. Subject to the prior limitations, the period of the extension is calculated by adding half of the time from the effective date of an IND to the initial submission of a marketing application, and all the time between the submission of the marketing application and its approval. This period may also be reduced by any time that the applicant did not act with due diligence. Whether any of our product candidates will be eligible for patent term restoration is currently unknown. Even if any of our product candidates are found to be eligible for patent term protection, the applicable authorities may subsequently determine that we are not eligible for such restoration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Biologic Requirements</w:t>
      </w:r>
    </w:p>
    <w:p>
      <w:pPr>
        <w:spacing w:after="0" w:line="22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U.S. and between states.</w:t>
      </w:r>
    </w:p>
    <w:p>
      <w:pPr>
        <w:spacing w:after="0" w:line="183"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the results of all the manufacturer's tests performed on the lot. The FDA may also perform certain confirmatory tests on lots of some products before releasing the lots for distribution by the manufacturer.</w:t>
      </w:r>
    </w:p>
    <w:p>
      <w:pPr>
        <w:spacing w:after="0" w:line="18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 addition, the FDA conducts laboratory research related to the regulatory standards on the safety, purity, potency, and effectiveness of biological products. After approval of biologics, manufacturers must address any safety issues that arise, are subject to recalls or a halt in manufacturing, and are subject to periodic inspection after approval.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Healthcare Laws and Compliance Requirements</w:t>
      </w:r>
    </w:p>
    <w:p>
      <w:pPr>
        <w:spacing w:after="0" w:line="22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Our sales, promotion, medical education and other activities following product approval will be subject to regulation by numerous regulatory and law enforcement authorities in the U.S., and in addition to the FDA, these entities may include the Federal Trade Commission, the Department of Justice, the Centers for Medicare &amp; Medicaid Services, other divisions of the Department of Health and Human Services and state and local governments. Our promotional and scientific/educational programs must comply with the federal Anti-Kickback Statute, or AKS, the Foreign Corrupt Practices Act, or FCPA, the False Claims Act, or FCA, the Veterans Health Care Act, physician payment transparency laws, privacy laws, security laws, and additional state laws similar to the foregoing.</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The federal AKS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in whole or in part. The term remuneration has been interpreted broadly to include anything of value. The federal AKS has been interpreted broadly to apply to arrangements between pharmaceutical manufacturers on the one hand and prescribers, purchasers, and formulary managers on the other. The term "remuneration" includes kickbacks, bribes or rebates and also has been broadly interpreted to include anything of value, including, for example, gifts, discounts, waivers of payment, ownership interest and providing anything at less than its fair market value. Additionally, the intent standard under the federal AKS provides that a person or entity need not have actual knowledge of the statute or specific intent to violate it in order to have committed a violation. In addition, a claim including items or services resulting from a violation of the federal AKS constitutes a false or fraudulent claim for purposes of the federal civil False Claims Act. There are a number of statutory exceptions and regulatory safe harbors protecting some common activities from prosecution or other regulatory sanctions. The exceptions and safe harbors are drawn narrowly and practices that involve remuneration that may be alleged to be intended to induce prescribing, purchasing or recommending may be subject to scrutiny if they do not qualify for an exception or safe harbor. Failure to meet all the requirements of a particular applicable statutory exception or regulatory safe harbor does not make the conduct per se illegal under the AKS. Instead, the legality of the arrangement will be evaluated on a case-by-case basis based on a cumulative review of all its facts and circumstances. Our practices may not in all cases meet all the criteria for protection under a statutory exception or regulatory safe harbor. The safe harbors are subject to change through legislative and regulatory action, and we may decide to adjust our business practices or be subject to heightened scrutiny as a result.</w:t>
      </w:r>
    </w:p>
    <w:p>
      <w:pPr>
        <w:spacing w:after="0" w:line="192"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who, among other things, is determined to have presented or caused to be presented a claim for payment, or approval to a federal healthcare program that the person knows or should know is for an item or service that was not provided as claimed or is false or fraudulent.</w:t>
      </w:r>
    </w:p>
    <w:p>
      <w:pPr>
        <w:spacing w:after="0" w:line="176"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The FCA imposes liability on persons who, among other things, knowingly present or cause to be presented false or fraudulent claims for payment to, or approval by the federal government knowingly making or using, or causing to be made or used a false statement or record material to a claim to the federal government, or avoiding, decreasing or concealing an obligation to pay money to the federal government. A claim includes "any request or demand" for money or property presented directly or indirectly to the federal government. The civil FCA has been or can be used to assert liability on the basis of kickbacks and other improper referrals, improperly reported government pricing metrics such as Best Price and Average Manufacturer Price, improper promotion of uses not expressly approved by the FDA in a drug’s label, false statements associated with government grants, and allegations of misrepresentations with respect to services rendered, as well as claims for payment that are inaccurate or fraudulent, that are for services not provided as claimed, or for services that are not medically necessary. FCA claims may be based on noncompliance with regulatory requirements under an implied certification theory if material to the government’s decision to buy or pay for a drug. Intent to deceive is not required to establish liability under the civil FCA. Civil FCA liability may also be imposed for Medicare or Medicaid overpayments caused by understated rebate amounts that are not refunded within 60 days of discovering the overpayment, even if the overpayment was not caused by a false or fraudulent act. Actions under the FCA may be brought by the government or as a qui tam action by a private individual in the name of the government. If the government intervenes in a qui tam action, and prevails, the qui tam plaintiff will share in the proceeds from damages and fines or settlement funds. If the government declines to intervene, the qui tam plaintiff may pursue the case alone. Violations of the FCA can result in significant monetary penalties and treble damages. The government may further prosecute conduct under the criminal FCA, which prohibits the making or presenting of a claim to the government knowing the claim to be false, fictitious or fraudulent. Unlike the civil FCA, conviction requires proof of intent to submit a false claim. In addition, federal AKS violations (which may be alleged based on certain marketing practices, including allegations of off-label promotion) implicate the FCA.</w:t>
      </w:r>
    </w:p>
    <w:p>
      <w:pPr>
        <w:spacing w:after="0" w:line="191"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compliance and enforcement landscape, and related risk, is informed by government litigation and settlement precedent, Advisory Opinions, and Special Fraud Alerts. Our approach to compliance may evolve over time in light of these types of developments.</w:t>
      </w:r>
    </w:p>
    <w:p>
      <w:pPr>
        <w:spacing w:after="0" w:line="16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Additionally, the FCPA, and similar worldwide anti-bribery laws, generally prohibit companies and their intermediaries from making, offering or authorizing improper payments or other items of value, directly or indirectly, to foreign officials, political parties, or candidates for the purpose of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U.S., can result in criminal and civil fines, imprisonment, disgorgement, oversight, and debarment from securing government contracts. We cannot assure you that our internal control policies and procedures will protect us from reckless or negligent acts committed by our employees, future distributors,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partners, collaborators or agents. Violations of these laws, or allegations of such violations, could result in fines, penalties or prosecution and have a negative impact on our business, results of operations and reputation.</w:t>
      </w:r>
    </w:p>
    <w:p>
      <w:pPr>
        <w:spacing w:after="0" w:line="162"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Payment or reimbursement of prescription drugs by Medicaid or Medicare requires manufacturers of the drugs to submit pricing information to the Centers for Medicare &amp; Medicaid Services, or CMS. The Medicaid Drug Rebate statute requires manufacturers to calculate and report price points, which are used to determine Medicaid rebate payments shared between the states and the federal government and Medicaid payment rates for the drug. For drugs paid under Medicare Part B, manufacturers must also calculate and report their Average Sales Price or ASP, which is used to determine the Medicare Part B payment rate for the drug. Drugs that are approved under a BLA or a New Drug Application, or NDA, including 505(b)(2) drugs, are subject to an additional inflation penalty which can substantially increase rebate payments. In addition, for BLA and NDA drugs, the Veterans Health Care Act, or VHCA, requires manufacturers to calculate and report to the Veterans Administration, or VA, a different price called the Non 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on drugs dispensed by retail pharmacies when paid by the TRICARE Program. All these price reporting requirements create the risk of submitting false information to the government, and potential FCA liability.</w:t>
      </w:r>
    </w:p>
    <w:p>
      <w:pPr>
        <w:spacing w:after="0" w:line="190"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w:t>
      </w:r>
    </w:p>
    <w:p>
      <w:pPr>
        <w:spacing w:after="0" w:line="183"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penalties prohibits, among other actions, knowingly and willfully executing, or attempting to execute, a scheme to defraud or to obtain, by means of false or fraudulent pretenses, representations, or promises, any of the money or property owned by, or under the custody or control of, any healthcare benefit program, regardless of whether the payor is public or private third-party,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the specific intent to violate it, to have committed a violation.</w:t>
      </w:r>
    </w:p>
    <w:p>
      <w:pPr>
        <w:spacing w:after="0" w:line="192"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We may also be subject to data privacy and security laws and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specific requirements relating to the privacy, security and transmission of individually identifiable health information held by covered entities and their business associates. While we would not be a “covered entity” under HIPAA, it is possible that we may enter into a service or business arrangement that would cause us to serve as a “business associates,” defined as a person or entity that performs certain functions or activities that involve the use or disclosure of protected health information in connection with providing a service for or on behalf of, or provide services to,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The Department of Health and Human Services Office of Civil Rights, or the OCR, has increased its focus on compliance and continues to train state attorneys general for enforcement purposes.</w:t>
      </w:r>
    </w:p>
    <w:p>
      <w:pPr>
        <w:spacing w:after="0" w:line="187"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Even for entities that are not deemed “covered entities” or “business associates” under HIPAA, according to the U.S.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 addition to the laws discussed above, we may see more stringent state and federal privacy legislation in 2021 and beyond, as the increased cyber-attacks during the pandemic have heightened attention data privacy and security in the U.S. and other jurisdictions. We cannot predict where new legislation might arise, the scope of such legislation, or the potential impact to our business and operations.</w:t>
      </w:r>
    </w:p>
    <w:p>
      <w:pPr>
        <w:spacing w:after="0" w:line="176"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Payments made to physicians and other healthcare providers, and other financial interests, have been the subject of a range of federal and state laws. The federal physician payment transparency requirements, sometimes referred to as the Physician Payments Sunshine Act, or the Sunshine Act, was created under the ACA. The Sunshine Act, among other things, imposes reporting requirements on drug manufacturers for payments or other transfers of value made by them to physicians and teaching hospitals, as well as ownership and investment interests held by physicians, other healthcare providers, and their immediate family members. Failure to submit required information may result in civil monetary penalties of up to an aggregate of $150,000 per year and up to an additional aggregate of $1 million per year for “knowing failures,” for all payments, transfers of value or ownership or investment interests that are not timely, accurately and completely reported in an annual submission. The Sunshine Act was amended requiring applicable manufacturers, in 2021, to begin tracking payments and transfers of value to physician assistants, nurse practitioners, and other mid-level HCPs as well as physicians, with reporting relative to these mid-level practitioners first due in 2022. Additionally, certain states also mandate implementation of commercial compliance programs, impose restrictions on drug manufacturer marketing practices and/or require the tracking and reporting of gifts, compensation and other remuneration to physicians and other HCPs.</w:t>
      </w:r>
    </w:p>
    <w:p>
      <w:pPr>
        <w:spacing w:after="0" w:line="190"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Analogous state laws and regulations, such as state anti-kickback and false claims laws, and other state laws addressing the pharmaceutical and healthcare industries, which may apply to items or services reimbursed by any third-party payor, including commercial insurers, and in some cases may apply regardless of payor, i.e., even if reimbursement is not available. Some state laws require pharmaceutical companies to comply with the pharmaceutical industry's voluntary compliance guidelines, known as the PhRMA Code, and the relevant compliance program guidance promulgated by the federal government in addition to requiring drug manufacturers to report pricing and marketing information, including, among other things, information related to gifts, payments, or other remuneration to physicians and other healthcare providers or marketing expenditures, state and local laws that require the registration of pharmaceutical sales representatives, and state laws governing the privacy and security of health information and the use of prescriber-identifiable data in certain circumstances, many of which differ from each other in significant ways and may not have the same effect, thus complicating compliance efforts. For example, California enacted the California Consumer Privacy Act, or CCPA, which went into effect on January 1, 2020, and was recently amended and expanded by the California Privacy Rights Act, or CPRA, passed on November 3, 2020. While the majority of the CPRA’s substantive provisions will not take effect until January 1, 2023, the CPRA’s expansion of the “Right to Know” impacts personal information collected on or after January 1, 2022. Companies must still comply with the CCPA during the ramp up period before CPRA goes into effect. The CCPA and CPRA, among other things, create new data privacy obligations for covered companies and provide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88"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HCPs.</w:t>
      </w:r>
    </w:p>
    <w:p>
      <w:pPr>
        <w:spacing w:after="0" w:line="176"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w:t>
      </w:r>
    </w:p>
    <w:p>
      <w:pPr>
        <w:spacing w:after="0" w:line="192"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such health regulatory laws described above or any other governmental laws and regulations that apply to us, we may be subject to penalties, including, without limitation, civil, administrative, and criminal penalties, damages, fines, disgorgement, the curtailment or restructuring of our operations, exclusion from participation in federal and state healthcare programs and individual imprisonment, injunctions, private qui tam actions brought by individual whistleblowers in the name of the government, as well as additional reporting obligations and oversight if we become subject to a corporate integrity agreement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other agreement to resolve allegations of non-compliance with these laws, any of which could adversely affect our ability to operate our business and our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229"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Sales of pharmaceutical products depend significantly on the availability of third-party coverage and reimbursement. Third-party payors include Medicare, Medicaid, and other government programs at the federal and state level, managed care providers, private health insurers and other organizations. Third party payors decide which drugs they will pay for on behalf of their beneficiaries and establish reimbursement levels for health care. Although we currently believe that third-party payors will provide coverage and reimbursement for our product candidates, if approved, these third-party payors are increasingly challenging the price and examining the cost-effectiveness of medical products and services, with a recent focus on prioritization of “equivalent,” less expensive alternatives when available. In addition, significant uncertainty exists as to the reimbursement status of newly approved healthcare products. We may need to conduct expensive clinical trials to demonstrate the comparative cost-effectiveness of our products. The product candidates that we develop may not be considered cost-effective. It is time-consuming and expensive for us to seek coverage and reimbursement from third-party payors. Moreover, a payor’s decision to provide coverage for a drug product does not imply that an adequate reimbursement rate will be approved, especially for product candidates such as ours, which are used in the inpatient setting, usually resulting in no separate reimbursement for pharmaceuticals. There are additional pressures on pricing as a result of other, peripheral policies impacting reimbursement across both government and private payors. Non-health specific policies may impart downstream impacts on private insurance reimbursement decision-making. In consideration of these numerous factors, reimbursement may not be available or sufficient to allow us to sell our products on a competitive and profitable basis.</w:t>
      </w:r>
    </w:p>
    <w:p>
      <w:pPr>
        <w:spacing w:after="0" w:line="196"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Medicare is a federally funded program managed by CMS through local contractors that administer coverage and reimbursement for certain healthcare items and services furnished to the elderly and disabled. Medicare Part A covers inpatient hospitalization and Medicare Part B covers outpatient medical services. Medicare coverage of drugs and biological products and payment rates to providers are established by federal law and regulations. Medicaid is an insurance program for certain categories of low-income patients who are otherwise uninsured and is both federally and state funded and managed by each state. The federal government sets general guidelines for Medicaid and requires rebates on outpatient drugs and biological products, including those administered by physicians if the cost is billed separately. Each state creates specific regulations that govern its individual program, including supplemental rebate programs that prioritize coverage for drugs on the state Preferred Drug List. Government laws and regulations also establish price controls on prescription drugs purchased by government agencies that provide health care and certain federally funded hospital outpatient departments and clinics. In the U.S., private health insurers and other third-party payors often provide reimbursement for products and services based on the level at which the government provides reimbursement through the Medicare or Medicaid programs for such products and services. These restrictions and limitations influence the purchase of healthcare services and products. In addition, government programs like Medicaid include substantial penalties for increasing commercial prices over the rate of inflation which can affect realization and return on investment. Further, some stakeholders have recently questioned whether the market price of prescription drugs may be inflated by virtue of the built-in cost imparted by the government rebate model, often negotiated indirectly in exchange for a coverage determination or formulary placement where relevant.</w:t>
      </w:r>
    </w:p>
    <w:p>
      <w:pPr>
        <w:spacing w:after="0" w:line="195"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In the U.S., the European Union, and other potentially significant markets for our product candidates, government authorities and private third-party payors are increasingly attempting to limit or regulate the price of medical products and services, particularly for new and innovative products and therapies, which often has resulted in average selling prices lower than they would otherwise be. Manufacturers frequently must rebate a portion of the prescription price to the third-party payors as a condition of coverage, which can greatly reduce realization on the sale. Third-party payors are increasingly challenging the price and examining the medical necessity and cost-effectiveness of medical products and services, in addition to their safety and efficacy, and are developing increasingly sophisticated methods of controlling healthcare costs. They may limit coverage to specific drug products on an approved list, or formulary, which might not include all the FDA-approved drug products for a particular indication, or they may control costs, particularly for new expensive therapies, by requiring prior authorization or imposing other restrictions before covering certain products, or they may condition payment based on achieving performance metrics. Legislative proposals to reform healthcare or reduce costs under government programs may result in lower reimbursement for our product candidates or exclusion of our product candidates from coverage.</w:t>
      </w:r>
    </w:p>
    <w:p>
      <w:pPr>
        <w:spacing w:after="0" w:line="19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Achieving favorable CMS coverage and reimbursement is usually a significant gating issue for successful introduction of a new product, because Medicare and Medicaid can represent a sizeable share of the market and because private payors often rely on the lead of the governmental payors in rendering coverage and reimbursement determinations. Further, the increased emphasis on managed healthcare in the U.S. and on country and regional pricing and reimbursement controls in the European Union will likely put additional</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pressure on product pricing, reimbursement, and utilization, which may adversely affect our future product sales and results of operations. These pressures can arise from rules and practices of managed care groups,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third-party payors.</w:t>
      </w:r>
    </w:p>
    <w:p>
      <w:pPr>
        <w:spacing w:after="0" w:line="188"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As a result of the above,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ensure acceptance and use of our products and product candidates or enable us to maintain price levels sufficient to realize an appropriate return on our investment in drug development. Legislative and regulatory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U.S. and some foreign jurisdictions are considering or have enacted a number of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federal and state legislative initiatives.</w:t>
      </w:r>
    </w:p>
    <w:p>
      <w:pPr>
        <w:spacing w:after="0" w:line="183"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since the ACA was enacted. These changes include aggregate reductions to Medicare payments to providers of up to 2% per fiscal year, starting in 2013, which will remain in effect through 2025 unless additional Congressional action is taken. In January 2013, the American Taxpayer Relief Act of 2012, which, among other things, further reduced Medicare payments to several providers, including hospitals and cancer treatment centers, increased the statute of limitations period for the government to recover overpayments to providers from three to five years. In 2017, CMS promulgated a rule reducing Medicare Part B reimbursement to hospitals for drugs purchased under the 340B program by 30%. Although hospital trade associations filed a lawsuit challenging the regulation, the final rule is now in effect.</w:t>
      </w:r>
    </w:p>
    <w:p>
      <w:pPr>
        <w:spacing w:after="0" w:line="18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recent years, there have been and continue to be proposals by the federal government, state governments, regulators, and third-party payors to control these costs and, more generally, to reform the U.S. health care system. Certain of these proposals could limit the prices we are able to charge for our products or the amounts of reimbursement available for our products. These laws and future laws may result in additional reductions in Medicare and other healthcare funding, which could have a material adverse effect on customers for our product candidates, if approved, and, accordingly, our financial operations.</w:t>
      </w:r>
    </w:p>
    <w:p>
      <w:pPr>
        <w:spacing w:after="0" w:line="18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76"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The cost of pharmaceuticals continues to generate substantial governmental and third-party payor interest and states have begun to take action to increase transparency in drug pricing through mandatory reporting requirements. We expect that the pharmaceutical industry will experience pricing pressures due to the trend toward managed healthcare, the increasing influence of managed care organizations, and additional legislative proposals. Our results of operations could be adversely affected by current and future healthcare reforms. While we cannot predict whether any proposed cost-containment measures will be adopted or otherwise implemented in the future, the announcement or adoption of these proposals could have a material adverse effect on our ability to obtain adequate prices for our product candidates and operate profitably.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Regulation</w:t>
      </w:r>
    </w:p>
    <w:p>
      <w:pPr>
        <w:spacing w:after="0" w:line="22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U.S., we will be subject to a variety of foreign regulations governing clinical trials and commercial sales and distribution of our products to the extent we choose to develop or sell any products outside of the U.S.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80"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In the EU and the United Kingdom, member states require both regulatory clearances by the national competent authority and a favorable ethics committee opinion prior to the commencement of a clinical trial. Under the EU regulatory systems, marketing authorization applications may be submitted under either a centralized or decentralized procedure. The centralized procedure provides for the grant of a single marketing authorization that is valid for all EU member states. It is compulsory for medicines produced by certain biotechnological processes. Because our products are produced in that way, we would be subject to the centralized process. Under the centralized procedure, pharmaceutical companies submit a single marketing authorization application to the European Medicines Agency. Once granted by the European Commission, a centralized marketing authorization is valid in all EU member states, as well as the European Economic Area countries. By law, a company can only start to market a medicine once it has received a marketing authorization.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of December 31, 2023, we had 557 employees, 425 of whom were engaged in research and development activities and 132 of whom were engaged in general and administrative support activities. None of our employees are subject to a collective bargaining agreement. Our employees are highly skilled, and many hold advanced degrees. Most of our employees have experience with the development of cell therapies. We consider our relationship with our employees to be good.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career opportunities, and a robust employment package that promotes well-being across all aspects of their lives. In addition to salaries, these programs include potential annual discretionary bonuses, stock awards, Employee Stock Purchase Plan, a 401(k) plan, healthcare and insurance benefits, health savings and flexible spending accounts, paid time off, family leave, and flexible work schedules, among other benefits. We may take further actions, in compliance with all appropriate government regulations, that we determine to be in the best interest of our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maintain a website at www.iovance.com and make available there, free of charge, our periodic reports filed with the U.S. Securities and Exchange Commission, or SEC, as soon as is reasonably practicable after filing. The SEC maintains a website at http:/www.sec.gov that contains reports, proxy and information statements, and other information regarding issuers such as us that file electronically with the SEC.</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87"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i w:val="1"/>
          <w:iCs w:val="1"/>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Annual Report on Form 10-K, including our financial statements and related notes, and our other filings from time to time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 length below. These risks include, among others, the brief bulleted list of our principal risk factors set forth below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w:t>
      </w:r>
    </w:p>
    <w:p>
      <w:pPr>
        <w:spacing w:after="0" w:line="187" w:lineRule="exact"/>
        <w:rPr>
          <w:sz w:val="20"/>
          <w:szCs w:val="20"/>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we expect to continue to incur losses and we may never be profitable;</w:t>
      </w:r>
    </w:p>
    <w:p>
      <w:pPr>
        <w:spacing w:after="0" w:line="4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financing to fund our operations and complete the development of our various product candidates and commercialization of our products, and if we are unable to obtain such financing, we may be unable to complete the development of our product candidates and commercialization of our products. Raising additional capital may cause dilution to our existing stockholders, restrict our operations or require us to relinquish rights to our technologies or product candidates;</w:t>
      </w:r>
    </w:p>
    <w:p>
      <w:pPr>
        <w:spacing w:after="0" w:line="4"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our products and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could be delayed or stopped, or we may be unable to maintain a commercially viable cost structure;</w:t>
      </w:r>
    </w:p>
    <w:p>
      <w:pPr>
        <w:spacing w:after="0" w:line="3"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Cell-based therapies and biologics rely on the availability of biological raw materials (including live cells), chemicals and agents used for manufacturing, reagents, specialized equipment, and other specialty materials, which may not be available to us on acceptable terms or at all. For each of these, we rely or may rely on treatment sites, limited manufacturers, sole source vendors, or a limited number of vendors, which could impair our ability to manufacture and supply our products;</w:t>
      </w:r>
    </w:p>
    <w:p>
      <w:pPr>
        <w:spacing w:after="0" w:line="4"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ind w:left="680" w:right="20" w:hanging="321"/>
        <w:spacing w:after="0" w:line="266"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can be given that the Gen 2 manufacturing process or other processes we have selected will be FDA-compliant or more efficient and will lower the cost to manufacture TIL products;</w:t>
      </w: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from non-profit institutions;</w:t>
      </w:r>
    </w:p>
    <w:p>
      <w:pPr>
        <w:spacing w:after="0" w:line="49" w:lineRule="exact"/>
        <w:rPr>
          <w:rFonts w:ascii="Times New Roman" w:cs="Times New Roman" w:eastAsia="Times New Roman" w:hAnsi="Times New Roman"/>
          <w:sz w:val="18"/>
          <w:szCs w:val="18"/>
          <w:color w:val="auto"/>
        </w:rPr>
      </w:pPr>
    </w:p>
    <w:p>
      <w:pPr>
        <w:ind w:left="680" w:hanging="321"/>
        <w:spacing w:after="0" w:line="273"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projections regarding the market opportunities for our products and product candidates may not be accurate, and the actual market for our products and product candidates may be smaller than we estimate;</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60"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establish effective marketing and sales capabilities or enter into agreements with third parties to market and sell our products and product candidates, if they are approved, and as a result, we may be unable to generate significant product revenues;</w:t>
      </w:r>
    </w:p>
    <w:p>
      <w:pPr>
        <w:spacing w:after="0" w:line="2" w:lineRule="exact"/>
        <w:rPr>
          <w:rFonts w:ascii="Times New Roman" w:cs="Times New Roman" w:eastAsia="Times New Roman" w:hAnsi="Times New Roman"/>
          <w:sz w:val="18"/>
          <w:szCs w:val="18"/>
          <w:color w:val="auto"/>
        </w:rPr>
      </w:pPr>
    </w:p>
    <w:p>
      <w:pPr>
        <w:ind w:left="680" w:hanging="321"/>
        <w:spacing w:after="0" w:line="273"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or product candidates do not achieve broad market acceptance, the revenues that we generate from their sales will be limited;</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candidates may face competition sooner than anticipated;</w:t>
      </w:r>
    </w:p>
    <w:p>
      <w:pPr>
        <w:spacing w:after="0" w:line="49" w:lineRule="exact"/>
        <w:rPr>
          <w:rFonts w:ascii="Times New Roman" w:cs="Times New Roman" w:eastAsia="Times New Roman" w:hAnsi="Times New Roman"/>
          <w:sz w:val="18"/>
          <w:szCs w:val="18"/>
          <w:color w:val="auto"/>
        </w:rPr>
      </w:pPr>
    </w:p>
    <w:p>
      <w:pPr>
        <w:jc w:val="both"/>
        <w:ind w:left="680" w:hanging="321"/>
        <w:spacing w:after="0" w:line="260"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the size and capabilities of our organization, and we may experience difficulties in managing this growth;</w:t>
      </w:r>
    </w:p>
    <w:p>
      <w:pPr>
        <w:spacing w:after="0" w:line="49"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products will be significantly impacted and we may be subject to regulatory sanctions;</w:t>
      </w:r>
    </w:p>
    <w:p>
      <w:pPr>
        <w:spacing w:after="0" w:line="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or sufficiently expand our manufacturing capacity to meet demand for our products;</w:t>
      </w:r>
    </w:p>
    <w:p>
      <w:pPr>
        <w:spacing w:after="0" w:line="27" w:lineRule="exact"/>
        <w:rPr>
          <w:rFonts w:ascii="Times New Roman" w:cs="Times New Roman" w:eastAsia="Times New Roman" w:hAnsi="Times New Roman"/>
          <w:sz w:val="18"/>
          <w:szCs w:val="18"/>
          <w:color w:val="auto"/>
        </w:rPr>
      </w:pPr>
    </w:p>
    <w:p>
      <w:pPr>
        <w:ind w:left="680" w:hanging="321"/>
        <w:spacing w:after="0" w:line="255"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success of our product candidates and cannot guarantee that these product candidates will successfully complete development, receive regulatory approval, or be successfully commercialized;</w:t>
      </w:r>
    </w:p>
    <w:p>
      <w:pPr>
        <w:ind w:left="680" w:hanging="321"/>
        <w:spacing w:after="0" w:line="273"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product candidate intended for use in combination with an already approved product may present more or different challenges than development of a product candidate for use as a single agent;</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60"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Fast Track product designation, BTD,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2"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lifileucel has received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our clinical trials or may not be able to conduct our clinical trials on the timelines we expect and we may be required to conduct additional clinical trials or modify current or future clinical trials based on feedback we receive from the FDA;</w:t>
      </w: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longer and cost more to complete our clinical trials than we project, or we may not be able to complete them at all;</w:t>
      </w:r>
    </w:p>
    <w:p>
      <w:pPr>
        <w:spacing w:after="0" w:line="36" w:lineRule="exact"/>
        <w:rPr>
          <w:rFonts w:ascii="Times New Roman" w:cs="Times New Roman" w:eastAsia="Times New Roman" w:hAnsi="Times New Roman"/>
          <w:sz w:val="18"/>
          <w:szCs w:val="18"/>
          <w:color w:val="auto"/>
        </w:rPr>
      </w:pPr>
    </w:p>
    <w:p>
      <w:pPr>
        <w:ind w:left="680" w:hanging="321"/>
        <w:spacing w:after="0" w:line="273"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adequately the safety and efficacy of our product candidates, which would prevent or delay regulatory approval and commercialization;</w:t>
      </w:r>
    </w:p>
    <w:p>
      <w:pPr>
        <w:spacing w:after="0" w:line="1" w:lineRule="exact"/>
        <w:rPr>
          <w:rFonts w:ascii="Times New Roman" w:cs="Times New Roman" w:eastAsia="Times New Roman" w:hAnsi="Times New Roman"/>
          <w:sz w:val="18"/>
          <w:szCs w:val="18"/>
          <w:color w:val="auto"/>
        </w:rPr>
      </w:pPr>
    </w:p>
    <w:p>
      <w:pPr>
        <w:ind w:left="680" w:hanging="321"/>
        <w:spacing w:after="0" w:line="273"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pay substantial royalties and lump sum benchmark payments under our license or acquisition agreements with the NIH, Moffitt, Novartis, Clinigen, and Cellectis, and we must meet certain milestones to maintain our license rights;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and collaborate with governmental, academic, and corporate partners or agencies to approve, improve, and develop TIL cell therapies for new indications for use in combination with other therapies and to evaluate new TIL manufacturing methods, the results of which, because the manufacturing processes are not within our control, and may be incorrect or unreliable;</w:t>
      </w:r>
    </w:p>
    <w:p>
      <w:pPr>
        <w:jc w:val="both"/>
        <w:ind w:left="680" w:hanging="321"/>
        <w:spacing w:after="0" w:line="25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the effects of health epidemics, including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and at our manufacturing facility in Philadelphia, Pennsylvania, which have previously been subject to state executive orders and shelter-in-place orders, and at our clinical trial sites, as well as the business or operations of our other manufacturers, contract research organizations, or CROs, or other third parties with whom we conduct business;</w:t>
      </w:r>
    </w:p>
    <w:p>
      <w:pPr>
        <w:spacing w:after="0" w:line="11"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operating in a period of economic uncertainty and capital markets disruption, which has been significantly impacted by geopolitical instability, ongoing military conflicts between Russia and Ukraine and Israel and Hamas and record inflation. Our business, financial condition and results of operations could be materially adversely affected by any negative impact on the global economy and capital markets resulting from the conflict in Ukraine and the Middle East, geopolitical tensions or record inflation;</w:t>
      </w:r>
    </w:p>
    <w:p>
      <w:pPr>
        <w:spacing w:after="0" w:line="7"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or legal, regulatory or market measures to address climate change may negatively affect our business, results of operations, cash flows and prospects; and</w:t>
      </w: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matters may impact our business and reputation.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Government Regulation:</w:t>
      </w:r>
    </w:p>
    <w:p>
      <w:pPr>
        <w:spacing w:after="0" w:line="200" w:lineRule="exact"/>
        <w:rPr>
          <w:sz w:val="20"/>
          <w:szCs w:val="20"/>
          <w:color w:val="auto"/>
        </w:rPr>
      </w:pPr>
    </w:p>
    <w:p>
      <w:pPr>
        <w:jc w:val="both"/>
        <w:ind w:left="680" w:hanging="321"/>
        <w:spacing w:after="0" w:line="260"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which can be costly, time consuming and can subject us to unanticipated delays; even after obtaining regulatory approval for some of our products and/or product candidates, those products and/or product candidates may still face regulatory difficulties;</w:t>
      </w:r>
    </w:p>
    <w:p>
      <w:pPr>
        <w:spacing w:after="0" w:line="2" w:lineRule="exact"/>
        <w:rPr>
          <w:rFonts w:ascii="Times New Roman" w:cs="Times New Roman" w:eastAsia="Times New Roman" w:hAnsi="Times New Roman"/>
          <w:sz w:val="18"/>
          <w:szCs w:val="18"/>
          <w:color w:val="auto"/>
        </w:rPr>
      </w:pPr>
    </w:p>
    <w:p>
      <w:pPr>
        <w:ind w:left="680" w:right="20" w:hanging="321"/>
        <w:spacing w:after="0" w:line="273"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regulatory approval process is lengthy and time-consuming, and we may experience significant delays in the clinical development and regulatory approval of our product candidates;</w:t>
      </w:r>
    </w:p>
    <w:p>
      <w:pPr>
        <w:spacing w:after="0" w:line="1" w:lineRule="exact"/>
        <w:rPr>
          <w:rFonts w:ascii="Times New Roman" w:cs="Times New Roman" w:eastAsia="Times New Roman" w:hAnsi="Times New Roman"/>
          <w:sz w:val="18"/>
          <w:szCs w:val="18"/>
          <w:color w:val="auto"/>
        </w:rPr>
      </w:pPr>
    </w:p>
    <w:p>
      <w:pPr>
        <w:ind w:left="680" w:hanging="321"/>
        <w:spacing w:after="0" w:line="273"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may be limited or unavailable in certain market segments for our product candidates, which could make it difficult for us to sell our product candidates profitably; and</w:t>
      </w: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outside the U.S. tend to impose strict price controls, which may adversely affect our revenues, if any.</w:t>
      </w:r>
    </w:p>
    <w:p>
      <w:pPr>
        <w:spacing w:after="0" w:line="266"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this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the other information set forth in this Annual Report on Form 10-K,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we expect to continue to incur losses and we may never be profitable.</w:t>
      </w:r>
    </w:p>
    <w:p>
      <w:pPr>
        <w:spacing w:after="0" w:line="175" w:lineRule="exact"/>
        <w:rPr>
          <w:sz w:val="20"/>
          <w:szCs w:val="20"/>
          <w:color w:val="auto"/>
        </w:rPr>
      </w:pPr>
    </w:p>
    <w:p>
      <w:pPr>
        <w:jc w:val="both"/>
        <w:ind w:firstLine="492"/>
        <w:spacing w:after="0" w:line="239" w:lineRule="auto"/>
        <w:rPr>
          <w:sz w:val="20"/>
          <w:szCs w:val="20"/>
          <w:color w:val="auto"/>
        </w:rPr>
      </w:pPr>
      <w:r>
        <w:rPr>
          <w:rFonts w:ascii="Times New Roman" w:cs="Times New Roman" w:eastAsia="Times New Roman" w:hAnsi="Times New Roman"/>
          <w:sz w:val="18"/>
          <w:szCs w:val="18"/>
          <w:color w:val="auto"/>
        </w:rPr>
        <w:t>We are a commercial-stage biopharmaceutical company pioneering a transformational approach to treating cancer by harnessing the human immune system’s ability to recognize and destroy diverse cancer cells using therapies personalized for each patient. Until recently, we did not have products approved for commercial sale and have not generated significant revenue from operations. With the closing of the acquisition of the worldwide rights to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May 2023, we began to have commercial sales. As of December 31, 2023, we had an accumulated deficit of $2.0 billion. In addition, during the year ended December 31, 2023, we incurred a net loss of $444.0 million. While we are beginning the commercial launch of our product, Amtagvi™, we do not expect to generate any meaningful product sales until later in 2024. We expect to incur significant additional operating losses in the future as we expand our development and clinical trial activities in support of demonstrating the effectiveness of our products.</w:t>
      </w:r>
    </w:p>
    <w:p>
      <w:pPr>
        <w:spacing w:after="0" w:line="17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18"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financing to fund our operations and complete the development of our various product candidates and commercialization of our products, and if we are unable to obtain such financing, we may be unable to complete the development of our product candidates and commercialization of our products. Raising additional capital may cause dilution to our existing stockholders, restrict our operations or require us to relinquish rights to our technologies or product candidates.</w:t>
      </w:r>
    </w:p>
    <w:p>
      <w:pPr>
        <w:spacing w:after="0" w:line="140"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From our inception to December 31, 2023, we have an accumulated deficit of $2.0 billion. In addition, our research and development and our operating costs have also been substantial and are expected to increase. For example, in October 2018, we closed an underwritten public offering of our common stock. The net proceeds from the offering, after deducting the underwriting discounts and commissions and other offering expenses payable by us, were $236.7 million. In June 2020, we closed another underwritten offering of our common stock. The net proceeds from the offering, after deducting the underwriting discounts and commissions and other offering expenses payable by us, were $567.0 million. In July 2023, we closed another underwritten offering of our common stock. The net proceeds from the offering, after deducting the underwriting discounts and commissions and other offering expenses payable by us, were $161.5 million. In February 2021, we entered into an open market sale agreement, or the 2021 Sale Agreement, with Jefferies LLC, or Jefferies, which provided for the sale of up to $350.0 million of our common stock from time to time, which was subsequently increased to $500.0 million in November 2022 upon the execution of an updated open market sale agreement, or the 2022 Sale Agreement, with Jefferies. In June 2023, we entered into a new open market sale agreement, or the 2023 Sale Agreement, with Jefferies, which superseded the 2022 Sale Agreement and provided for the sale of up to $450.0 million of our common stock from time to time. As of December 31, 2023, we had $346.3 million in cash, cash equivalents, investments, and restricted cash ($114.9 million of cash and cash equivalents, $165.0 million in short-term investments, and restricted cash of $66.4 million).</w:t>
      </w:r>
    </w:p>
    <w:p>
      <w:pPr>
        <w:spacing w:after="0" w:line="155"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Accordingly, based on the funds we have available as of the date these consolidated financial statements are issued, which include estimated net proceeds (after deducting underwriting and other offering expenses) of approximately $197.1 million from the public offering of our common stock completed on February 22, 2024, we believe that we have sufficient capital to fund our anticipated operating expenses and capital expenditures as planned for at least the next twelve months following the issuance of our consolidated financial statements included in this Annual Report on Form 10-K. However, in order to complete the development of our current product candidates, and in order to effect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of our product candidates and commercialization of our products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will need to obtain additional financing to fund our future operations, including completing the development of our product candidates and commercialization of our products. Our future funding requirements will depend on many factors, including, but not limited to:</w:t>
      </w:r>
    </w:p>
    <w:p>
      <w:pPr>
        <w:spacing w:after="0" w:line="135" w:lineRule="exact"/>
        <w:rPr>
          <w:sz w:val="20"/>
          <w:szCs w:val="20"/>
          <w:color w:val="auto"/>
        </w:rPr>
      </w:pPr>
    </w:p>
    <w:p>
      <w:pPr>
        <w:ind w:left="820" w:hanging="320"/>
        <w:spacing w:after="0" w:line="261" w:lineRule="auto"/>
        <w:tabs>
          <w:tab w:leader="none" w:pos="8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ind w:left="820" w:hanging="320"/>
        <w:spacing w:after="0" w:line="250" w:lineRule="auto"/>
        <w:tabs>
          <w:tab w:leader="none" w:pos="8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cost necessary to obtain regulatory approvals that may be required by regulatory authorities to execute clinical trials or commercialize our product;</w:t>
      </w:r>
    </w:p>
    <w:p>
      <w:pPr>
        <w:ind w:left="820" w:hanging="320"/>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approved;</w:t>
      </w:r>
    </w:p>
    <w:p>
      <w:pPr>
        <w:spacing w:after="0" w:line="9" w:lineRule="exact"/>
        <w:rPr>
          <w:rFonts w:ascii="Times New Roman" w:cs="Times New Roman" w:eastAsia="Times New Roman" w:hAnsi="Times New Roman"/>
          <w:sz w:val="18"/>
          <w:szCs w:val="18"/>
          <w:color w:val="auto"/>
        </w:rPr>
      </w:pPr>
    </w:p>
    <w:p>
      <w:pPr>
        <w:ind w:left="820" w:right="20" w:hanging="320"/>
        <w:spacing w:after="0" w:line="250" w:lineRule="auto"/>
        <w:tabs>
          <w:tab w:leader="none" w:pos="8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clinical and commercial product successfully manufactured consistent with FDA and European Medicines Agency, or EMA, regulations;</w:t>
      </w:r>
    </w:p>
    <w:p>
      <w:pPr>
        <w:ind w:left="820" w:hanging="320"/>
        <w:spacing w:after="0" w:line="250" w:lineRule="auto"/>
        <w:tabs>
          <w:tab w:leader="none" w:pos="8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sales and other revenues from product candidates that we may commercialize, if any, including the selling prices for such potential products and the availability of adequate third-party coverage and reimbursement for patients;</w:t>
      </w:r>
    </w:p>
    <w:p>
      <w:pPr>
        <w:ind w:left="820" w:hanging="320"/>
        <w:spacing w:after="0" w:line="250" w:lineRule="auto"/>
        <w:tabs>
          <w:tab w:leader="none" w:pos="8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costs associated with commercializing our products, if approved, including the cost and timing of building our marketing and sales capabilities;</w:t>
      </w:r>
    </w:p>
    <w:p>
      <w:pPr>
        <w:ind w:left="820" w:hanging="320"/>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building, staffing and validating our own manufacturing facility in the U.S.;</w:t>
      </w:r>
    </w:p>
    <w:p>
      <w:pPr>
        <w:spacing w:after="0" w:line="9"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and timing of our current and any potential future collaborations, licensing or other arrangements that we have established or may establish;</w:t>
      </w:r>
    </w:p>
    <w:p>
      <w:pPr>
        <w:ind w:left="820" w:hanging="320"/>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requirements of any future acquisitions or the development of other product candidates;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operating as a public company;</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cost necessary to respond to technological, regulatory, political and market developments;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filing, prosecuting, defending and enforcing any patent claims and other intellectual property rights; and</w:t>
      </w:r>
    </w:p>
    <w:p>
      <w:pPr>
        <w:spacing w:after="0" w:line="9" w:lineRule="exact"/>
        <w:rPr>
          <w:rFonts w:ascii="Times New Roman" w:cs="Times New Roman" w:eastAsia="Times New Roman" w:hAnsi="Times New Roman"/>
          <w:sz w:val="18"/>
          <w:szCs w:val="18"/>
          <w:color w:val="auto"/>
        </w:rPr>
      </w:pPr>
    </w:p>
    <w:p>
      <w:pPr>
        <w:ind w:left="820" w:hanging="320"/>
        <w:spacing w:after="0" w:line="204" w:lineRule="auto"/>
        <w:tabs>
          <w:tab w:leader="none" w:pos="8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potential business or product acquisitions (such as the acquisition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strategic collaborations, licensing agreements or other arrangements that we may establish.</w:t>
      </w:r>
    </w:p>
    <w:p>
      <w:pPr>
        <w:spacing w:after="0" w:line="17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Subject to various spending levels approved by our Board of Directors, our management will have broad discretion in the use of the net proceeds from our capital raises, including our July 2023, June 2020, October 2018 and January 2018 public offerings and the proceeds from sales pursuant to our “at-the-market” sale agreement with Jefferies LLC, and may not use them effectively.</w:t>
      </w:r>
    </w:p>
    <w:p>
      <w:pPr>
        <w:spacing w:after="0" w:line="134"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Our management will have discretion in the application of the net proceeds from our capital raises, including our July 2023, June 2020, October 2018, and January 2018 public offerings, and the proceeds from sales pursuant to the 2023 Sale Agreement with Jefferies, which provides for the sale of up to $450.0 million of our common stock from time to time,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non-interest-bearing cash accounts, short-term, investment-grade, interest-bearing instruments and U.S. government securities. These temporary investments are not likely to yield a significant return.</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0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net operating loss carryforwards and any future research and development tax credits may expire and not be used. As of December 31, 2023, we had U.S. federal net operating loss carryforwards of approximately $1.2 billion.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4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Prior to December 31, 2023, we experienced multiple ownership changes.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44"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tax reform legislation in the U.S., changes to existing tax laws, or challenges to our tax positions could adversely affect our business and financial condition.</w:t>
      </w:r>
    </w:p>
    <w:p>
      <w:pPr>
        <w:spacing w:after="0" w:line="13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recent years, various tax legislations were signed into law. On December 22, 2017, the Tax Cuts and Jobs Act of 2017, or the Tax Act, was signed into law, making significant changes to the Internal Revenue Code.</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or the CARES Act, was enacted in response to the COVID-19 pandemic. Certain provisions of the CARES Act amend or suspend certain provisions of the Tax Act. For example,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On June 15, 2020, Assembly Bill 85 was passed in California which suspended the use of net operating losses and limited the use of credits for certain corporations. Changes to existing federal and state tax laws could adversely impact our business, results of operations and financial position as the impact of recent tax legislation is uncertain.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 xml:space="preserve">In addition, U.S. federal, state and local tax laws are extremely complex and subject to various interpretations. Although we believe that our tax estimates and positions are reasonable, including our decision to build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at the Navy Yard in Philadelphia in order to take advantage of the site’s designation as a Keystone Opportunity Zone, Keystone Opportunity Expansion Zone, or Keystone Opportunity Improvement Zone, or collectively a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and Commercialization of Our Products and Product Candidates</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Even though our lead product Amtagvi™ is approved and commercialized, we may not become profitable.</w:t>
      </w:r>
    </w:p>
    <w:p>
      <w:pPr>
        <w:spacing w:after="0" w:line="189" w:lineRule="exact"/>
        <w:rPr>
          <w:sz w:val="20"/>
          <w:szCs w:val="20"/>
          <w:color w:val="auto"/>
        </w:rPr>
      </w:pPr>
    </w:p>
    <w:p>
      <w:pPr>
        <w:jc w:val="both"/>
        <w:ind w:firstLine="486"/>
        <w:spacing w:after="0" w:line="214" w:lineRule="auto"/>
        <w:rPr>
          <w:sz w:val="20"/>
          <w:szCs w:val="20"/>
          <w:color w:val="auto"/>
        </w:rPr>
      </w:pPr>
      <w:r>
        <w:rPr>
          <w:rFonts w:ascii="Times New Roman" w:cs="Times New Roman" w:eastAsia="Times New Roman" w:hAnsi="Times New Roman"/>
          <w:sz w:val="18"/>
          <w:szCs w:val="18"/>
          <w:color w:val="auto"/>
        </w:rPr>
        <w:t>Our lead product, Amtagvi™, is initially targeting a small population of refractory patients that suffer from metastatic melanoma. Even with FDA approval of Amtagvi™, and even if we obtain significant market share, because the potential target population for Amtagvi™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conducting clinical trials on these patient populations. Since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an established product and there are competing products in development, the success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closely tied to Amtagvi™ and use with other cell therapies. An approval for a marketed product, such as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may be withdrawn by the FDA or another regulatory agency and disrupt both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Amtagvi™ because of their codependency. Additionally,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revenues are dependent upon continued use in manufacturing and clinical settings by Iovance and other cell therapy companies.</w:t>
      </w:r>
    </w:p>
    <w:p>
      <w:pPr>
        <w:spacing w:after="0" w:line="158"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our products and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could be delayed or stopped, or we may be unable to maintain a commercially viable cost structure.</w:t>
      </w:r>
    </w:p>
    <w:p>
      <w:pPr>
        <w:spacing w:after="0" w:line="153"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Our products and product candidates are biologics and the process of manufacturing our products is complex, highly regulated and subject to multiple risks. The manufacture of our products and product candidates involves complex processes, including harvesting tumor fragments from patients, isolating the T-cells from the tumor fragments, multiplying the T-cells to obtain the desired dose, and ultimately infusing the T-cells back into a patient. The complexities of manufacturing cell therapy products require extensive collaboration with treatment centers including the provision of patient tumor tissue for manufacture. Manufacturing is dependent on many factors including quality of the patient tumor tissue, treatment center training, and unique factors specific to autologous cell therapy manufacturing that can jeopardize the product approval, launch, scale, and capacity.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Because our products and product candidates are manufactured specifically for each individual patient, we will be required to maintain a chain of identity and chain of custody with respect to the patient’s tumor as it moves from the patient to the manufacturing facility, through the manufacturing process, and back to the patient. Maintaining such chains of identity and chains of custody is difficult and complex, and failure to do so could result in adverse patient outcomes, loss of product, or regulatory action including withdrawal of our products from the market. Further, as product candidates are developed through preclinical studies to late-stage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48"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Currently, our products and product candidates are manufactured using processes developed or modified by us or by our third-party research institution collaborators that we may not intend to use for more advanced clinical trials or commercialization. Gen 2 is the FDA-approved, commercial manufacturing process for Amtagvi™ and has been selected for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As a result of these challenges, we may experience delays in our clinical development and/or commercialization plans. Furthermore, we may ultimately be unable to reduce the cost of goods for our product candidates to levels that will allow for an attractive return on investment if and when those product candidates are commercialized.</w:t>
      </w:r>
    </w:p>
    <w:p>
      <w:pPr>
        <w:spacing w:after="0" w:line="15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 xml:space="preserve">In May 2019 we entered into a lease agreement to build a commercial-scale manufacturing facility,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in Philadelphia, Pennsylvania for commercial and clinical production of autologous TIL products, including our product Amtagvi™.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is currently manufacturing TIL for our ongoing clinical trials and preparing to provide commercial supply upon potential BLA approval; as of the end of 2021, we had completed the commissioning activities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and successfully initiated manufacturing of clinical batches of lifileucel and LN-145, representing our first internally manufactured TIL product, as we continue our launch readiness activities to supply commercial TIL upon potential BLA approval. We expect our manufacturing facility will provide us with enhanced control of material supply for both clinical trials and the commercial market, enable the more rapid implementation of process changes, and allow for better long-term margins. We have built capacity to potentially treat thousands of cancer patients annually. However, we may not be successful in finalizing the development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4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 The FDA may take a restrictive approach when regulating cell therapy manufacturing facilities that could result in delays, product release challenges, shortages, or capacity restraints.</w:t>
      </w:r>
    </w:p>
    <w:p>
      <w:pPr>
        <w:spacing w:after="0" w:line="145"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 xml:space="preserve">Our current manufacturing strategy involves the use of CMOs in conjunction with the manufacturing capacity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Currently our products and product candidates are also manufactured by WuXi and previously by Moffitt. Additionally, we partner with American Red Cross, or ARC, to leverage their GMP approved facilities and operate our own facility to produce feeder cells for TIL manufacturing. The process for manufacturing TIL is heavily reliant on the supply of biological raw materials and maintaining a GMP facility capable of supplying our manufacturing facilities with quality cells to make the final product. There are only a limited number of these types of facilities and sources for the materials needed by TIL cell therapy manufacturers.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and our CMO are aseptic manufacturing facilities that operate clean rooms for the production of TIL cell therapies, which are subject to contamination, labor, occupational safety, regulatory, climate, and environmental risks that could interfere with production. Any problems or delays we or our CMOs experience in preparing for commercial scale manufacturing of a product, product candidate, or component thereof may result, in the case of product candidates, a delay in the FDA approval thereof or, in the case of products, may impair our ability to manufacture commercial quantities or such quantities at an acceptable cost, which could result in the delay, prevention, or impairment of clinical development of our product candidates and commercialization of our products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Moreover, should we continue to use CMOs, we may not succeed in maintaining our relationships with our current CMO or establishing relationships with additional or alternative CMOs. Our products and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48"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exposure to risks to which we would not be subject if we manufactured the product candidate ourselves, including:</w:t>
      </w:r>
    </w:p>
    <w:p>
      <w:pPr>
        <w:spacing w:after="0" w:line="135" w:lineRule="exact"/>
        <w:rPr>
          <w:sz w:val="20"/>
          <w:szCs w:val="20"/>
          <w:color w:val="auto"/>
        </w:rPr>
      </w:pPr>
    </w:p>
    <w:p>
      <w:pPr>
        <w:ind w:left="820" w:hanging="320"/>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and quality agreements with third parties under commercially reasonable terms;</w:t>
      </w:r>
    </w:p>
    <w:p>
      <w:pPr>
        <w:spacing w:after="0" w:line="27" w:lineRule="exact"/>
        <w:rPr>
          <w:rFonts w:ascii="Times New Roman" w:cs="Times New Roman" w:eastAsia="Times New Roman" w:hAnsi="Times New Roman"/>
          <w:sz w:val="18"/>
          <w:szCs w:val="18"/>
          <w:color w:val="auto"/>
        </w:rPr>
      </w:pPr>
    </w:p>
    <w:p>
      <w:pPr>
        <w:ind w:left="820" w:hanging="320"/>
        <w:spacing w:after="0" w:line="260" w:lineRule="auto"/>
        <w:tabs>
          <w:tab w:leader="none" w:pos="8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day-to-day control over the manufacturing process for our product candidates as a result of using third-party manufacturers for all aspects of manufacturing activities;</w:t>
      </w:r>
    </w:p>
    <w:p>
      <w:pPr>
        <w:spacing w:after="0" w:line="46"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the protection of our trade secrets and know-how from misappropriation or inadvertent disclosure;</w:t>
      </w:r>
    </w:p>
    <w:p>
      <w:pPr>
        <w:spacing w:after="0" w:line="90" w:lineRule="exact"/>
        <w:rPr>
          <w:rFonts w:ascii="Times New Roman" w:cs="Times New Roman" w:eastAsia="Times New Roman" w:hAnsi="Times New Roman"/>
          <w:sz w:val="18"/>
          <w:szCs w:val="18"/>
          <w:color w:val="auto"/>
        </w:rPr>
      </w:pPr>
    </w:p>
    <w:p>
      <w:pPr>
        <w:ind w:left="820" w:right="20" w:hanging="320"/>
        <w:spacing w:after="0" w:line="282" w:lineRule="auto"/>
        <w:tabs>
          <w:tab w:leader="none" w:pos="8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be costly or damaging to us or result in delays in the development or commercialization of our products and/or product candidates;</w:t>
      </w:r>
    </w:p>
    <w:p>
      <w:pPr>
        <w:spacing w:after="0" w:line="40" w:lineRule="exact"/>
        <w:rPr>
          <w:rFonts w:ascii="Times New Roman" w:cs="Times New Roman" w:eastAsia="Times New Roman" w:hAnsi="Times New Roman"/>
          <w:sz w:val="18"/>
          <w:szCs w:val="18"/>
          <w:color w:val="auto"/>
        </w:rPr>
      </w:pPr>
    </w:p>
    <w:p>
      <w:pPr>
        <w:ind w:left="820" w:hanging="320"/>
        <w:spacing w:after="0" w:line="282" w:lineRule="auto"/>
        <w:tabs>
          <w:tab w:leader="none" w:pos="8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bankruptcy of the manufacturer or supplier.</w:t>
      </w:r>
    </w:p>
    <w:p>
      <w:pPr>
        <w:spacing w:after="0" w:line="26" w:lineRule="exact"/>
        <w:rPr>
          <w:rFonts w:ascii="Times New Roman" w:cs="Times New Roman" w:eastAsia="Times New Roman" w:hAnsi="Times New Roman"/>
          <w:sz w:val="18"/>
          <w:szCs w:val="18"/>
          <w:color w:val="auto"/>
        </w:rPr>
      </w:pPr>
    </w:p>
    <w:p>
      <w:pPr>
        <w:ind w:left="820" w:hanging="320"/>
        <w:spacing w:after="0" w:line="282" w:lineRule="auto"/>
        <w:tabs>
          <w:tab w:leader="none" w:pos="8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or multi-national activities that are related to business activities outside of our scope, but may have an impact on a CMO’s ability to conduct business in a manner consistent with governmental or our regulatory and ethical standards; and</w:t>
      </w:r>
    </w:p>
    <w:p>
      <w:pPr>
        <w:spacing w:after="0" w:line="40" w:lineRule="exact"/>
        <w:rPr>
          <w:rFonts w:ascii="Times New Roman" w:cs="Times New Roman" w:eastAsia="Times New Roman" w:hAnsi="Times New Roman"/>
          <w:sz w:val="18"/>
          <w:szCs w:val="18"/>
          <w:color w:val="auto"/>
        </w:rPr>
      </w:pPr>
    </w:p>
    <w:p>
      <w:pPr>
        <w:ind w:left="820" w:hanging="320"/>
        <w:spacing w:after="0" w:line="282" w:lineRule="auto"/>
        <w:tabs>
          <w:tab w:leader="none" w:pos="8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synchronize operations and standards to ensure that all aspects of manufacturing are consistent without deviations across facilities.</w:t>
      </w:r>
    </w:p>
    <w:p>
      <w:pPr>
        <w:spacing w:after="0" w:line="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addition, the manufacturing process and facilities for any products that we may develop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and or our CMOs is subject to FDA and foreign regulatory authority approval processes, and we or our CMOs will need to meet all applicable FDA and foreign regulatory authority requirements, including cGMP,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our BLAs, to the FDA. Manufacturers are also subject to continuing regulatory oversight by FDA and other regulatory authorities, including inspections following marketing approval. Further, we, in cooperation with our CMOs, must supply all necessary chemistry, manufacturing, and control documentation for a pre-approval inspection in support of a BLA on a timely basis. There is no guarantee that we or our CMOs will be able to successfully pass all aspects of a pre-approval inspection by the FDA or other foreign regulatory authorities.</w:t>
      </w:r>
    </w:p>
    <w:p>
      <w:pPr>
        <w:spacing w:after="0" w:line="14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manufacturing facilities or our CMOs’ manufacturing facilities may be unable to comply with our specifications, cGMP,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after obtaining regulatory approval, in the case of our products, and even if we obtain regulatory approval, in the case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6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3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45" w:lineRule="exact"/>
        <w:rPr>
          <w:sz w:val="20"/>
          <w:szCs w:val="20"/>
          <w:color w:val="auto"/>
        </w:rPr>
      </w:pPr>
    </w:p>
    <w:p>
      <w:pPr>
        <w:jc w:val="both"/>
        <w:ind w:firstLine="49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Cell-based therapies and biologics rely on the availability of biological raw materials (including live cells), chemicals and agents used for manufacturing, reagents, specialized equipment, and other specialty materials, which may not be available to us on acceptable terms or at all. For each of these we rely or may rely on treatment sites, limited manufacturers, sole source vendors or a limited number of vendors, which could impair our ability to manufacture and supply our products.</w:t>
      </w:r>
    </w:p>
    <w:p>
      <w:pPr>
        <w:spacing w:after="0" w:line="140"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Manufacturing our products and product candidates requires live cells among other biological raw materials, chemicals and agents used for manufacturing.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48"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For each of these biological raw materials (including live cells), chemicals and agents used for manufacturing, reagents, equipment, and materials, we rely and may in the future rely on treatment sites, limited manufacturers,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62"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comparability studies and to collect additional data from patients prior to undertaking more advanced clinical trials.</w:t>
      </w:r>
    </w:p>
    <w:p>
      <w:pPr>
        <w:spacing w:after="0" w:line="144"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3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clinical trial period, the number of patients the FDA will require to be enrolled in the clinical trials in order to establish the safety, efficacy, purity and potency of immunotherapy products, or that the data generated in these clinical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43"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w:t>
      </w:r>
    </w:p>
    <w:p>
      <w:pPr>
        <w:spacing w:after="0" w:line="16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Cell based therapies may take longer to attain insurance coverage, and although we may apply for special government programs and prepare the market for product approval, there is no way to ensure that healthcare providers, insurance companies, or other third parties will reimburse our product at an expeditious rate. Even if we obtain insurance coverage for our product from payors, coverage at treatment centers will require payment for the total cost of care which involves surgery, conditioning chemotherapy, as well as other staffing and hospitalization needs. This will require coordination between authorized treatment centers and other payors including government payors that may only cover a portion of charges. If our treatment centers do not successfully obtain coverage in time, there may be a slow uptake or variable or limited access, if at all, to our therapies.</w:t>
      </w:r>
    </w:p>
    <w:p>
      <w:pPr>
        <w:spacing w:after="0" w:line="14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4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TIL cell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spacing w:after="0" w:line="14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assurance can be given that the Gen 2 manufacturing process or other processes we have selected will be FDA-compliant or more efficient and will lower the cost to manufacture TIL products.</w:t>
      </w:r>
    </w:p>
    <w:p>
      <w:pPr>
        <w:spacing w:after="0" w:line="118"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developed and are developing improved methods for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As a novel therapy, TIL manufacturing and product release is complex and must evolve with both industry-wide autologous cell therapy challenges and new regulatory requirements that may result in delays and unexpected denials.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we and our third-party manufacturers will have to continually adhere to current cGMP regulations enforced by the FDA through its facilities inspection program. If our facilities or any of the facilities of these manufacturers cannot demonstrate adequate assurance of compliance with FDA standards during a pre-approval inspection, the FDA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If product liability lawsuits are brought against us, whether or not meritorious, we may incur substantial liabilities and may be required to limit or halt commercialization of our products and/or product candidates.</w:t>
      </w:r>
    </w:p>
    <w:p>
      <w:pPr>
        <w:spacing w:after="0" w:line="134"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and manufacture of our product candidates for human trials, and we currently face an even greater risk as we commercialize products and engage in the quality testing and release of products. For example, we may be sued if our products and/or product candidates cause, are perceived, or alleged to cause injury or are found to be otherwise unsuitable during clinical testing, manufacturing, marketing, or sale, whether or not trial participants or patients are predisposed to adverse outcomes. Furthermore, if physicians and/or hospitals are not sufficiently trained in the use of our products or therapies, whether clinical or commercialized, they may misuse or ineffectively use our products or related products for our therapies, which may result in unsatisfactory patient outcomes or patient injury. Any such product liability claims may include allegations of defects in manufacturing, defects in design, defects in quality control measures, a failure to warn of dangers inherent in the product, negligence, strict liability, and/or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or halt commercialization of our products and/or product candidates. Even a successful defense would require significant financial and management resources. Regardless of the merits or eventual outcome, liability claims may result in:</w:t>
      </w:r>
    </w:p>
    <w:p>
      <w:pPr>
        <w:spacing w:after="0" w:line="160" w:lineRule="exact"/>
        <w:rPr>
          <w:sz w:val="20"/>
          <w:szCs w:val="20"/>
          <w:color w:val="auto"/>
        </w:rPr>
      </w:pPr>
    </w:p>
    <w:p>
      <w:pPr>
        <w:ind w:left="820" w:hanging="32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or interrupted demand for our products and/or product candidates;</w:t>
      </w:r>
    </w:p>
    <w:p>
      <w:pPr>
        <w:spacing w:after="0" w:line="27"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sites and potential termination of clinical trial sites or entire clinical programs;</w:t>
      </w:r>
    </w:p>
    <w:p>
      <w:pPr>
        <w:spacing w:after="0" w:line="9" w:lineRule="exact"/>
        <w:rPr>
          <w:rFonts w:ascii="Times New Roman" w:cs="Times New Roman" w:eastAsia="Times New Roman" w:hAnsi="Times New Roman"/>
          <w:sz w:val="18"/>
          <w:szCs w:val="18"/>
          <w:color w:val="auto"/>
        </w:rPr>
      </w:pPr>
    </w:p>
    <w:p>
      <w:pPr>
        <w:jc w:val="both"/>
        <w:ind w:left="820" w:hanging="320"/>
        <w:spacing w:after="0" w:line="250" w:lineRule="auto"/>
        <w:tabs>
          <w:tab w:leader="none" w:pos="8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 (including investigation of the safety and effectiveness of our products, our manufacturing processes and facilities, or our marketing programs), refusal to approve marketing applications or supplements, warnings, and withdrawal or other limitations on product approvals;</w:t>
      </w:r>
    </w:p>
    <w:p>
      <w:pPr>
        <w:spacing w:after="0" w:line="1"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prepare for and defend the related litigation;</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clinical trial participants or patients;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restrictions on labeling, marketing, or promotions;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price of our stock and overall value of our company;</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our available insurance coverage and our capital resources; and/or</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 or inability to commercialize our product candidates or achieve adequate revenue from our products.</w:t>
      </w:r>
    </w:p>
    <w:p>
      <w:pPr>
        <w:spacing w:after="0" w:line="166"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and/or scope of coverage to protect against potential product liability claims could prevent or inhibit the commercialization of products we develop, alone or with corporate collaborators. Our insurance policies may also have various exclusions and/or deductibles, and we may be subject to a product liability or bodily injury claim for which we have no coverage or for which the insurance carrier disputes the scope of coverage. Furthermore, any product liability claim brought against us, with or without merit, could result in the increase of our product liability insurance rates or the inability to secure coverage in the future. Although we currently have product liability insurance that we believe is appropriate for our stage of development, we may need to obtain higher levels to cover marketing any of our approved products. In addition, we may have to pay amounts awarded by a court or negotiated in a settlement that exceed our coverage limitations or that are not covered by our insurance, and we may not have, or be able to obtain, sufficient capital to pay such amounts. We anticipate that we will need to increase our insurance coverage as we commence additional clinical trials and as we commercialize product candidates that have been or may be approved. If we determine that it is prudent to increase our product liability coverage, we may be unable to obtain such increased coverage on acceptable terms, or at all. The market for insurance coverage is increasingly expensive, and the costs of insurance coverage will increase as our clinical programs and commercialization efforts increase in size. Furthermore, even if our agreements with corporate collaborators entitle us to indemnification against product liability losses, such indemnification may not be available or adequate should any claim arise.</w:t>
      </w:r>
    </w:p>
    <w:p>
      <w:pPr>
        <w:spacing w:after="0" w:line="15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Any claims against us, regardless of their merit, could severely harm our financial condition, strain our management and other resources, adversely affect or eliminate the prospects for commercialization or sales of a product that is the subject of any such claim, and could have a material adverse effect on our business, financial condition, results of operations, and growth prospects.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from non-profit institutions.</w:t>
      </w:r>
    </w:p>
    <w:p>
      <w:pPr>
        <w:spacing w:after="0" w:line="18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56" w:lineRule="exact"/>
        <w:rPr>
          <w:sz w:val="20"/>
          <w:szCs w:val="20"/>
          <w:color w:val="auto"/>
        </w:rPr>
      </w:pPr>
    </w:p>
    <w:p>
      <w:pPr>
        <w:ind w:left="820" w:hanging="320"/>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safer, more convenient or more effective immunotherapies and other therapeutic products;</w:t>
      </w:r>
    </w:p>
    <w:p>
      <w:pPr>
        <w:spacing w:after="0" w:line="27"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therapies that are less expensive or have better reimbursement from private or public payors;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the market more rapidly, reducing the potential sales of our products; or</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superior proprietary positions.</w:t>
      </w:r>
    </w:p>
    <w:p>
      <w:pPr>
        <w:spacing w:after="0" w:line="166"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Due to the promising clinical therapeutic effect of competitor therapies in clinical exploratory trials, we anticipate substantial direct competition from other organizations developing advanced T-cell therapies targeting patients who have received prior anti-PD-1/PD-L1 therapies. In particular, we expect to compete with other new therapies for our lead indications developed by companies such as Agenus, BeyondSpring, Bristol-Myers Squibb, Merck, Nektar Therapeutics, Checkmate Pharmaceuticals, Daiichi Sankyo, Eisai, Exelixis, Moderna, OncoSec Medical, Replimune, Regeneron Pharmaceuticals, Pfizer, and Genmab. We also may compete with other TIL cell therapies in development by companies such as Instil Bio, Achilles Therapeutics, KSQ Therapeutics, Obsidian Therapeutics, Immatics, TILT Biotherapeutics, WindMIL Therapeutics, GRIT Biotechnology, Lyell Immunopharma, Cellular Biomedicine Group, and others. We also may compete with therapies based on genetically engineered T-cell receptors rendered reactive against tumor-associated antigens prior to their administration to patients, as well as TIL cell therapies that are designed to be specific to neoantigens, including products developed by Adaptimmune Therapeutics, Alaunos Therapeutics, Intima Bioscience, Marker Therapeutics, Turnstone Biologics, Neogene, and others. To date, these technologies have been primarily applicable to hematologic malignancies, but their application in solid tumor indications may create competition with us. We may also face competition from immunotherapy treatments offered by companies such as Amgen, AstraZeneca, Bristol-Myers Squibb, Merck, Pfizer, Regeneron Pharmaceuticals, Roche, and BioNTech. We may also face competition from novel IL-2 treatments in development by Alkermes, Werewolf, Nektar Therapeutics, Merck, Sanofi, Neoleukin Therapeutics and others.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4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Universities and public and private research institutions in the U.S. and Europe are also potential competitors. For example, a Phase 3 M14TIL clinical trial comparing TIL to standard ipilimumab in patients with metastatic melanoma is currently being conducted in Europe by the Netherlands Cancer Institute, the Copenhagen County Herlev University Hospital, and the University of Manchester. Results from the M14TIL clinical trial were presented at the European Society for Medical Oncology Congress in September 2022.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6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Our lead product Amtagvi™ is an approved therapy for the treatment of metastatic melanoma and a candidate for the treatment of other cancers. Currently, there are numerous companies that are developing various alternate treatments for melanoma and other cancers, including patients that have progressed after prior treatment with checkpoint inhibitors and chemotherapy. Accordingly, Amtagvi™ faces significant competition in the melanoma and other cancer treatment space from multiple companies. Even after obtaining regulatory approval for Amtagvi™,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3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projections regarding the market opportunities for our products and product candidates may not be accurate, and the actual market for our products and product candidates may be smaller than we estimate.</w:t>
      </w:r>
    </w:p>
    <w:p>
      <w:pPr>
        <w:spacing w:after="0" w:line="13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projections of both the number of people who have the advanced cancers we are targeting as well as the subset of people with metastatic or unresectable cancers and who have the potential to benefit from treatment with our products or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products and product candidates may be limited or may not be amenable to treatment with our products or product candidates and may also be limited by the cost of our treatments and the reimbursement of those treatment costs by third-party payors. For instance, we expect Amtagvi™ to initially target a small patient population that suffers from metastatic melanoma. Even if we obtain significant market share for our products or product candidates, because the potential target populations are small, we may never achieve profitability without obtaining regulatory approval for additional indications.</w:t>
      </w:r>
    </w:p>
    <w:p>
      <w:pPr>
        <w:spacing w:after="0" w:line="147"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establish effective marketing and sales capabilities or enter into agreements with third parties to market and sell our products and product candidates, if they are approved, and as a result, we may be unable to generate significant product revenues.</w:t>
      </w:r>
    </w:p>
    <w:p>
      <w:pPr>
        <w:spacing w:after="0" w:line="134"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currently have a small commercial team focused on our commercial strategy, but we do not have a large commercial infrastructure for the marketing, sale, and distribution of biopharmaceutical products.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65"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In addition to marketing our product, we will need to establish authorized treatment centers that will be able to obtain patients from the broader community and provide access to our therapies. Even if we are able to obtain approval for a product candidate, we may not be able to approve enough treatment centers for the provision of our product to a broad patient population. Additionally, certain areas do not have hospitals with the facilities to safely administer our therapy. Accordingly, we may only be able to launch our products with a limited number of treatment centers, which could ultimately reduce the uptake of our products. Although we have a team allocated to authorize and monitor our treatment centers, substantial resources and investment from us and each treatment center may be required. Additionally, the treatment center onboarding process can be complicated and requires extensive training, technical equipment, and coordination of processes. Once authorized, treatment centers will be required to ensure that their training, facilities, and treatment capabilities are adequately maintained.</w:t>
      </w:r>
    </w:p>
    <w:p>
      <w:pPr>
        <w:spacing w:after="0" w:line="148"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have limited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products and product candidates and generate significant product revenues include:</w:t>
      </w:r>
    </w:p>
    <w:p>
      <w:pPr>
        <w:spacing w:after="0" w:line="148" w:lineRule="exact"/>
        <w:rPr>
          <w:sz w:val="20"/>
          <w:szCs w:val="20"/>
          <w:color w:val="auto"/>
        </w:rPr>
      </w:pPr>
    </w:p>
    <w:p>
      <w:pPr>
        <w:ind w:left="820" w:hanging="320"/>
        <w:spacing w:after="0" w:line="282" w:lineRule="auto"/>
        <w:tabs>
          <w:tab w:leader="none" w:pos="8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COVID-19 pandemic continues or reoccurs it may negatively impact our ability to establish commercial operations, educate and interact with healthcare professionals, and successfully launch our product on a timely basis;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hanging="320"/>
        <w:spacing w:after="0" w:line="261" w:lineRule="auto"/>
        <w:tabs>
          <w:tab w:leader="none" w:pos="8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our current or future product candidates;</w:t>
      </w:r>
    </w:p>
    <w:p>
      <w:pPr>
        <w:ind w:left="820" w:hanging="320"/>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9"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time associated with the initial and ongoing training of sales and marketing personnel on legal and regulatory compliance matters and monitoring their actions;</w:t>
      </w:r>
    </w:p>
    <w:p>
      <w:pPr>
        <w:ind w:left="820" w:hanging="320"/>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coverage and reimbursement by government and private health plans;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claims that we may make for the products;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9"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to which we agree as part of a mandatory REMS or voluntary risk management plan;</w:t>
      </w:r>
    </w:p>
    <w:p>
      <w:pPr>
        <w:ind w:left="820" w:hanging="320"/>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9"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ind w:left="820" w:hanging="320"/>
        <w:spacing w:after="0" w:line="260" w:lineRule="auto"/>
        <w:tabs>
          <w:tab w:leader="none" w:pos="8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137" w:lineRule="exact"/>
        <w:rPr>
          <w:sz w:val="20"/>
          <w:szCs w:val="20"/>
          <w:color w:val="auto"/>
        </w:rPr>
      </w:pPr>
    </w:p>
    <w:p>
      <w:pPr>
        <w:jc w:val="both"/>
        <w:ind w:right="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or product candidates do not achieve broad market acceptance, the revenues that we generate from their sales will be limited.</w:t>
      </w:r>
    </w:p>
    <w:p>
      <w:pPr>
        <w:spacing w:after="0" w:line="124" w:lineRule="exact"/>
        <w:rPr>
          <w:sz w:val="20"/>
          <w:szCs w:val="20"/>
          <w:color w:val="auto"/>
        </w:rPr>
      </w:pPr>
    </w:p>
    <w:p>
      <w:pPr>
        <w:jc w:val="both"/>
        <w:ind w:firstLine="492"/>
        <w:spacing w:after="0" w:line="241" w:lineRule="auto"/>
        <w:rPr>
          <w:sz w:val="20"/>
          <w:szCs w:val="20"/>
          <w:color w:val="auto"/>
        </w:rPr>
      </w:pPr>
      <w:r>
        <w:rPr>
          <w:rFonts w:ascii="Times New Roman" w:cs="Times New Roman" w:eastAsia="Times New Roman" w:hAnsi="Times New Roman"/>
          <w:sz w:val="18"/>
          <w:szCs w:val="18"/>
          <w:color w:val="auto"/>
        </w:rPr>
        <w:t>Until the closing of the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acquisition in May 2023, we had never commercialized a product candidate for any indication. Even after our products and product candidates are approved by the appropriate regulatory authorities for marketing and sale, they may not gain acceptance among physicians, patients, third-party payors, and others in the medical community. If any product or product candidate for which we obtain regulatory approval does not gain an adequate level of market acceptance, we may not generate significant product revenues or become profitable. Market acceptance of our products and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56"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products and product candidates may require significant resources and may not be successful. If any of our products or product candidates does not achieve an adequate level of market acceptance, we may not generate significant revenues and we may not become profitable. The degree of market acceptance of any of our products and product candidates will depend on a number of factors, including:</w:t>
      </w:r>
    </w:p>
    <w:p>
      <w:pPr>
        <w:spacing w:after="0" w:line="139" w:lineRule="exact"/>
        <w:rPr>
          <w:sz w:val="20"/>
          <w:szCs w:val="20"/>
          <w:color w:val="auto"/>
        </w:rPr>
      </w:pPr>
    </w:p>
    <w:p>
      <w:pPr>
        <w:ind w:left="820" w:hanging="32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products and product candidates;</w:t>
      </w:r>
    </w:p>
    <w:p>
      <w:pPr>
        <w:spacing w:after="0" w:line="27"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products or product candidates;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9"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approved product’s FDA-required labeling, including potential limitations or warnings for such products that may be more restrictive than other competitive products;</w:t>
      </w:r>
    </w:p>
    <w:p>
      <w:pPr>
        <w:ind w:left="820" w:hanging="32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products and product candidates;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difficulty of administration of such products and product candidates;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9"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ind w:left="820" w:hanging="32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products and product candidates;</w:t>
      </w:r>
    </w:p>
    <w:p>
      <w:pPr>
        <w:spacing w:after="0" w:line="9" w:lineRule="exact"/>
        <w:rPr>
          <w:rFonts w:ascii="Times New Roman" w:cs="Times New Roman" w:eastAsia="Times New Roman" w:hAnsi="Times New Roman"/>
          <w:sz w:val="18"/>
          <w:szCs w:val="18"/>
          <w:color w:val="auto"/>
        </w:rPr>
      </w:pPr>
    </w:p>
    <w:p>
      <w:pPr>
        <w:ind w:left="820" w:right="20" w:hanging="320"/>
        <w:spacing w:after="0" w:line="250" w:lineRule="auto"/>
        <w:tabs>
          <w:tab w:leader="none" w:pos="8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ind w:left="820" w:right="20" w:hanging="320"/>
        <w:spacing w:after="0" w:line="250" w:lineRule="auto"/>
        <w:tabs>
          <w:tab w:leader="none" w:pos="8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products and product candidates or to which we agree as part of a mandatory risk evaluation and mitigation strategy or voluntary risk management plan;</w:t>
      </w:r>
    </w:p>
    <w:p>
      <w:pPr>
        <w:ind w:left="820" w:hanging="32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products and product candidates, as well as competitive products;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products and product candidates for sale at competitive prices;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8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on the benefits of our products and product candidates may require significant resources and may never be successful. Even if the medical community accepts that our products and product candidates are safe and effective for their approved indications, physicians and patients may not immediately be receptive to such products or product candidates and may be slow to adopt them as an accepted treatment of the approved indications. If our current or future products and product candidates are approved but do not achieve an adequate level of acceptance among physicians, patients, and third-party payors, we may not generate meaningful revenues from our product candidates, and we may not become profitable.</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face competition sooner than anticipated.</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enactment of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4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products and product candidates may qualify for the BPCIA’s 12-year period of exclusivity. However, there is a risk that the FDA will not consider our products and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15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of any proposed proprietary branded product names, and any failure or delay associated with such approval may adversely affect our business.</w:t>
      </w:r>
    </w:p>
    <w:p>
      <w:pPr>
        <w:spacing w:after="0" w:line="118"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Any name we intend to use for our products and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proprietary product names, we may be required to adopt alternative names for our products and/or product candidates. If we adopt alternative names, we would lose the benefit of any existing trademark applications for such product and/or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products and product candidates.</w:t>
      </w:r>
    </w:p>
    <w:p>
      <w:pPr>
        <w:spacing w:after="0" w:line="136"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34"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As a condition of biologic licensing, the FDA is authorized to require that sponsors of approved BLAs implement various post-market requirements, including REMS and Phase 4 studies. For example, we reached an agreement with the FDA regarding a confirmatory trial to support full approval of lifileucel in post-anti-PD-1 advanced melanoma, which we refer to as TILVANCE-301. We began startup activities for the randomized Phase 3 TILVANCE-301 trial in the fourth quarter of 2022.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requirements, we will likely need to invest a significant amount of time, effort, and money. Such post-approval requirements may also limit the commercial prospects of our products and product candidates.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and capabilities of our organization, and we may experience difficulties in managing this growth.</w:t>
      </w:r>
    </w:p>
    <w:p>
      <w:pPr>
        <w:spacing w:after="0" w:line="202"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w:t>
      </w:r>
    </w:p>
    <w:p>
      <w:pPr>
        <w:spacing w:after="0" w:line="147"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For example, we continue to recruit a new Chief Executive Officer.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39" w:lineRule="exact"/>
        <w:rPr>
          <w:sz w:val="20"/>
          <w:szCs w:val="20"/>
          <w:color w:val="auto"/>
        </w:rPr>
      </w:pPr>
    </w:p>
    <w:p>
      <w:pPr>
        <w:ind w:left="820" w:hanging="320"/>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27"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ind w:left="820" w:hanging="320"/>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80"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35"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5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4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products will be significantly impacted and we may be subject to regulatory sanctions.</w:t>
      </w:r>
    </w:p>
    <w:p>
      <w:pPr>
        <w:spacing w:after="0" w:line="14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may retain third-party service providers to perform a variety of functions related to the sale and distribution of our current or future products,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or sufficiently expand our manufacturing capacity to meet demand for our products.</w:t>
      </w:r>
    </w:p>
    <w:p>
      <w:pPr>
        <w:spacing w:after="0" w:line="202"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As noted above, we have never manufactured our adoptive cell therapy product candidates on a commercial scale, nor have our partners. We anticipate expanding manufacturing capacity at our iCTC facility and/or at our contract manufacturer, WuXi. Scale-up of manufacturing may require additional validation studies, including capacity demonstration and/or comparability studies, each of which are subject to FDA review, potential inspection, and approval. Moreover, current geopolitical tensions with China may impact our ability to expand manufacturing capacity at our contract manufacturer, WuXi. Recently, the Biden administration has signed multiple executive orders regarding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Additionally, there have been Congressional legislative proposals, such as the recent bill titled the Biosecure Act, to discourage contracting with Chinese companies on the development or manufacturing of pharmaceutical products. Finally, in February 2024, the chair and ranking member of the House Select Committee on the Chinese Communist Party, Representatives Mike Gallagher and Raja Krishnamoorthi, respectively, along with Senators Gary Peters and Bill Haggerty sent a letter to the Biden administration requesting that both WuXi AppTec Co., Ltd., WuXi’s parent company, and the affiliated WuXi Biologics be added to the Department of Defense’s Chinese Military Companies List (1260H list), the Department of Commerce’s Bureau of Industry and Security Entity List, and the Department of Treasury’s Non-SDN Chinese Military-Industrial Complex Companies List. While the Biden administration has yet to take action on this letter, adding either or both previously mentioned WuXi entities on any or all of the aforementioned lists could materially impact our MSA with WuXi.</w:t>
      </w:r>
    </w:p>
    <w:p>
      <w:pPr>
        <w:spacing w:after="0" w:line="154"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Regardless, any expansion of our manufacturing capability will also require us to invest substantial additional funds to hire and retain the technical personnel who have the necessary manufacturing experience. As a result, we may not be able to successfully or sufficiently increase the manufacturing capacity for our product candidates or modify our manufacturing processes. If we are unable to successfully increase the manufacturing capacity for a product candidate (as a result of lack of approval from, or capacity limitations imposed by, the FDA, or otherwise), the resulting capacity limitations could have a material adverse effect on our results of operations and financial condition. In addition, if we are unable to successfully or sufficiently increase the manufacturing capacity at the iCTC facility to meet demand in a timely or economic manner, or at all, we may be dependent upon the performance and capacity of third-party manufacturers. Accordingly, we face risks of capacity limitations of, difficulties with, increased costs of, and interruptions in performance by third-party manufacturers, the occurrence of which could negatively impact the availability, launch, and/or sales of our products in the future, as well as on our results of operations and financial condition.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98" w:lineRule="exact"/>
        <w:rPr>
          <w:sz w:val="20"/>
          <w:szCs w:val="20"/>
          <w:color w:val="auto"/>
        </w:rPr>
      </w:pPr>
    </w:p>
    <w:p>
      <w:pPr>
        <w:jc w:val="both"/>
        <w:ind w:right="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success of our product candidates and cannot guarantee that these product candidates will successfully complete development, receive regulatory approval, or be successfully commercialized.</w:t>
      </w:r>
    </w:p>
    <w:p>
      <w:pPr>
        <w:spacing w:after="0" w:line="105"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We currently have two products approved for commercial sale. We have invested a significant portion of our efforts and financial resources in the development of our current product and/ or product candidates, including Amtagvi™, LN-145, IOV-4001, IOV-2001, and IOV-3001, and expect that we will continue to invest heavily in our current product candidates, as well as in any future product candidates we may develop. Our business depends on the successful development and commercialization of our product candidates. Our ability to generate revenues in the future is substantially dependent on our ability to develop, obtain regulatory approval for, and then successfully commercialize our product candidates. We currently generate no revenue from the sale of any products that are in development, and we may never be able to develop or commercialize these potential products.</w:t>
      </w:r>
    </w:p>
    <w:p>
      <w:pPr>
        <w:spacing w:after="0" w:line="135"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including the negative impact of the COVID-19 pandemic. Additionally, the costs associated with development of cell therapy products may be significant due to the length of treatment and the supportive therapies provided to the patient during the treatment process. Supportive therapies may impact costs and patient viability and may potentially limit availability.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We are not permitted to market or promote any of our product candidates before we receive regulatory approval from the FDA or comparable foreign regulatory authorities, and we may never receive such regulatory approval for many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U.S. in the foreseeable future, or at all. Any significant delays in obtaining approval for and commercializing our product candidates will have a material adverse impact on our business and financial condition.</w:t>
      </w:r>
    </w:p>
    <w:p>
      <w:pPr>
        <w:spacing w:after="0" w:line="133"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Our products rely on coordination and collaboration with treatment centers that perform surgical procedures, obtain and provide lymphodepleting chemotherapy, and deliver other care to patients that are often in poor health as a result of the latter stages of cancer. This coordination of care is complicated in both the clinical trial setting and the commercial setting. Our treatment centers may not be able to obtain necessary supplies, such as lymphodepleting chemotherapy agents, because of shortages. If commercialized, our products will rely heavily on our ability to train centers and the centers’ ability to choose suitable patients and deliver a complex regimen. We may be reliant on physicians with limited experience with TIL products and the associated regimens. Although we will make efforts to train hospitals and provide processes that must be followed precisely, there is no way to ensure that all institutions will be able to perform at a high level in all aspects of the coordination of care. Patients may progress in the course of their disease or may experience serious adverse events from our products or supportive regimens while undergoing or awaiting treatment with our therapies.</w:t>
      </w:r>
    </w:p>
    <w:p>
      <w:pPr>
        <w:spacing w:after="0" w:line="134"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Prior to our completion of a rolling BLA submission for lifileucel in March 2023 and its acceptance by the FDA in May 2023, we had not previously submitted a BLA to the FDA, or a similar marketing application to comparable foreign authorities, for any product candidate, and we cannot be certain that our current or any future product candidates will be successful in clinical trials or receive regulatory approval. Furthermore, although we have not submitted our BLA with comparisons to existing or more established therapies and likewise do not expect the FDA to base its determination with respect to product approval on such comparisons, the FDA may factor these comparisons into its decision whether to approve our TIL cell therapies. The FDA may also consider its approvals of competing products, which may alter the treatment landscape concurrently with their review of our BLA filings, and which may lead to changes in the FDA’s review requirements that have been previously communicated to us and our interpretation thereof, including changes to requirements for clinical data or clinical trial design. Such challenges and variabilities could delay approval or necessitate withdrawal of our BLA filings.</w:t>
      </w:r>
    </w:p>
    <w:p>
      <w:pPr>
        <w:spacing w:after="0" w:line="140"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22"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revenues from our product candidates will depend on our ability to:</w:t>
      </w:r>
    </w:p>
    <w:p>
      <w:pPr>
        <w:spacing w:after="0" w:line="121" w:lineRule="exact"/>
        <w:rPr>
          <w:sz w:val="20"/>
          <w:szCs w:val="20"/>
          <w:color w:val="auto"/>
        </w:rPr>
      </w:pPr>
    </w:p>
    <w:p>
      <w:pPr>
        <w:ind w:left="680" w:right="20" w:hanging="321"/>
        <w:spacing w:after="0" w:line="273"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 candidates competitively such that third-party and government reimbursement leads to broad product adoption;</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broad network of clinical sites for administration of our product;</w:t>
      </w:r>
    </w:p>
    <w:p>
      <w:pPr>
        <w:spacing w:after="0" w:line="4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 and monitor sites for product delivery and consistent flow of appropriate patients;</w:t>
      </w:r>
    </w:p>
    <w:p>
      <w:pPr>
        <w:spacing w:after="0" w:line="36" w:lineRule="exact"/>
        <w:rPr>
          <w:rFonts w:ascii="Times New Roman" w:cs="Times New Roman" w:eastAsia="Times New Roman" w:hAnsi="Times New Roman"/>
          <w:sz w:val="18"/>
          <w:szCs w:val="18"/>
          <w:color w:val="auto"/>
        </w:rPr>
      </w:pPr>
    </w:p>
    <w:p>
      <w:pPr>
        <w:ind w:left="680" w:right="20" w:hanging="321"/>
        <w:spacing w:after="0" w:line="273"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spacing w:after="0" w:line="1" w:lineRule="exact"/>
        <w:rPr>
          <w:rFonts w:ascii="Times New Roman" w:cs="Times New Roman" w:eastAsia="Times New Roman" w:hAnsi="Times New Roman"/>
          <w:sz w:val="18"/>
          <w:szCs w:val="18"/>
          <w:color w:val="auto"/>
        </w:rPr>
      </w:pPr>
    </w:p>
    <w:p>
      <w:pPr>
        <w:ind w:left="680" w:hanging="321"/>
        <w:spacing w:after="0" w:line="273"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approvals to deliver the therapies to a sufficiently sized patient population;</w:t>
      </w:r>
    </w:p>
    <w:p>
      <w:pPr>
        <w:spacing w:after="0" w:line="36"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commercialize our products;</w:t>
      </w:r>
    </w:p>
    <w:p>
      <w:pPr>
        <w:spacing w:after="0" w:line="49" w:lineRule="exact"/>
        <w:rPr>
          <w:rFonts w:ascii="Times New Roman" w:cs="Times New Roman" w:eastAsia="Times New Roman" w:hAnsi="Times New Roman"/>
          <w:sz w:val="18"/>
          <w:szCs w:val="18"/>
          <w:color w:val="auto"/>
        </w:rPr>
      </w:pPr>
    </w:p>
    <w:p>
      <w:pPr>
        <w:ind w:left="680" w:hanging="321"/>
        <w:spacing w:after="0" w:line="273"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 candidates through CMOs or in our own manufacturing facility in sufficient quantities and at acceptable quality and manufacturing cost to meet commercial demand at launch and thereafter;</w:t>
      </w:r>
    </w:p>
    <w:p>
      <w:pPr>
        <w:spacing w:after="0" w:line="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patent and trade secret protection and regulatory exclusivity for our product candidates;</w:t>
      </w:r>
    </w:p>
    <w:p>
      <w:pPr>
        <w:spacing w:after="0" w:line="4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by patients, the medical community, and third-party payors;</w:t>
      </w:r>
    </w:p>
    <w:p>
      <w:pPr>
        <w:spacing w:after="0" w:line="36"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appropriate reimbursement for our product candidates;</w:t>
      </w:r>
    </w:p>
    <w:p>
      <w:pPr>
        <w:spacing w:after="0" w:line="49" w:lineRule="exact"/>
        <w:rPr>
          <w:rFonts w:ascii="Times New Roman" w:cs="Times New Roman" w:eastAsia="Times New Roman" w:hAnsi="Times New Roman"/>
          <w:sz w:val="18"/>
          <w:szCs w:val="18"/>
          <w:color w:val="auto"/>
        </w:rPr>
      </w:pPr>
    </w:p>
    <w:p>
      <w:pPr>
        <w:ind w:left="680" w:right="20" w:hanging="321"/>
        <w:spacing w:after="0" w:line="273"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payor coverage at rates that will enable the market to adopt our product and enable sites to deliver the entire therapy to patients;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third party logistics providers that will successfully distribute our products;</w:t>
      </w:r>
    </w:p>
    <w:p>
      <w:pPr>
        <w:spacing w:after="0" w:line="36" w:lineRule="exact"/>
        <w:rPr>
          <w:rFonts w:ascii="Times New Roman" w:cs="Times New Roman" w:eastAsia="Times New Roman" w:hAnsi="Times New Roman"/>
          <w:sz w:val="18"/>
          <w:szCs w:val="18"/>
          <w:color w:val="auto"/>
        </w:rPr>
      </w:pPr>
    </w:p>
    <w:p>
      <w:pPr>
        <w:ind w:left="680" w:right="20" w:hanging="321"/>
        <w:spacing w:after="0" w:line="273"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further capable of timely product delivery to commercial clinical sites;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or competitors; and</w:t>
      </w:r>
    </w:p>
    <w:p>
      <w:pPr>
        <w:spacing w:after="0" w:line="4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launch, ensure that our product will be used as directed and that additional unexpected safety risks will not arise.</w:t>
      </w:r>
    </w:p>
    <w:p>
      <w:pPr>
        <w:spacing w:after="0" w:line="221"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18"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We are currently developing lifileucel as part of a regimen which uses IL-2. We and our collaborators are also clinical trialing TIL cell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clinical trials could show that any positive results are attributable to the already approved product. Moreover, following product approval, the FDA may require that products used in conjunction with each other be cross labeled for combined use. Additionally, the FDA review process can be more complicated for combination products, and may result in delays, particularly if complex therapeutics are involved.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45"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product designation, BTD,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48"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were granted Fast Track designation by the FDA for lifileucel in metastatic melanoma and metastatic cervical cancer, as well as for lifileucel in combination with pembrolizumab in advanced melanoma. We were granted BTD for lifileucel for metastatic cervical cancer and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47"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lifileucel has received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34"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received ODD in the U.S. for lifileucel to treat malignant melanoma stages IIB-IV and cervical cancer patients with tumors greater than 2 cm. We may also seek ODD for our other product candidates, as appropriate. ODD, however, may be lost if the indication for which we develop our designated product candidates does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condition if the FDA concludes that the later product is clinically superior in that it is shown to be safer or more effective or makes a major contribution to patient care.</w:t>
      </w:r>
    </w:p>
    <w:p>
      <w:pPr>
        <w:spacing w:after="0" w:line="12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Moreover, the FDA may grant ODDs to multiple of the same products for the same indication. If another sponsor receives FDA approval for an ODD-designated product that is the same as our product candidates and intended for the same indication before we do, we would be prevented from launching our product in the U.S. for this indication for a period of at least 7 years. 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Clinical Trials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due to the need to rely on third parties, including clinical trial sites.</w:t>
      </w:r>
    </w:p>
    <w:p>
      <w:pPr>
        <w:spacing w:after="0" w:line="18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We are heavily reliant on third parties to conduct our clinical trials. We have a limited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As a result of the COVID-19 pandemic, institutions and research sites that currently conduct clinical trials may not be able to return to normal clinical trial operations for some time or may no longer choose to participate in studies in the future. Furthermore, clinical trials may be delayed or otherwise may be more difficult to execute in the future.</w:t>
      </w:r>
    </w:p>
    <w:p>
      <w:pPr>
        <w:spacing w:after="0" w:line="167"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spacing w:after="0" w:line="147"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 xml:space="preserve">Large-scale clinical trials require significant financial and management resources, and reliance on third-party clinical investigators, CROs, CMOs, or consultants. Relying on third-party clinical investigators, CROs, or CMOs may force us to encounter delays and challenges that are outside of our control. In addition to manufacturing TIL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we rely on a CMO in the U.S. and Europe to manufacture TIL for use in our clinical trials and commercial use upon approval. We may not be able to demonstrate sufficient comparability between products manufactured at different facilities to allow for inclusion of the clinical results from patients treated with products from these different facilities, or with our own manufacturing facility, in our product registrations, or to allow for use of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at the time of launch. Further, our CMOs may not be able to manufacture TIL or otherwise fulfill their obligations to us because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interruptions to their business, including the loss of their key staff or interruptions to their raw material supply.</w:t>
      </w:r>
    </w:p>
    <w:p>
      <w:pPr>
        <w:spacing w:after="0" w:line="151"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6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 not relieve us of these oversight responsibilities. For example, we will remain responsible for ensuring that each of our clinical trials is conducted in accordance with the general</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investigational plan and protocols for the clinical trial and for ensuring that our preclinical studies are conducted in accordance with Good Laboratory Practices, or GLPs, as appropriate. Moreover, the FDA and comparable foreign regulatory authorities require us to comply with Good Clinical Practices, or GCPs, for conducting, recording, and reporting the results of clinical trials to assure that data and reported results are credible and accurate and that the rights, integrity, and confidentiality of clinical trial participants are protected. Regulatory authorities enforce these requirements through periodic inspections (including pre-approval inspections upon completion of a BLA filing with the FDA) of clinical trial sponsors, clinical investigators, clinical trial sites and certain third parties including CMOs.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pacing w:after="0" w:line="151"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addition, our clinical trials must be conducted with product candidates that were produced under cGMP.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156"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addition, our clinical trials must be conducted with product candidates that were produced under cGMP.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143"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clinical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47"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alternative arrangements or do so on commercially reasonable terms. Switching or adding additional contractors involves additional costs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60"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commercialization of our product candidates, if approved, producing additional losses and depriving us of potential product revenue.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may not be able to conduct our clinical trials on the timelines we expect, and we may be required to conduct additional clinical trials or modify current or future clinical trials based on feedback we receive from the FDA.</w:t>
      </w:r>
    </w:p>
    <w:p>
      <w:pPr>
        <w:spacing w:after="0" w:line="134"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Clinical testing is expensive, time consuming, and subject to uncertainty. We cannot guarantee that any current or future clinical trials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completed enrollment in the pivotal clinical trial for melanoma, C-144-01, and in June 2022, we announced that initial Cohort 4 data read by the independent review committee, or IRC, met the primary endpoint in this clinical trial. In March 2023, we completed submission of our BLA to the FDA for the treatment of adult patients with metastatic melanoma for approval, and the FDA accepted the BLA in May 2023. We obtained BLA approval on February 16, 2024. We plan to initiate clinical trials in new indications, and new cohorts in existing clinical trials. Even as these clinical trials progress, issues may arise that could require us to suspend or terminate such clinical trials or could cause the results of one cohort to differ from a prior cohort. For example, we may experience slower than anticipated enrollment in our additional pivotal clinical trials, which may consequently delay BLA submissions to the FDA or permit competitors to obtain approvals that may alter our BLA filing strategy. Additionally, temporary or permanent clinical holds could be placed on our clinical trials for a variety of reasons. For instance, on December 22, 2023, the FDA placed a clinical hold on the IOV-LUN-202 trial in response to a recently reported Grade 5 (fatal) serious adverse event potentially related to the non-myeloablative lymphodepletion pre-conditioning regimen, and we have paused enrollment and the LN-145 treatment regimen for new patients in IOV-LUN-202 during the clinical hold. A failure of one or more clinical trials can occur at any stage of testing, and our future clinical studies may not be successful. Events that may prevent successful or timely initiation or completion of clinical development, or product approval include:</w:t>
      </w:r>
    </w:p>
    <w:p>
      <w:pPr>
        <w:spacing w:after="0" w:line="166" w:lineRule="exact"/>
        <w:rPr>
          <w:sz w:val="20"/>
          <w:szCs w:val="20"/>
          <w:color w:val="auto"/>
        </w:rPr>
      </w:pPr>
    </w:p>
    <w:p>
      <w:pPr>
        <w:jc w:val="both"/>
        <w:ind w:left="820" w:hanging="320"/>
        <w:spacing w:after="0" w:line="257" w:lineRule="auto"/>
        <w:tabs>
          <w:tab w:leader="none" w:pos="8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not authorize us or our investigators to commence a clinical trial, conduct a clinical trial at a prospective clinical trial site, or amend clinical trial protocols, or regulators or IRBs may require that we modify or amend our clinical trial protocols;</w:t>
      </w:r>
    </w:p>
    <w:p>
      <w:pPr>
        <w:spacing w:after="0" w:line="1"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or inability to obtain agreement with regulatory agencies on clinical trial design;</w:t>
      </w:r>
    </w:p>
    <w:p>
      <w:pPr>
        <w:spacing w:after="0" w:line="9" w:lineRule="exact"/>
        <w:rPr>
          <w:rFonts w:ascii="Times New Roman" w:cs="Times New Roman" w:eastAsia="Times New Roman" w:hAnsi="Times New Roman"/>
          <w:sz w:val="18"/>
          <w:szCs w:val="18"/>
          <w:color w:val="auto"/>
        </w:rPr>
      </w:pPr>
    </w:p>
    <w:p>
      <w:pPr>
        <w:jc w:val="both"/>
        <w:ind w:left="820" w:hanging="320"/>
        <w:spacing w:after="0" w:line="250" w:lineRule="auto"/>
        <w:tabs>
          <w:tab w:leader="none" w:pos="8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 clinical trial design or our interpretation of data from preclinical studies and clinical trials or find that a product candidate’s benefits do not outweigh its safety risks;</w:t>
      </w:r>
    </w:p>
    <w:p>
      <w:pPr>
        <w:spacing w:after="0" w:line="1"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jc w:val="both"/>
        <w:ind w:left="820" w:hanging="320"/>
        <w:spacing w:after="0" w:line="250" w:lineRule="auto"/>
        <w:tabs>
          <w:tab w:leader="none" w:pos="8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trials;</w:t>
      </w:r>
    </w:p>
    <w:p>
      <w:pPr>
        <w:spacing w:after="0" w:line="1"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an agreement on acceptable terms with prospective CROs and clinical trial sites, the terms of which can be subject to extensive negotiation and may vary significantly among different CROs and clinical trial sites;</w:t>
      </w:r>
    </w:p>
    <w:p>
      <w:pPr>
        <w:ind w:left="820" w:hanging="320"/>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IRB approval at each clinical trial site;</w:t>
      </w:r>
    </w:p>
    <w:p>
      <w:pPr>
        <w:spacing w:after="0" w:line="9" w:lineRule="exact"/>
        <w:rPr>
          <w:rFonts w:ascii="Times New Roman" w:cs="Times New Roman" w:eastAsia="Times New Roman" w:hAnsi="Times New Roman"/>
          <w:sz w:val="18"/>
          <w:szCs w:val="18"/>
          <w:color w:val="auto"/>
        </w:rPr>
      </w:pPr>
    </w:p>
    <w:p>
      <w:pPr>
        <w:jc w:val="both"/>
        <w:ind w:left="820" w:hanging="320"/>
        <w:spacing w:after="0" w:line="250" w:lineRule="auto"/>
        <w:tabs>
          <w:tab w:leader="none" w:pos="8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1"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our clinical trials;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adding new investigators or clinical trial sites, or withdrawal of clinical trial sites from a clinical trial;</w:t>
      </w:r>
    </w:p>
    <w:p>
      <w:pPr>
        <w:spacing w:after="0" w:line="9" w:lineRule="exact"/>
        <w:rPr>
          <w:rFonts w:ascii="Times New Roman" w:cs="Times New Roman" w:eastAsia="Times New Roman" w:hAnsi="Times New Roman"/>
          <w:sz w:val="18"/>
          <w:szCs w:val="18"/>
          <w:color w:val="auto"/>
        </w:rPr>
      </w:pPr>
    </w:p>
    <w:p>
      <w:pPr>
        <w:jc w:val="both"/>
        <w:ind w:left="820" w:hanging="320"/>
        <w:spacing w:after="0" w:line="250" w:lineRule="auto"/>
        <w:tabs>
          <w:tab w:leader="none" w:pos="8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change in strategic direction for an indication resulting from differences in results between cohorts in a clinical trial, such as the previously disclosed preliminary results for the C-145-04 clinical trial and the final patient population and results, including differences in patient population, such as differences that might arise due to the impact of the existing immunotherapy treatment landscape, or from different interpretations of investigator results by IRC;</w:t>
      </w:r>
    </w:p>
    <w:p>
      <w:pPr>
        <w:spacing w:after="0" w:line="1"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clinical trial sites, patients, or other third parties, or us to adhere to clinical trial requirements, including regulatory, contractual or protocol requirements;</w:t>
      </w:r>
    </w:p>
    <w:p>
      <w:pPr>
        <w:ind w:left="820" w:hanging="320"/>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cGCP requirements or applicable regulatory guidelines in other countries;</w:t>
      </w:r>
    </w:p>
    <w:p>
      <w:pPr>
        <w:spacing w:after="0" w:line="9" w:lineRule="exact"/>
        <w:rPr>
          <w:rFonts w:ascii="Times New Roman" w:cs="Times New Roman" w:eastAsia="Times New Roman" w:hAnsi="Times New Roman"/>
          <w:sz w:val="18"/>
          <w:szCs w:val="18"/>
          <w:color w:val="auto"/>
        </w:rPr>
      </w:pPr>
    </w:p>
    <w:p>
      <w:pPr>
        <w:jc w:val="both"/>
        <w:ind w:left="820" w:hanging="320"/>
        <w:spacing w:after="0" w:line="255" w:lineRule="auto"/>
        <w:tabs>
          <w:tab w:leader="none" w:pos="8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820" w:hanging="320"/>
        <w:spacing w:after="0" w:line="257"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such patients from the clinical trial, increase the needed enrollment size for the clinical trial or extend the clinical trial’s duration;</w:t>
      </w:r>
    </w:p>
    <w:p>
      <w:pPr>
        <w:spacing w:after="0" w:line="1"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dropping out of a clinical trial;</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w:t>
      </w:r>
    </w:p>
    <w:p>
      <w:pPr>
        <w:spacing w:after="0" w:line="9"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to regulatory authorities and IRBs, and which may cause delays in our development programs, or changes to regulatory review times;</w:t>
      </w:r>
    </w:p>
    <w:p>
      <w:pPr>
        <w:ind w:left="820" w:hanging="320"/>
        <w:spacing w:after="0" w:line="250"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our product candidates;</w:t>
      </w:r>
    </w:p>
    <w:p>
      <w:pPr>
        <w:ind w:left="820" w:hanging="320"/>
        <w:spacing w:after="0" w:line="250"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clinical trials;</w:t>
      </w:r>
    </w:p>
    <w:p>
      <w:pPr>
        <w:ind w:left="820" w:hanging="320"/>
        <w:spacing w:after="0" w:line="250"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 or we may have insufficient funds for a clinical trial or to pay the substantial user fees required by the FDA upon the filing of a BLA;</w:t>
      </w:r>
    </w:p>
    <w:p>
      <w:pPr>
        <w:jc w:val="both"/>
        <w:ind w:left="820" w:hanging="320"/>
        <w:spacing w:after="0" w:line="250"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trials studies, or preclinical studies, or abandon product development programs;</w:t>
      </w:r>
    </w:p>
    <w:p>
      <w:pPr>
        <w:spacing w:after="0" w:line="1" w:lineRule="exact"/>
        <w:rPr>
          <w:rFonts w:ascii="Times New Roman" w:cs="Times New Roman" w:eastAsia="Times New Roman" w:hAnsi="Times New Roman"/>
          <w:sz w:val="18"/>
          <w:szCs w:val="18"/>
          <w:color w:val="auto"/>
        </w:rPr>
      </w:pPr>
    </w:p>
    <w:p>
      <w:pPr>
        <w:jc w:val="both"/>
        <w:ind w:left="820" w:hanging="320"/>
        <w:spacing w:after="0" w:line="250"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results from our clinical trials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1"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ind w:left="820" w:hanging="320"/>
        <w:spacing w:after="0" w:line="250"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changes to the therapeutics or their regulatory status which we are administering in combination with our product candidates;</w:t>
      </w:r>
    </w:p>
    <w:p>
      <w:pPr>
        <w:ind w:left="840" w:hanging="319"/>
        <w:spacing w:after="0"/>
        <w:tabs>
          <w:tab w:leader="none" w:pos="8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enrollment due to the ongoing COVID-19 pandemic;</w:t>
      </w:r>
    </w:p>
    <w:p>
      <w:pPr>
        <w:spacing w:after="0" w:line="9"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820" w:hanging="320"/>
        <w:spacing w:after="0" w:line="250"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may take longer than we anticipate making a decision on our product candidates;</w:t>
      </w:r>
    </w:p>
    <w:p>
      <w:pPr>
        <w:ind w:left="820" w:hanging="320"/>
        <w:spacing w:after="0" w:line="250"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our manufacturing processes to our CMOs or other larger-scale facilities operated by a CMO or by us and delays or failures by our CMOs or us to make any necessary changes to such manufacturing process;</w:t>
      </w:r>
    </w:p>
    <w:p>
      <w:pPr>
        <w:jc w:val="both"/>
        <w:ind w:left="820" w:hanging="320"/>
        <w:spacing w:after="0" w:line="250"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spacing w:after="0" w:line="1" w:lineRule="exact"/>
        <w:rPr>
          <w:rFonts w:ascii="Times New Roman" w:cs="Times New Roman" w:eastAsia="Times New Roman" w:hAnsi="Times New Roman"/>
          <w:sz w:val="18"/>
          <w:szCs w:val="18"/>
          <w:color w:val="auto"/>
        </w:rPr>
      </w:pPr>
    </w:p>
    <w:p>
      <w:pPr>
        <w:jc w:val="both"/>
        <w:ind w:left="820" w:hanging="320"/>
        <w:spacing w:after="0" w:line="255"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testing, releasing, validating, or importing/exporting sufficient stable quantities of our product candidates for use in clinical trials or the inability to do any of the foregoing, including as a result of any quality issues associated with the contract manufacturer.</w:t>
      </w:r>
    </w:p>
    <w:p>
      <w:pPr>
        <w:spacing w:after="0" w:line="145"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clinical trials, contract negotiations, the need to obtain agreement from multiple parties, and the necessity of obtaining additional approvals for therapeutics used in the combination clinical trials. These combination therapies will require additional testing and clinical trials will require additional FDA regulatory approval and will increase our future cost of expenses.</w:t>
      </w:r>
    </w:p>
    <w:p>
      <w:pPr>
        <w:spacing w:after="0" w:line="12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FDA approval or notification, may not have their desired effect, or the FDA may not accept data from prior versions of the product to support an application, delaying our clinical trials or programs or necessitating additional clinical trials or preclinical studies. For example, while our first BLA submission includes our Gen 2 manufacturing process, in the future we may seek to commercialize other manufacturing processes, such as our Gen 3 manufacturing process or our PD-1 selected TIL manufacturing process. We may find that commercialization of these manufacturing processes has unintended consequences that necessitate additional development and manufacturing work or additional clinical trials and preclinical studies, or results in non-approval of a BLA.</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Clinical trial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22"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It may take longer and cost more to complete our clinical trials than we project, or we may not be able to complete them at all.</w:t>
      </w:r>
    </w:p>
    <w:p>
      <w:pPr>
        <w:spacing w:after="0" w:line="175"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For budgeting and planning purposes, we have projected the date for the commencement of future clinical trials, and continuation and completion of our ongoing clinical trials. However, a number of factors, including scheduling conflicts with participating clinicians and clinical institutions, difficulties in identifying and enrolling patients who meet clinical trial eligibility criteria, and the ongoing COVID-19 pandemic, may cause significant delays. We may not commence or complete clinical trials involving any of our products as projected or may not conduct them successfully.</w:t>
      </w:r>
    </w:p>
    <w:p>
      <w:pPr>
        <w:spacing w:after="0" w:line="129"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We are currently enrolling seven company-sponsored clinical trials to assess the overall safety and efficacy of Iovance TIL monotherapy and TIL combinations in patients with melanoma, cervical, head and neck and lung cancers across late-line and early treatment settings, as well as our genetically modified TIL cell therapy IOV-4001 and our peripheral blood lymphocyte, or PBL, technology for hematological malignancies.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clinical trials.</w:t>
      </w:r>
    </w:p>
    <w:p>
      <w:pPr>
        <w:spacing w:after="0" w:line="135"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For example, our current clinical trials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the investigators have significant discretion over the selection of patient participants. Although preliminary data from certain clinical trials were generally positive, that data may not necessarily be representative of interim or final results, as new patients are cycled through the applicable treatment regimes. As the clinical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clinical trials and replaced by patients with less advanced forms of cancer. This opportunity for investigator selection bias in our clinical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139"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Furthermore, the timely completion of clinical trials in accordance with their protocols depends, among other things, on our ability to enroll a sufficient number of patients who remain in the clinical trial until its conclusion, including the ability of us or our collaborators to conduct clinical trials under the constraints of the COVID-19 pandemic.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Accordingly, we cannot guarantee that the clinical trial will progress as planned or as scheduled. Delays in patient enrollment may result in increased costs or may affect the timing or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outcome of our ongoing clinical trial and planned clinical trials, which could prevent completion of these clinical trials and adversely affect our ability to advance the development of our product candidates.</w:t>
      </w:r>
    </w:p>
    <w:p>
      <w:pPr>
        <w:spacing w:after="0" w:line="108"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37"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 xml:space="preserve">We currently anticipate that we will have to rely on our CMO to supplement the manufacturing capacity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in manufacturing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spacing w:after="0" w:line="151"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18"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clinical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clinical trials, and the number of clinical trials that we may need to conduct, our overall clinical trial costs may be higher than for more conventional treatments.</w:t>
      </w:r>
    </w:p>
    <w:p>
      <w:pPr>
        <w:spacing w:after="0" w:line="145"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32"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The clinical trials of our product candidates are, and the manufacturing and marketing of our products will be, subject to extensive and rigorous review and regulation by numerous government authorities in the U.S.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clinical trial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trials may not be representative of the final clinical trial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14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clinical trials. Most product candidates that begin clinical trials are never approved by regulatory authorities for commercialization.</w:t>
      </w:r>
    </w:p>
    <w:p>
      <w:pPr>
        <w:spacing w:after="0" w:line="139"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pacing w:after="0" w:line="162"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addition, even if such clinical trials are successfully completed, we cannot guarantee that the FDA or foreign regulatory authorities will interpret the results as we do, and more clinical trials could be required before we submit our product candidates for approval.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w:t>
      </w:r>
    </w:p>
    <w:p>
      <w:pPr>
        <w:spacing w:after="0" w:line="143"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have reported preliminary results for clinical trials of our product candidates, including TIL for the treatment of metastatic melanoma, non-small cell lung cancer,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trials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47" w:lineRule="exact"/>
        <w:rPr>
          <w:sz w:val="20"/>
          <w:szCs w:val="20"/>
          <w:color w:val="auto"/>
        </w:rPr>
      </w:pPr>
    </w:p>
    <w:p>
      <w:pPr>
        <w:jc w:val="both"/>
        <w:ind w:right="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32"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or similar patients from a Phase 2 clinical trial to a pivotal program, who remain in the clinical trial until its conclusion. We may experience difficulties or delays in patient enrollment in our clinical trials for a variety of reasons, including:</w:t>
      </w:r>
    </w:p>
    <w:p>
      <w:pPr>
        <w:spacing w:after="0" w:line="135" w:lineRule="exact"/>
        <w:rPr>
          <w:sz w:val="20"/>
          <w:szCs w:val="20"/>
          <w:color w:val="auto"/>
        </w:rPr>
      </w:pPr>
    </w:p>
    <w:p>
      <w:pPr>
        <w:ind w:left="820" w:hanging="32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90"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03"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90"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clinical trial population required for analysis of the clinical trial’s primary endpoints;</w:t>
      </w:r>
    </w:p>
    <w:p>
      <w:pPr>
        <w:spacing w:after="0" w:line="103"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trial sites;</w:t>
      </w:r>
    </w:p>
    <w:p>
      <w:pPr>
        <w:spacing w:after="0" w:line="90"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90"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03"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 and the effectiveness of recruiting publicity;</w:t>
      </w:r>
    </w:p>
    <w:p>
      <w:pPr>
        <w:spacing w:after="0" w:line="90"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90"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other new therapeutics not involving cell-based immunotherapy;</w:t>
      </w:r>
    </w:p>
    <w:p>
      <w:pPr>
        <w:spacing w:after="0" w:line="103" w:lineRule="exact"/>
        <w:rPr>
          <w:rFonts w:ascii="Times New Roman" w:cs="Times New Roman" w:eastAsia="Times New Roman" w:hAnsi="Times New Roman"/>
          <w:sz w:val="18"/>
          <w:szCs w:val="18"/>
          <w:color w:val="auto"/>
        </w:rPr>
      </w:pPr>
    </w:p>
    <w:p>
      <w:pPr>
        <w:jc w:val="both"/>
        <w:ind w:left="820" w:hanging="320"/>
        <w:spacing w:after="0" w:line="266" w:lineRule="auto"/>
        <w:tabs>
          <w:tab w:leader="none" w:pos="8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40" w:lineRule="exact"/>
        <w:rPr>
          <w:rFonts w:ascii="Times New Roman" w:cs="Times New Roman" w:eastAsia="Times New Roman" w:hAnsi="Times New Roman"/>
          <w:sz w:val="18"/>
          <w:szCs w:val="18"/>
          <w:color w:val="auto"/>
        </w:rPr>
      </w:pPr>
    </w:p>
    <w:p>
      <w:pPr>
        <w:ind w:left="820" w:right="20" w:hanging="320"/>
        <w:spacing w:after="0" w:line="282" w:lineRule="auto"/>
        <w:tabs>
          <w:tab w:leader="none" w:pos="8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investigators enrolling patients who do not meet the enrollment criteria, requiring the inclusion of additional patients in the clinical trial;</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840" w:hanging="319"/>
        <w:spacing w:after="0" w:line="266" w:lineRule="auto"/>
        <w:tabs>
          <w:tab w:leader="none" w:pos="8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limiting our access to patients who would otherwise be eligible for enrollment, including treatment-naïve patients who may be more likely to seek standard of care therapies available at local treatment centers rather than enroll in a clinical trial at a larger hospital;</w:t>
      </w:r>
    </w:p>
    <w:p>
      <w:pPr>
        <w:spacing w:after="0" w:line="40"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new indications for existing therapies or approval of new therapies in general;</w:t>
      </w:r>
    </w:p>
    <w:p>
      <w:pPr>
        <w:spacing w:after="0" w:line="103"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90" w:lineRule="exact"/>
        <w:rPr>
          <w:rFonts w:ascii="Times New Roman" w:cs="Times New Roman" w:eastAsia="Times New Roman" w:hAnsi="Times New Roman"/>
          <w:sz w:val="18"/>
          <w:szCs w:val="18"/>
          <w:color w:val="auto"/>
        </w:rPr>
      </w:pPr>
    </w:p>
    <w:p>
      <w:pPr>
        <w:jc w:val="both"/>
        <w:ind w:left="820" w:hanging="320"/>
        <w:spacing w:after="0" w:line="261" w:lineRule="auto"/>
        <w:tabs>
          <w:tab w:leader="none" w:pos="8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complete a clinical trial, return for post-treatment follow-up, or follow the required clinical trial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180"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resected and the TIL is infused back into the patient. Amendments to our clinical protocols may affect enrollment in, or results of, our trials, including amendments we have made to further define the patient population to be studied.</w:t>
      </w:r>
    </w:p>
    <w:p>
      <w:pPr>
        <w:spacing w:after="0" w:line="16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clinical trials and adversely affect our ability to advance the development of our product candidates.</w:t>
      </w:r>
    </w:p>
    <w:p>
      <w:pPr>
        <w:spacing w:after="0" w:line="13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1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Results of our clinical trials could reveal a high and unacceptable severity and prevalence of side effects or unexpected characteristics. Undesirable side effects caused by our product candidates could cause us, IRBs,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indications for use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Risk Evaluation and Mitigations Strategy or REMS, to monitor the safety or efficacy of the products, and in turn prevent us from commercializing and generating revenues from the sale of our current or future product candidates.</w:t>
      </w:r>
    </w:p>
    <w:p>
      <w:pPr>
        <w:spacing w:after="0" w:line="1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clinical trials and products may also negatively impact our ability to conduct clinical trials using TIL cell therapy in larger patient populations, such as in patients that have not yet been treated with other therapies or have not yet progressed on other therapies.</w:t>
      </w:r>
    </w:p>
    <w:p>
      <w:pPr>
        <w:spacing w:after="0" w:line="16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Treatment-related side effects could also affect patient recruitment or the ability of enrolled subjects to complete our clinical trials or result in potential product liability claims. Such toxicities, which may arise from TIL cell therapy in general, including co-therapies, may include, for example, thrombocytopenia, chills, anemia, pyrexia, febrile neutropenia, diarrhea, neutropenia, vomiting, hypotension, and dyspnea. For example, the update in October 2018 from the C-144-01 clinical trial included two grade 5 treatment emergent adverse events. In addition, failure to manage toxicities, adverse events or side effects and to take recommended or other precautions may result in deaths or harm to patients. Furthermore, harm to patients may not be appropriately recognized or managed by the treating medical</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staff, because treatments related to personalized cell therapy are not normally encountered in the general patient population and by medical personnel. Any of these occurrences may harm our business, financial condition and prospects significantly.</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will be unable to commercialize our products if our trials are not successful.</w:t>
      </w:r>
    </w:p>
    <w:p>
      <w:pPr>
        <w:spacing w:after="0" w:line="20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Our research and development programs are at various stages of clinical development, including several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39" w:lineRule="exact"/>
        <w:rPr>
          <w:sz w:val="20"/>
          <w:szCs w:val="20"/>
          <w:color w:val="auto"/>
        </w:rPr>
      </w:pPr>
    </w:p>
    <w:p>
      <w:pPr>
        <w:ind w:left="820" w:hanging="320"/>
        <w:spacing w:after="0" w:line="261" w:lineRule="auto"/>
        <w:tabs>
          <w:tab w:leader="none" w:pos="8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in various human clinical trials reported in scientific and medical literature may not be indicative of results we obtain in our clinical trials;</w:t>
      </w:r>
    </w:p>
    <w:p>
      <w:pPr>
        <w:ind w:left="820" w:hanging="320"/>
        <w:spacing w:after="0" w:line="250" w:lineRule="auto"/>
        <w:tabs>
          <w:tab w:leader="none" w:pos="8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test results, we or our collaborators may abandon projects that we might previously have believed to be promising;</w:t>
      </w:r>
    </w:p>
    <w:p>
      <w:pPr>
        <w:ind w:left="820" w:right="20" w:hanging="320"/>
        <w:spacing w:after="0" w:line="250" w:lineRule="auto"/>
        <w:tabs>
          <w:tab w:leader="none" w:pos="8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collaborators or regulators, may suspend or terminate clinical trials if the participating subjects or patients are being exposed to unacceptable health risks;</w:t>
      </w:r>
    </w:p>
    <w:p>
      <w:pPr>
        <w:ind w:left="820" w:hanging="320"/>
        <w:spacing w:after="0" w:line="250" w:lineRule="auto"/>
        <w:tabs>
          <w:tab w:leader="none" w:pos="8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820" w:hanging="320"/>
        <w:spacing w:after="0" w:line="250" w:lineRule="auto"/>
        <w:tabs>
          <w:tab w:leader="none" w:pos="8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may not meet the necessary standards for the production of the product candidates or may not be able to supply the product candidates in a sufficient quantity;</w:t>
      </w:r>
    </w:p>
    <w:p>
      <w:pPr>
        <w:ind w:left="820" w:hanging="320"/>
        <w:spacing w:after="0" w:line="250" w:lineRule="auto"/>
        <w:tabs>
          <w:tab w:leader="none" w:pos="8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find that our clinical trial design or conduct does not meet the applicable approval requirements; and</w:t>
      </w:r>
    </w:p>
    <w:p>
      <w:pPr>
        <w:ind w:left="820" w:right="20" w:hanging="320"/>
        <w:spacing w:after="0" w:line="260" w:lineRule="auto"/>
        <w:tabs>
          <w:tab w:leader="none" w:pos="8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as well as clinical trials from our competitors, may diminish our anticipated revenues due to overlapping patient populations, costs and payor coverage, or patient needs.</w:t>
      </w:r>
    </w:p>
    <w:p>
      <w:pPr>
        <w:spacing w:after="0" w:line="181"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Third Parties</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license new technology from third parties.</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4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pay substantial royalties and lump sum benchmark payments under our license or acquisition agreements with the NIH, Moffitt, Novartis, Clinigen and Cellectis, and we must meet certain milestones to maintain our license rights.</w:t>
      </w:r>
    </w:p>
    <w:p>
      <w:pPr>
        <w:spacing w:after="0" w:line="13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Under our license or acquisition agreements with the NIH, Moffitt, Novartis, Clinigen and Cellectis for our adoptive cell therapy and immunotherapy technologies, we are currently required to pay both substantial benchmark payments and royalties to each entity based on our revenues from sales of our products utilizing the licensed or acquired technologies. These payments could adversely affect the overall profitability for us of any products that we may seek to commercialize under these license agreements. In order to maintain our license rights under the NIH, Moffitt, Novartis, and Cellectis license agreements, we will need to meet certain specified milestones, subject to certain cure provisions, in the development of our product candidates, and a milestone payment is required to Clinigen upon the approval of lifileucel in melanoma. There is no assurance that we will be successful in meeting these milestones on a timely basis, or at 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p>
    <w:p>
      <w:pPr>
        <w:spacing w:after="0" w:line="118"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As a result of our current strategy to outsource most of our manufacturing, we rely very heavily on third parties to perform for us the manufacturing of our products and/or product candidates. We also license a portion of our technology from others. We intend to rely upon our contract manufacturers to produce large quantities of materials needed for clinical trials and product commercialization. 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and/or commercialization efforts may be delayed, thereby delaying the submission of products for regulatory approval or the market introduction and subsequent sales of our products. Any such delay may lower our revenues and potential profitability.</w:t>
      </w:r>
    </w:p>
    <w:p>
      <w:pPr>
        <w:spacing w:after="0" w:line="165"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In addition, in order to supplement our own efforts to improve TIL manufacturing and develop TIL cell therapies in new indications in clinical trials, we currently work and collaborate with government and academic research institutions, medical institutions, and corporate partners such as the NCI, Moffitt, Cellectis, Yale University, and Novartis.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and/or product candidate and, in some cases, termination of the collaboration arrangement. These disagreements can be difficult to resolve if neither of the parties has final decision-making authority under the collaboration agreement.</w:t>
      </w:r>
    </w:p>
    <w:p>
      <w:pPr>
        <w:spacing w:after="0" w:line="14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3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49" w:lineRule="exact"/>
        <w:rPr>
          <w:sz w:val="20"/>
          <w:szCs w:val="20"/>
          <w:color w:val="auto"/>
        </w:rPr>
      </w:pPr>
    </w:p>
    <w:p>
      <w:pPr>
        <w:ind w:left="820" w:hanging="320"/>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7" w:lineRule="exact"/>
        <w:rPr>
          <w:rFonts w:ascii="Times New Roman" w:cs="Times New Roman" w:eastAsia="Times New Roman" w:hAnsi="Times New Roman"/>
          <w:sz w:val="18"/>
          <w:szCs w:val="18"/>
          <w:color w:val="auto"/>
        </w:rPr>
      </w:pPr>
    </w:p>
    <w:p>
      <w:pPr>
        <w:jc w:val="both"/>
        <w:ind w:left="820" w:hanging="320"/>
        <w:spacing w:after="0" w:line="250" w:lineRule="auto"/>
        <w:tabs>
          <w:tab w:leader="none" w:pos="8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product candidates and/or commercialization of products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 w:lineRule="exact"/>
        <w:rPr>
          <w:rFonts w:ascii="Times New Roman" w:cs="Times New Roman" w:eastAsia="Times New Roman" w:hAnsi="Times New Roman"/>
          <w:sz w:val="18"/>
          <w:szCs w:val="18"/>
          <w:color w:val="auto"/>
        </w:rPr>
      </w:pPr>
    </w:p>
    <w:p>
      <w:pPr>
        <w:jc w:val="both"/>
        <w:ind w:left="820" w:hanging="320"/>
        <w:spacing w:after="0" w:line="250" w:lineRule="auto"/>
        <w:tabs>
          <w:tab w:leader="none" w:pos="8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9"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w:t>
      </w:r>
    </w:p>
    <w:p>
      <w:pPr>
        <w:jc w:val="both"/>
        <w:ind w:left="820" w:hanging="320"/>
        <w:spacing w:after="0" w:line="250" w:lineRule="auto"/>
        <w:tabs>
          <w:tab w:leader="none" w:pos="8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and/or product candidates if the collaborators believe that competitive products are more likely to be successfully developed or can be commercialized under terms that are more economically attractive than ours;</w:t>
      </w:r>
    </w:p>
    <w:p>
      <w:pPr>
        <w:spacing w:after="0" w:line="1" w:lineRule="exact"/>
        <w:rPr>
          <w:rFonts w:ascii="Times New Roman" w:cs="Times New Roman" w:eastAsia="Times New Roman" w:hAnsi="Times New Roman"/>
          <w:sz w:val="18"/>
          <w:szCs w:val="18"/>
          <w:color w:val="auto"/>
        </w:rPr>
      </w:pPr>
    </w:p>
    <w:p>
      <w:pPr>
        <w:jc w:val="both"/>
        <w:ind w:left="820" w:hanging="320"/>
        <w:spacing w:after="0" w:line="250" w:lineRule="auto"/>
        <w:tabs>
          <w:tab w:leader="none" w:pos="8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and/or product candidates discovered in collaboration with us may be viewed by our collaborators as competitive with their own products and/or product candidates, which may cause collaborators to cease to devote resources to the commercialization of our products and/or product candidates;</w:t>
      </w:r>
    </w:p>
    <w:p>
      <w:pPr>
        <w:spacing w:after="0" w:line="1" w:lineRule="exact"/>
        <w:rPr>
          <w:rFonts w:ascii="Times New Roman" w:cs="Times New Roman" w:eastAsia="Times New Roman" w:hAnsi="Times New Roman"/>
          <w:sz w:val="18"/>
          <w:szCs w:val="18"/>
          <w:color w:val="auto"/>
        </w:rPr>
      </w:pPr>
    </w:p>
    <w:p>
      <w:pPr>
        <w:ind w:left="820" w:hanging="320"/>
        <w:spacing w:after="0" w:line="260" w:lineRule="auto"/>
        <w:tabs>
          <w:tab w:leader="none" w:pos="8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820" w:right="20" w:hanging="320"/>
        <w:spacing w:after="0" w:line="255" w:lineRule="auto"/>
        <w:tabs>
          <w:tab w:leader="none" w:pos="8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products and/or product candidates, might lead to additional responsibilities for us with respect to products and/or product candidates, or might result in litigation or arbitration, any of which would be time consuming and expensive;</w:t>
      </w:r>
    </w:p>
    <w:p>
      <w:pPr>
        <w:spacing w:after="0" w:line="2" w:lineRule="exact"/>
        <w:rPr>
          <w:rFonts w:ascii="Times New Roman" w:cs="Times New Roman" w:eastAsia="Times New Roman" w:hAnsi="Times New Roman"/>
          <w:sz w:val="18"/>
          <w:szCs w:val="18"/>
          <w:color w:val="auto"/>
        </w:rPr>
      </w:pPr>
    </w:p>
    <w:p>
      <w:pPr>
        <w:jc w:val="both"/>
        <w:ind w:left="820" w:hanging="320"/>
        <w:spacing w:after="0" w:line="250" w:lineRule="auto"/>
        <w:tabs>
          <w:tab w:leader="none" w:pos="8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Times New Roman" w:cs="Times New Roman" w:eastAsia="Times New Roman" w:hAnsi="Times New Roman"/>
          <w:sz w:val="18"/>
          <w:szCs w:val="18"/>
          <w:color w:val="auto"/>
        </w:rPr>
      </w:pPr>
    </w:p>
    <w:p>
      <w:pPr>
        <w:ind w:left="820" w:right="20" w:hanging="320"/>
        <w:spacing w:after="0" w:line="250" w:lineRule="auto"/>
        <w:tabs>
          <w:tab w:leader="none" w:pos="8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ind w:left="820" w:right="20" w:hanging="320"/>
        <w:spacing w:after="0" w:line="250" w:lineRule="auto"/>
        <w:tabs>
          <w:tab w:leader="none" w:pos="8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820" w:hanging="320"/>
        <w:spacing w:after="0" w:line="260" w:lineRule="auto"/>
        <w:tabs>
          <w:tab w:leader="none" w:pos="8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141"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If any third-party collaborator breaches or terminates its agreement with us or fails to conduct its activities in a timely manner, the commercialization of our product candidates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56"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3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No assurance can be given that we will be able to successfully collaborate with our partners as anticipated and that our current or future collaborations will be completed as contemplated, support the regulatory approval of our current product candidates, or result in any viable additional products and/or product candidates. For instance, to the extent that these collaborators conduct their studies with manufacturing processes that are different from ours or with a product that is different from ours, the results generated from their studies may not be seen in our current or future studies that employ our manufacturing processes, and the results generated from their studies may not support approval of our product candidates.</w:t>
      </w:r>
    </w:p>
    <w:p>
      <w:pPr>
        <w:spacing w:after="0" w:line="147"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commercialization of products and/or product candidates or reduce the scope of any sales or marketing activities, or increase our expenditures and undertake development or commercialization activities at our own expense.</w:t>
      </w:r>
    </w:p>
    <w:p>
      <w:pPr>
        <w:spacing w:after="0" w:line="149" w:lineRule="exact"/>
        <w:rPr>
          <w:sz w:val="20"/>
          <w:szCs w:val="20"/>
          <w:color w:val="auto"/>
        </w:rPr>
      </w:pPr>
    </w:p>
    <w:p>
      <w:pPr>
        <w:jc w:val="both"/>
        <w:ind w:right="2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collaborate with governmental, academic, and corporate partners or agencies to approve, improve, and develop TIL cell therapies for new indications for use in combination with other therapies and to evaluate new TIL manufacturing methods, the results of which, because the manufacturing processes are not within our control, may be incorrect or unreliable.</w:t>
      </w:r>
    </w:p>
    <w:p>
      <w:pPr>
        <w:spacing w:after="0" w:line="134"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In addition to our own research and process development efforts, we seek to collaborate with government, academic research institutions and corporate partners to improve TIL manufacturing and to develop TIL cell therapies for new indications. In 2017-2020, we announced our continued collaborations with Moffitt, MDACC, and others to evaluate new solid tumor and hematologic indications for TIL cell therapy in clinical trials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products and product candidates, may be incorrect or unreliable, or may have a negative impact on us if the results of such studies are imputed to our products or proposed indications, even if such imputation is improper. For example, we have entered into collaborations with Moffitt, and MDACC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otherwise unreliable. There may also be delays or other limitations on our activities as a result of the inability of these entities to expedite our priorities in the product, facility, or regulatory approval process.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98"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line of business, and the biotechnology industry in which we operate, makes it difficult to evaluate our business plan and our prospects.</w:t>
      </w:r>
    </w:p>
    <w:p>
      <w:pPr>
        <w:spacing w:after="0" w:line="105"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2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face the problems, expenses, difficulties, complications, and delays normally associated with a commercial biopharmaceutical company with significant pre-commercial assets,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commercial biopharmaceutical companies with significant pre-commercial assets involved in the rapidly evolving field of immunotherapy. We also face the risks associated with the shift from development to commercialization of new products based on innovative technologies. There can be no assurance that we will be successful in developing our business.</w:t>
      </w:r>
    </w:p>
    <w:p>
      <w:pPr>
        <w:spacing w:after="0" w:line="134"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1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maintain a specialized information technology system for tracking chain of custody and chain of identity for TIL cell therapy patients. Like other autologous cell therapies, this is extremely important for patient safety and is a requirement outlined in our BLA submission. This requires us to store and maintain patient specific health information. The risks associated with storing patient health and personal data may increase cyber threats and regulatory accountability and scrutiny. Although we have industry-standard secure systems and maintain privacy controls, there is a possibility that incidents compromising this information can occur. In addition to the regulatory and civil litigation risks, failure to maintain this data correctly could result in loss of patients or impair our ability to deliver patient care.</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information technology, systems, infrastructure and data.</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cybersecurity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The Russia-Ukraine conflict may also increase cybersecurity risks on a global basis. Cyberattacks could include the deployment of harmful malware, denial-of-service, ransomware, social engineering and other means to affect service reliability and threaten data confidentiality, privacy,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insurance may not be sufficient in type or amount to cover us against claims related to security breaches, cyberattacks and other cybersecurity related breaches.</w:t>
      </w:r>
    </w:p>
    <w:p>
      <w:pPr>
        <w:spacing w:after="0" w:line="117" w:lineRule="exact"/>
        <w:rPr>
          <w:sz w:val="20"/>
          <w:szCs w:val="20"/>
          <w:color w:val="auto"/>
        </w:rPr>
      </w:pPr>
    </w:p>
    <w:p>
      <w:pPr>
        <w:jc w:val="both"/>
        <w:ind w:firstLine="49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health epidemics, including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at our manufacturing facility in Philadelphia, Pennsylvania, which have previously been subject to state executive orders and shelter-in-place orders, and at our clinical trial sites, as well as the business or operations of our other manufacturers, contract research organizations, or CROs, or other third parties with whom we conduct business.</w:t>
      </w:r>
    </w:p>
    <w:p>
      <w:pPr>
        <w:spacing w:after="0" w:line="159"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 For example, starting in December 2019, a novel strain of coronavirus, or COVID-19, was reported to have surfaced in Wuhan, China and spread to multiple countries, including the U.S. and several European countries. In March 2020, the World Health Organization declared COVID-19 a global pandemic and the U.S. declared the COVID-19 pandemic a national emergency. Similarly, during that time, the State of California declared a state of emergency related to the spread of the COVID-19 pandemic and the health officers of six San Francisco Bay Area counties, including San Mateo County where our headquarters in San Carlos is located, issued shelter-in-place orders.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Throughout 2020 and 2021, similar executive orders were issued by state and local governments, and states of emergency had been declared at the state and local level in most jurisdictions throughout the U.S. As recently as April 2022, ports and airports in Shanghai, China have been closed due to another outbreak of COVID-19, resulting in a lockdown of the city and disruption to export and import activities. In the U.S., many of these executive orders have been rescinded, however, the Company remains vigilant and continues to monitor the ongoing COVID-19 pandemic closely to determine if additional actions are required.</w:t>
      </w:r>
    </w:p>
    <w:p>
      <w:pPr>
        <w:spacing w:after="0" w:line="154"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Quarantines, shelter-in-place and similar government orders, or the perception that such orders, shutdowns or other restrictions on the conduct of business operations could occur, related to the COVID-19 pandemic or other infectious diseases could impact personnel at third-party manufacturing facilities in the U.S. and other countries, or the availability or cost of materials, which would disrupt our supply chain. In addition, our clinical trials may be affected by the COVID-19 pandemic. Clinical site initiation, patient enrollment and patient monitoring may be delayed due to prioritization of hospital resources toward the COVID-19 pandemic. Some sites may no longer be available to see patients for clinical trials. Some patients may not be able to comply with clinical trial protocols if quarantines impede patient movement or interrupt healthcare services. Patients may also miss follow-up visits after receiving our 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healthcare providers, may have heightened exposure to the virus that causes the COVID-19 pandemic and adversely impact our clinical trial operations. The COVID-19 pandemic may also affect our ability to recruit treatment-naïve patients into our clinical trials, because those patients may be more likely to seek standard of care therapies available at local treatment centers rather than enroll in a clinical trial at a larger hospital.</w:t>
      </w:r>
    </w:p>
    <w:p>
      <w:pPr>
        <w:spacing w:after="0" w:line="147"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We continue to monitor the impact, if any, of the COVID-19 pandemic on our current and future operations, including our regulatory filing timelines and strategy as well as our preparation for commercial launch. Despite the wide-spread availability of COVID-19 vaccines, it is unclear the extent to which the COVID-19 pandemic (including future variants) will impact our business, results of operations, financial condition and our future strategic plans as future developments of the outbreak are highly uncertain and cannot be predicted. New information is constantly emerging concerning the severity of COVID-19 and the actions to contain COVID-19 or treat its impact, among others. As the COVID-19 pandemic continues for an extended period of time, any restrictions regarding travel and face to face interactions or constraints on resources, either by us or our contractors, including our CMOs, may negatively impact our regulatory strategy or commercial launch preparations. The COVID-19 pandemic may also impact the FDA and their ability to timely review our regulatory filings and conduct the pre-approval inspections necessary for ultimate approval of BLA. We cannot predict at this time whether and how FDA operations may be impacted at relevant times for our planned regulatory submissions.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18"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European Union, or EU, member states and other foreign jurisdictions, including Switzerland, the United Kingdom and Canada,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w:t>
      </w:r>
    </w:p>
    <w:p>
      <w:pPr>
        <w:spacing w:after="0" w:line="162"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The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If we fail to comply with the data protection laws in any EU member country or other jurisdiction, the data protection authority of such country or other jurisdiction may, in addition to fines, impose sanctions on us, which may include a prohibition that prevents us from transferring and/or processing personal data of data subjects from such country or other jurisdiction for a duration determined by the sanctioning authority. Our inability to transfer and/or process personal data of data subjects could preclude us from conducting clinical trials of our products in the EU member country or other jurisdiction for the duration of the sanction. Our inability to conduct clinical trials in the EU member country or other jurisdiction for the duration of the sanction may delay and increase the cost of development of our products, with a material adverse effect on our business. In this regard, we expect that there will continue to be new proposed laws, regulations and industry standards relating to privacy and data protection in the U.S., the EU and other jurisdictions, and we cannot determine the impact such future laws, regulations and standards may have on our business.</w:t>
      </w:r>
    </w:p>
    <w:p>
      <w:pPr>
        <w:spacing w:after="0" w:line="150" w:lineRule="exact"/>
        <w:rPr>
          <w:sz w:val="20"/>
          <w:szCs w:val="20"/>
          <w:color w:val="auto"/>
        </w:rPr>
      </w:pPr>
    </w:p>
    <w:p>
      <w:pPr>
        <w:jc w:val="both"/>
        <w:ind w:right="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18"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There are numerous other laws and legislative and regulatory initiatives at the federal and state levels addressing privacy and security concerns, and some state privacy laws apply more broadly than the Health Insurance Portability and Accountability Act, or HIPAA, and associated regulations. For example, California recently enacted legislation, the California Consumer Privacy Act, or CCPA, which went into effect January 1, 2020, and was recently amended and expanded by the California Privacy Rights Act, or CPRA, which will take effect on January 1, 2023. The CCPA and CPRA, among other things, create new data privacy obligations for covered companies and provides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w:t>
      </w:r>
    </w:p>
    <w:p>
      <w:pPr>
        <w:spacing w:after="0" w:line="165"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Although the law includes limited exceptions, including for certain information collected as part of clinical trials as specified in the law, it may regulate or impact our processing of personal information depending on the context.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39"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18" w:lineRule="exact"/>
        <w:rPr>
          <w:sz w:val="20"/>
          <w:szCs w:val="20"/>
          <w:color w:val="auto"/>
        </w:rPr>
      </w:pPr>
    </w:p>
    <w:p>
      <w:pPr>
        <w:jc w:val="both"/>
        <w:ind w:right="20" w:firstLine="492"/>
        <w:spacing w:after="0" w:line="266" w:lineRule="auto"/>
        <w:rPr>
          <w:sz w:val="20"/>
          <w:szCs w:val="20"/>
          <w:color w:val="auto"/>
        </w:rPr>
      </w:pPr>
      <w:r>
        <w:rPr>
          <w:rFonts w:ascii="Times New Roman" w:cs="Times New Roman" w:eastAsia="Times New Roman" w:hAnsi="Times New Roman"/>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49" w:lineRule="exact"/>
        <w:rPr>
          <w:sz w:val="20"/>
          <w:szCs w:val="20"/>
          <w:color w:val="auto"/>
        </w:rPr>
      </w:pPr>
    </w:p>
    <w:p>
      <w:pPr>
        <w:ind w:left="820" w:hanging="320"/>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7"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hanging="320"/>
        <w:spacing w:after="0" w:line="261" w:lineRule="auto"/>
        <w:tabs>
          <w:tab w:leader="none" w:pos="8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or product, including difficulties associated with integrating new personnel;</w:t>
      </w:r>
    </w:p>
    <w:p>
      <w:pPr>
        <w:ind w:left="820" w:right="20" w:hanging="320"/>
        <w:spacing w:after="0" w:line="250" w:lineRule="auto"/>
        <w:tabs>
          <w:tab w:leader="none" w:pos="8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ind w:left="820" w:hanging="320"/>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9"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ind w:left="820" w:right="20" w:hanging="320"/>
        <w:spacing w:after="0" w:line="260" w:lineRule="auto"/>
        <w:tabs>
          <w:tab w:leader="none" w:pos="8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In addition, even if we are able to pursue certain strategic acquisition opportunities, we cannot guarantee that such acquisitions may completed in a timely manner, if at all, or that all conditions necessary to consummate such transactions will be satisfied, including the receipt of all required regulatory approvals.</w:t>
      </w:r>
    </w:p>
    <w:p>
      <w:pPr>
        <w:spacing w:after="0" w:line="163" w:lineRule="exact"/>
        <w:rPr>
          <w:sz w:val="20"/>
          <w:szCs w:val="20"/>
          <w:color w:val="auto"/>
        </w:rPr>
      </w:pPr>
    </w:p>
    <w:p>
      <w:pPr>
        <w:jc w:val="both"/>
        <w:ind w:firstLine="49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ongoing military conflicts between Russia and Ukraine and Israel and Hamas and record inflation. Our business, financial condition and results of operations could be materially adversely affected by any negative impact on the global economy and capital markets resulting from the conflicts in Ukraine and the Middle East, geopolitical tensions or record inflation.</w:t>
      </w:r>
    </w:p>
    <w:p>
      <w:pPr>
        <w:spacing w:after="0" w:line="143"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which has led to record inflation globally. We are continuing to monitor inflation, the situation in Ukraine and global capital markets and assessing the potential impacts on our business.</w:t>
      </w:r>
    </w:p>
    <w:p>
      <w:pPr>
        <w:spacing w:after="0" w:line="14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global economy has been, and may continue to be, negatively impacted by Russia’s invasion of Ukraine. As a result of Russia’s invasion of Ukraine, the U.S., the European Union, the United Kingdom, and other G7 countries, among other countries, have imposed substantial financial and economic sanctions on certain industry sectors and parties in Russia. Broad restrictions on exports to Russia have also been imposed. These measures include: (i) comprehensive financial sanctions against major Russian banks; (ii) additional designations of Russian individuals with significant business interests and government connections; (iii) designations of individuals and entities involved in Russian military activities; and (iv) enhanced export controls and trade sanctions limiting Russia’s ability to import various goods. Russian military actions and the resulting sanctions could continue to adversely affect the global economy and financial markets and lead to instability and lack of liquidity in capital markets, potentially making it more difficult for us to obtain additional funds.</w:t>
      </w:r>
    </w:p>
    <w:p>
      <w:pPr>
        <w:spacing w:after="0" w:line="16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on October 7, 2023, Hamas militants and members of other terrorist organizations infiltrated Israel’s southern border from the Gaza Strip and conducted a series of terror attacks on civilian and military targets. Thereafter, Hamas launched extensive rocket attacks on Israeli population and industrial centers located along the Israeli border with the Gaza Strip. Shortly following the attack, Israel’s security cabinet declared war against Hamas and launched an aerial bombardment of various targets within the Gaza Strip. The Israeli government subsequently called for the evacuation of over one million residents of the northern part of the Gaza Strip and began a ground invasion of the Gaza Strip. It is possible that other terrorist and/or regional organizations will join the hostilities as well, including Hezbollah in Lebanon, and Palestinian military organizations in the West Bank, resulting in a widening of the conflict. The intensity and duration of Israel’s current war against Hamas is difficult to predict as are such war’s economic implications on the global economy.</w:t>
      </w:r>
    </w:p>
    <w:p>
      <w:pPr>
        <w:spacing w:after="0" w:line="1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are also current geopolitical tensions with China. Recently, the Biden administration has signed multiple executive orders regarding China. One particular executive order titled Advancing Biotechnology and Biomanufacturing Innovation for a Sustainable,</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Safe, and Secure American Bioeconomy signed on September 12, 2022 will likely impact the pharmaceutical industry to encourage U.S. domestic manufacturing of pharmaceutical products. Moreover, there have been Congressional legislative proposals, such as the recent bill titled the Biosecure Act, to discourage contracting with Chinese companies on the development or manufacturing of pharmaceutical products. Any additional executive action, legislative action or potential sanctions with China could materially impact our current manufacturing partners and our agreements with them, including our MSA with WuXi. For example, in February 2024, the chair and ranking member of the House Select Committee on the Chinese Communist Party, Representatives Mike Gallagher and Raja Krishnamoorthi, respectively, along with Senators Gary Peters and Bill Haggerty sent a letter to the Biden administration requesting that both WuXi AppTec Co., Ltd., WuXi’s parent company, and the affiliated WuXi Biologics be added to the Department of Defense’s Chinese Military Companies List (1260H list), the Department of Commerce’s Bureau of Industry and Security Entity List, and the Department of Treasury’s Non-SDN Chinese Military-Industrial Complex Companies List. While the Biden administration has yet to take action on this letter, adding either or both previously mentioned WuXi entities on any or all of the aforementioned lists could materially impact our MSA with WuXi.</w:t>
      </w:r>
    </w:p>
    <w:p>
      <w:pPr>
        <w:spacing w:after="0" w:line="14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Although our business has not been materially impacted by the ongoing military conflicts between Russia and Ukraine or Israel and Hamas, geopolitical tensions, or record inflation to date, it is impossible to predict the extent to which our operations, or those of our suppliers and manufacturers, will be impacted in the short and long term, or the ways in which the conflict may impact our business. The extent and duration of the conflicts in Ukraine and the Middle East, geopolitical tensions, record inflation, sanctions and resulting market disruptions are impossible to predict, but could be substantial. Any such disruptions may also magnify the impact of other risks described herein.</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that could negatively impact our financial results and cash flows.</w:t>
      </w:r>
    </w:p>
    <w:p>
      <w:pPr>
        <w:spacing w:after="0" w:line="181" w:lineRule="exact"/>
        <w:rPr>
          <w:sz w:val="20"/>
          <w:szCs w:val="20"/>
          <w:color w:val="auto"/>
        </w:rPr>
      </w:pPr>
    </w:p>
    <w:p>
      <w:pPr>
        <w:jc w:val="both"/>
        <w:ind w:firstLine="492"/>
        <w:spacing w:after="0" w:line="221" w:lineRule="auto"/>
        <w:rPr>
          <w:sz w:val="20"/>
          <w:szCs w:val="20"/>
          <w:color w:val="auto"/>
        </w:rPr>
      </w:pPr>
      <w:r>
        <w:rPr>
          <w:rFonts w:ascii="Times New Roman" w:cs="Times New Roman" w:eastAsia="Times New Roman" w:hAnsi="Times New Roman"/>
          <w:sz w:val="18"/>
          <w:szCs w:val="18"/>
          <w:color w:val="auto"/>
        </w:rPr>
        <w:t>With the acquisition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May 2023, a portion of our business will be conducted outside the United States. Furthermore, we are required to make certain future payments under the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acquisition agreement that are denominated in non-US dollars, including a milestone payment to Clinigen upon the approval of lifileucel in melanoma as well as future deferred consideration and earnout payments based on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sales. As such, we face exposure to adverse movements in foreign currency exchange rates, including movements in foreign currency for the future milestone payment. These exposures may change over time as business practices evolve, and they could have a material adverse impact on our results of operations, financial position, and cash flows. Our primary exposure to movements in foreign currency exchange rates currently relates to non-U.S. dollar denominated sales in Europe, the United Kingdom, and Asia, and non-U.S. dollar denominated operating expenses and certain assets and liabilities in our operating subsidiaries.</w:t>
      </w:r>
    </w:p>
    <w:p>
      <w:pPr>
        <w:spacing w:after="0" w:line="154"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results of operations, cash flows and prospects.</w:t>
      </w:r>
    </w:p>
    <w:p>
      <w:pPr>
        <w:spacing w:after="0" w:line="13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14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supply chains, which may result in increased costs.</w:t>
      </w:r>
    </w:p>
    <w:p>
      <w:pPr>
        <w:spacing w:after="0" w:line="148"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impact our business and reputation.</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8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can be costly, time consuming and can subject us to unanticipated delays; even after obtaining regulatory approval for some of our products and/or product candidates, those products and/or product candidates may still face regulatory difficulties.</w:t>
      </w:r>
    </w:p>
    <w:p>
      <w:pPr>
        <w:spacing w:after="0" w:line="134" w:lineRule="exact"/>
        <w:rPr>
          <w:sz w:val="20"/>
          <w:szCs w:val="20"/>
          <w:color w:val="auto"/>
        </w:rPr>
      </w:pPr>
    </w:p>
    <w:p>
      <w:pPr>
        <w:jc w:val="both"/>
        <w:ind w:firstLine="492"/>
        <w:spacing w:after="0" w:line="257" w:lineRule="auto"/>
        <w:rPr>
          <w:sz w:val="20"/>
          <w:szCs w:val="20"/>
          <w:color w:val="auto"/>
        </w:rPr>
      </w:pPr>
      <w:r>
        <w:rPr>
          <w:rFonts w:ascii="Times New Roman" w:cs="Times New Roman" w:eastAsia="Times New Roman" w:hAnsi="Times New Roman"/>
          <w:sz w:val="18"/>
          <w:szCs w:val="18"/>
          <w:color w:val="auto"/>
        </w:rPr>
        <w:t>Our products, potential products, cell processing and manufacturing activities, are subject to comprehensive regulation by the FDA in the U.S.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37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Prior to Amtagvi™, no adoptive cell therapy using TIL had been approved for marketing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completed the process for FDA approval for one adoptive cell therapy product. We will not be able to commercialize any of our potential products until we obtain FDA approval, and so any delay in obtaining, or inability to obtain, FDA approval would harm our business.</w:t>
      </w:r>
    </w:p>
    <w:p>
      <w:pPr>
        <w:spacing w:after="0" w:line="14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we fail to comply with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or product candidates.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45"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32" w:lineRule="exact"/>
        <w:rPr>
          <w:sz w:val="20"/>
          <w:szCs w:val="20"/>
          <w:color w:val="auto"/>
        </w:rPr>
      </w:pPr>
    </w:p>
    <w:p>
      <w:pPr>
        <w:jc w:val="both"/>
        <w:ind w:firstLine="492"/>
        <w:spacing w:after="0" w:line="236" w:lineRule="auto"/>
        <w:rPr>
          <w:sz w:val="20"/>
          <w:szCs w:val="20"/>
          <w:color w:val="auto"/>
        </w:rPr>
      </w:pPr>
      <w:r>
        <w:rPr>
          <w:rFonts w:ascii="Times New Roman" w:cs="Times New Roman" w:eastAsia="Times New Roman" w:hAnsi="Times New Roman"/>
          <w:sz w:val="18"/>
          <w:szCs w:val="18"/>
          <w:color w:val="auto"/>
        </w:rPr>
        <w:t>We completed our first submission of a rolling BLA to the FDA for lifileucel in March 2023. The FDA accepted our BLA for Amtagvi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patients with advanced melanoma in May 2023 and granted lifileucel Priority Review. The FDA originally assigned November 25, 2023 as the target action date for a decision under PDUFA, however, the FDA recently reassigned February 24, 2024 as the revised target action date. A BLA must include extensive preclinical and clinical data and supporting information to establish the product candidate’s safety and effectiveness for each desired indication. Our BLA submissions and expected timelines for our product candidates are based on our interpretation of communications received from the FDA to date regarding each product candidate and are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revision if additional communications are received from the FDA. As such, we may experience delays with FDA approval of additional BLAs.</w:t>
      </w:r>
    </w:p>
    <w:p>
      <w:pPr>
        <w:spacing w:after="0" w:line="189"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We have announced our intention to conduct registrational trials for both advanced NSCLC and cervical cancer with our LN-145 and lifileucel product candidates, respectively. These trials, which we refer to as IOV-LUN-202 Cohorts 1 and 2 in the case of advanced NSCLC and C-145-04 Cohort 2 in the case of cervical cancer, are currently underway and have been the subject of formal FDA meetings and communications. For instance, on December 22, 2023, the FDA placed a clinical hold on the IOV-LUN-202 trial in response to a recently reported Grade 5 (fatal) serious adverse event potentially related to the non-myeloablative lymphodepletion pre-conditioning regimen, and we have paused enrollment and the LN-145 treatment regimen for new patients in IOV-LUN-202 during the clinical hold. Our current beliefs regarding the registration pathway for the lifileucel and LN-145 product candidates in these indications are based on our interpretation of communications with the FDA to date and our efforts to address such communications, which may be incorrect. Our statements that the clinical trial may support a BLA submission also assume that our as-adjusted clinical trial has addressed the additional requests and feedback by the FDA. Further, enrollment in these clinical trials may need to be further adjusted based on future feedback from the FDA, changes in the competitive environment, or other regulatory agency input. Protocol revisions may have an adverse effect on the results reported to date. Changes to implement an independent review committee and assay validation and implementation, and the data within these clinical trials may not ultimately be supportive of product approval, all of which could result in significant delays to our currently anticipated timeline for development and approval of lifileucel and LN-145 product candidates or prevent their approval.</w:t>
      </w:r>
    </w:p>
    <w:p>
      <w:pPr>
        <w:spacing w:after="0" w:line="373" w:lineRule="exact"/>
        <w:rPr>
          <w:sz w:val="20"/>
          <w:szCs w:val="20"/>
          <w:color w:val="auto"/>
        </w:rPr>
      </w:pPr>
    </w:p>
    <w:p>
      <w:pPr>
        <w:jc w:val="both"/>
        <w:ind w:firstLine="492"/>
        <w:spacing w:after="0" w:line="242" w:lineRule="auto"/>
        <w:rPr>
          <w:sz w:val="20"/>
          <w:szCs w:val="20"/>
          <w:color w:val="auto"/>
        </w:rPr>
      </w:pPr>
      <w:r>
        <w:rPr>
          <w:rFonts w:ascii="Times New Roman" w:cs="Times New Roman" w:eastAsia="Times New Roman" w:hAnsi="Times New Roman"/>
          <w:sz w:val="18"/>
          <w:szCs w:val="18"/>
          <w:color w:val="auto"/>
        </w:rPr>
        <w:t>A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We may also not be able to successfully utilize the BTD designation we have received for metastatic cervical cancer to successfully complete the development and commercialization of Amtagvi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such indication. We may not be able to reach agreement with the FDA on an interpretation of outcomes from our meetings, including meetings we have held with the FDA in relation to our C-145-04 clinical trial and future meetings. In addition, as previously disclosed, Iovance began startup activities for a confirmatory Phase 3 clinical trial, TILVANCE-301, of lifileucel in combination with pembrolizumab in frontline metastatic melanoma in late 2022. The FDA previously granted Fast Track Designation for lifileucel in combination with pembrolizumab for the treatment of immune checkpoint inhibitor naïve metastatic melanoma. However, the regulatory approval pathway for our product candidates may be uncertain, complex, expensive and lengthy, and approval may not be obtained.</w:t>
      </w:r>
    </w:p>
    <w:p>
      <w:pPr>
        <w:spacing w:after="0" w:line="176"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We may also experience delays, including delays arising from the need to increase enrollment, in completing planned clinical trials for a variety of reasons, including delays related to:</w:t>
      </w:r>
    </w:p>
    <w:p>
      <w:pPr>
        <w:spacing w:after="0" w:line="121" w:lineRule="exact"/>
        <w:rPr>
          <w:sz w:val="20"/>
          <w:szCs w:val="20"/>
          <w:color w:val="auto"/>
        </w:rPr>
      </w:pPr>
    </w:p>
    <w:p>
      <w:pPr>
        <w:ind w:left="820" w:hanging="320"/>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clinical trials;</w:t>
      </w:r>
    </w:p>
    <w:p>
      <w:pPr>
        <w:spacing w:after="0" w:line="27"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contract terms with prospective CROs and clinical trial sites, the terms of which can be subject to extensive negotiation and may vary significantly among different CROs and clinical trial sites;</w:t>
      </w:r>
    </w:p>
    <w:p>
      <w:pPr>
        <w:ind w:left="820" w:hanging="320"/>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at each clinical trial site by an independent IRB, or central IRB;</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clinical trial protocol or dropping out of a clinical trial;</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9"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qualified materials under cGMP and applying them on a subject-by-subject basis for use in clinical trials; or</w:t>
      </w:r>
    </w:p>
    <w:p>
      <w:pPr>
        <w:ind w:left="820" w:hanging="320"/>
        <w:spacing w:after="0" w:line="260" w:lineRule="auto"/>
        <w:tabs>
          <w:tab w:leader="none" w:pos="8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implementing or validating changes to our manufacturing or quality control processes and methods needed to address FDA feedback.</w:t>
      </w:r>
    </w:p>
    <w:p>
      <w:pPr>
        <w:spacing w:after="0" w:line="141"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there are unresolved ethical issues associated with physicians enrolling patients in clinical trials of our product candidates in lieu of prescribing existing treatments that have established safety and efficacy profiles. Further, a clinical trial may be suspended or terminated by us, the IRBs for the institutions in which such clinical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clinical trial site by the FDA or other regulatory authorities resulting in the imposition of a clinical hold, including as a result of genetic editing methods, unforeseen safety issues or adverse side effects, failure to demonstrate a benefit from using a product candidate, changes in governmental regulations or administrative actions or lack of adequate funding to continue the clinical trial. If we experience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35"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32"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In order to market and sell our products outside the U.S., we or our third-party collaborators may be required to obtain or maintain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U.S. on a timely basis, if at all. The FDA or other regulatory agencies may also withdraw approval for previously approved products.</w:t>
      </w:r>
    </w:p>
    <w:p>
      <w:pPr>
        <w:spacing w:after="0" w:line="157"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43"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48"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ongoing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48"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addition, we, our contractors, and our collaborators are and will remain responsible for FDA compliance, including requirements related to product design, testing, clinical trials and preclinical studies approval, manufacturing processes and quality, labeling, packaging, distribution, adverse event and deviation reporting, storage, advertising, marketing, promotion, sale, import, export, submissions of safety and other post-marketing information and reports such as deviation reports, establishment registration, product listing, annual user fees, and recordkeeping for our product candidates.</w:t>
      </w:r>
    </w:p>
    <w:p>
      <w:pPr>
        <w:spacing w:after="0" w:line="143"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35" w:lineRule="exact"/>
        <w:rPr>
          <w:sz w:val="20"/>
          <w:szCs w:val="20"/>
          <w:color w:val="auto"/>
        </w:rPr>
      </w:pPr>
    </w:p>
    <w:p>
      <w:pPr>
        <w:ind w:left="820" w:hanging="320"/>
        <w:spacing w:after="0" w:line="261" w:lineRule="auto"/>
        <w:tabs>
          <w:tab w:leader="none" w:pos="8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distribution, or manufacturing of our product candidates, withdrawal of the product from the market, or voluntary or mandatory product recalls;</w:t>
      </w:r>
    </w:p>
    <w:p>
      <w:pPr>
        <w:ind w:left="820" w:hanging="320"/>
        <w:spacing w:after="0" w:line="250" w:lineRule="auto"/>
        <w:tabs>
          <w:tab w:leader="none" w:pos="8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of our product candidates, including required additional warnings, such as black box warnings, contraindications, precautions, and restrictions on the approved indication or use;</w:t>
      </w:r>
    </w:p>
    <w:p>
      <w:pPr>
        <w:ind w:left="820" w:hanging="320"/>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product labeling or the way the product is administered;</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disgorgement, warning letters, untitled letters, or holds on or termination of clinical trials;</w:t>
      </w:r>
    </w:p>
    <w:p>
      <w:pPr>
        <w:spacing w:after="0" w:line="9"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ind w:left="820" w:hanging="320"/>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9" w:lineRule="exact"/>
        <w:rPr>
          <w:rFonts w:ascii="Times New Roman" w:cs="Times New Roman" w:eastAsia="Times New Roman" w:hAnsi="Times New Roman"/>
          <w:sz w:val="18"/>
          <w:szCs w:val="18"/>
          <w:color w:val="auto"/>
        </w:rPr>
      </w:pPr>
    </w:p>
    <w:p>
      <w:pPr>
        <w:ind w:left="820" w:hanging="320"/>
        <w:spacing w:after="0" w:line="250" w:lineRule="auto"/>
        <w:tabs>
          <w:tab w:leader="none" w:pos="8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debarment from government contracts, and refusal of future orders under existing contracts, exclusion from federal healthcare programs, consent decrees, or corporate integrity agreements;</w:t>
      </w:r>
    </w:p>
    <w:p>
      <w:pPr>
        <w:ind w:left="820" w:hanging="320"/>
        <w:spacing w:after="0" w:line="250" w:lineRule="auto"/>
        <w:tabs>
          <w:tab w:leader="none" w:pos="8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biologic;</w:t>
      </w:r>
    </w:p>
    <w:p>
      <w:pPr>
        <w:ind w:left="820" w:hanging="320"/>
        <w:spacing w:after="0" w:line="250" w:lineRule="auto"/>
        <w:tabs>
          <w:tab w:leader="none" w:pos="8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restrictions on manufacturing or distribution if there is an inability to trace the source of a problem due to the nature of cell therapy;</w:t>
      </w:r>
    </w:p>
    <w:p>
      <w:pPr>
        <w:ind w:left="820" w:hanging="320"/>
        <w:spacing w:after="0" w:line="181" w:lineRule="auto"/>
        <w:tabs>
          <w:tab w:leader="none" w:pos="8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regulatory approvals for the Proleukin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product;</w:t>
      </w:r>
    </w:p>
    <w:p>
      <w:pPr>
        <w:ind w:left="820" w:hanging="320"/>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 or</w:t>
      </w:r>
    </w:p>
    <w:p>
      <w:pPr>
        <w:spacing w:after="0" w:line="7"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180"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21"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43"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48"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enforcement by both the federal government and the states in which we conduct our business.</w:t>
      </w:r>
    </w:p>
    <w:p>
      <w:pPr>
        <w:spacing w:after="0" w:line="15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51"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65"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47"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47"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In the U.S.,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35" w:lineRule="exact"/>
        <w:rPr>
          <w:sz w:val="20"/>
          <w:szCs w:val="20"/>
          <w:color w:val="auto"/>
        </w:rPr>
      </w:pPr>
    </w:p>
    <w:p>
      <w:pPr>
        <w:jc w:val="both"/>
        <w:ind w:right="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3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39" w:lineRule="exact"/>
        <w:rPr>
          <w:sz w:val="20"/>
          <w:szCs w:val="20"/>
          <w:color w:val="auto"/>
        </w:rPr>
      </w:pPr>
    </w:p>
    <w:p>
      <w:pPr>
        <w:jc w:val="both"/>
        <w:ind w:right="20" w:firstLine="492"/>
        <w:spacing w:after="0" w:line="266"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35"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61" w:lineRule="exact"/>
        <w:rPr>
          <w:sz w:val="20"/>
          <w:szCs w:val="20"/>
          <w:color w:val="auto"/>
        </w:rPr>
      </w:pPr>
    </w:p>
    <w:p>
      <w:pPr>
        <w:ind w:left="820" w:hanging="320"/>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7"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66"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5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53"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47"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65"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48"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39" w:lineRule="exact"/>
        <w:rPr>
          <w:sz w:val="20"/>
          <w:szCs w:val="20"/>
          <w:color w:val="auto"/>
        </w:rPr>
      </w:pPr>
    </w:p>
    <w:p>
      <w:pPr>
        <w:ind w:left="820" w:hanging="320"/>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27"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9"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80"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1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60"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Since enactment of the Patient Protection and Affordable Care Act, as amended, or the ACA, in 2010, in both the U.S.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Trump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In June 2021, the Supreme Court issued its opinion in California v. Texas, upholding the constitutionality of the ACA.</w:t>
      </w:r>
    </w:p>
    <w:p>
      <w:pPr>
        <w:spacing w:after="0" w:line="150"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and with the change in administration it is possible that President Biden may issue executive orders with the potential to change a number of prior executive branch actions on drug pricing. We continue to monitor the potential impact of proposals and recently enacted legislation to lower prescription drug costs at the federal and state level. For example, the Inflation Reduction Act, or the IRA, was signed into law in August 2022 by President Biden, which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5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there have been a number of other policy, legislative and regulatory proposals aimed at changing the pharmaceutical industry. The U.S. government, state legislatures and foreign governmental entities have shown significant interest in implementing cost containment programs to limit the growth of government-paid healthcare costs, including price controls, restrictions on reimbursement</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coverage and requirements for substitution of generic products for branded prescription drugs. Adoption of government controls and measures and tightening of restrictive policies in jurisdictions with existing controls and measures, could exclude or limit our product candidates from coverage and limit payments for pharmaceuticals. We continue to monitor the potential impact of these and other proposals to lower prescription drug costs at the federal and state level.</w:t>
      </w:r>
    </w:p>
    <w:p>
      <w:pPr>
        <w:spacing w:after="0" w:line="13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5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revenues, if any.</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and the United Kingdom,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57"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18"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5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9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1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 and other intellectual property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w:t>
      </w:r>
    </w:p>
    <w:p>
      <w:pPr>
        <w:spacing w:after="0" w:line="16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3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post grant review, and equivalent proceedings in foreign jurisdictions (e.g., opposition proceedings). For example, on November 24, 2021, an opposition proceeding was initiated in the European Patent Office against our European Patent No. 3601533 B1. This opposition proceeding, or any similar proceedings that may arise in the U.S. or foreign jurisdictions,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or third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party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20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4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4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6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1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4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Since the NCI, Moffitt, MDACC, and others already use TIL cell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use of our technologies could potentially conflict with the rights of others.</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conducted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4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1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is the case with other cell therapy and biopharmaceutical companies, our success is dependent on intellectual property, particularly patents. Obtaining and enforcing patents in the biopharmaceutical industry involves both technological and legal complexity, and is therefore costly, time-consuming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6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11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spacing w:after="0" w:line="14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18"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costs and be a distraction to our management and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85"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officers, directors and principal stockholders own a substantial percentage of our stock and will be able to exert significant control over matters subject to stockholder approval.</w:t>
      </w:r>
    </w:p>
    <w:p>
      <w:pPr>
        <w:spacing w:after="0" w:line="118"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or influence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our stockholders’ investment in our stock could decline in value.</w:t>
      </w:r>
    </w:p>
    <w:p>
      <w:pPr>
        <w:spacing w:after="0" w:line="229"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is likely to be volatile and could fluctuate widely in response to many factors, including but not limited to:</w:t>
      </w:r>
    </w:p>
    <w:p>
      <w:pPr>
        <w:spacing w:after="0" w:line="162" w:lineRule="exact"/>
        <w:rPr>
          <w:sz w:val="20"/>
          <w:szCs w:val="20"/>
          <w:color w:val="auto"/>
        </w:rPr>
      </w:pPr>
    </w:p>
    <w:p>
      <w:pPr>
        <w:ind w:left="840" w:hanging="319"/>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instability in the capital markets due to the COVID-19 pandemic;</w:t>
      </w:r>
    </w:p>
    <w:p>
      <w:pPr>
        <w:spacing w:after="0" w:line="27" w:lineRule="exact"/>
        <w:rPr>
          <w:rFonts w:ascii="Times New Roman" w:cs="Times New Roman" w:eastAsia="Times New Roman" w:hAnsi="Times New Roman"/>
          <w:sz w:val="18"/>
          <w:szCs w:val="18"/>
          <w:color w:val="auto"/>
        </w:rPr>
      </w:pPr>
    </w:p>
    <w:p>
      <w:pPr>
        <w:ind w:left="840" w:hanging="319"/>
        <w:spacing w:after="0" w:line="250" w:lineRule="auto"/>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 results of clinical trials by us, our collaborators, or our competitors, or negative developments with respect to similar products, including those being developed by our collaborators;</w:t>
      </w:r>
    </w:p>
    <w:p>
      <w:pPr>
        <w:ind w:left="840" w:hanging="319"/>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patents or proprietary rights;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new contracts by us or our competitors;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due to the level of development expenses and other factors;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equities research analysts and whether our earnings meet or exceed such estimates;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pharmaceutical, biotechnology and other industries;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or lack of receipt, of funding in support of conducing our business;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within, and outside of, the U.S.;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in the financial markets;</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other factors; and</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risks described in this Annual Report on Form 10-K.</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or other equity issuances.</w:t>
      </w:r>
    </w:p>
    <w:p>
      <w:pPr>
        <w:spacing w:after="0" w:line="22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stock price to fall.</w:t>
      </w:r>
    </w:p>
    <w:p>
      <w:pPr>
        <w:spacing w:after="0" w:line="2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35"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As of December 31, 2023, we had 256,135,715 shares of common stock outstanding. In addition, we had 25,589,659 shares of common stock equivalents that would increase the number of common stock outstanding if these instruments were exercised or converted to purchase common stock based on vesting requirements of stock options and common stock issuable through purchases of employee stock purchase plan, or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from 150,000,000 shares to 300,000,000 shares, which was approved by our stockholders on that date. On June 16, 2023, our certificate of incorporation was amended to increase the number of authorized shares of our common stock from 300,000,000 to 500,000,000 shares, which amendment was approved by our stockholders on June 6, 2023.</w:t>
      </w:r>
    </w:p>
    <w:p>
      <w:pPr>
        <w:spacing w:after="0" w:line="161"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For example, in July 2023, we issued 23,000,000 shares of common stock in connection with an underwritten public offering, and we may offer additional shares under our automatic shelf registration statement in the future. Future issuances may result in substantial dilution to our existing stockholders and could cause our stock price to decline.</w:t>
      </w:r>
    </w:p>
    <w:p>
      <w:pPr>
        <w:spacing w:after="0" w:line="179" w:lineRule="exact"/>
        <w:rPr>
          <w:sz w:val="20"/>
          <w:szCs w:val="20"/>
          <w:color w:val="auto"/>
        </w:rPr>
      </w:pPr>
    </w:p>
    <w:p>
      <w:pPr>
        <w:jc w:val="both"/>
        <w:ind w:right="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equities or industry analysts do not publish research or reports about our company, or if they issue adverse or misleading opinions regarding us or our stock, our stock price and trading volume could decline.</w:t>
      </w:r>
    </w:p>
    <w:p>
      <w:pPr>
        <w:spacing w:after="0" w:line="15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43"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34"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6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Federal and state securities and related legal actions may result in substantial costs and divert our management’s attention from other business concerns, which could seriously harm our business or affect our reputation. We may not be successful in defending future claims and cannot provide assurance that insurance proceeds will be sufficient to cover any costs or liability under such claims.</w:t>
      </w:r>
    </w:p>
    <w:p>
      <w:pPr>
        <w:spacing w:after="0" w:line="176"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For example, on December 11, 2020, a purported stockholder derivative complaint was filed by plaintiff Leo Shumacher against us, as nominal defendant, and then current directors, as defendants, in the Court of Chancery in the State of Delaware, or the Court. The complaint alleges breach of fiduciary duty and a claim for unjust enrichment in connection with alleged excessive compensation of certain of our non-executive directors and seeks unspecified damages on behalf of our company. The parties have agreed to a proposed</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settlement, which was submitted to the Court on June 15, 2022. The parties continue to work toward settlement after a hearing on November 17, 2022, where the Court required additional steps to be taken by the parties before it will determine whether final approval will be given to the settlement. The outcome of this and other future litigation is uncertain.</w:t>
      </w:r>
    </w:p>
    <w:p>
      <w:pPr>
        <w:spacing w:after="0" w:line="172"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p>
    <w:p>
      <w:pPr>
        <w:spacing w:after="0" w:line="118"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61"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18"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31"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48"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48"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43"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48"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3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60"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35"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bylaws could limit our stockholders’ ability to obtain a favorable judicial forum for disputes with us or our directors, officers or employees.</w:t>
      </w:r>
    </w:p>
    <w:p>
      <w:pPr>
        <w:spacing w:after="0" w:line="118"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federal district courts of the U.S. shall be the exclusive forum for the resolution of any complaint asserting a cause of action under the Securities Act. This provision limits the ability of our shareholders to bring claims under the Securities Act in any court other than the U.S. federal courts, which ultimately may disadvantage our shareholders or be cost prohibitive. Notwithstanding the foregoing, there is uncertainty as to whether a court (other than state courts in the State of Delaware, which have recently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spacing w:after="0" w:line="165"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3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operate in the biopharmaceutical sector, which is subject to various cybersecurity risks that could adversely affect our business, financial condition, and the results of operations, including intellectual property theft, fraud, extortion, harm to employees, third party vendors or customers, violation of privacy laws and other litigation and legal risk, and reputational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We have processes in place for assessing, identifying, and managing material risks from cybersecurity threats, which are integrated into our overall risk management processes. These processes include identifying and assessing risks from cybersecurity threats associated with the use of third-party service providers, if any. The response to any cybersecurity incident detected or reported is led by our Computer Security Incident Response Team, or the CSIRT, to assess the nature and magnitude of event and classify severity in accordance with our internal policies and procedures. Depending on the severity of the incident, appropriate level of management members, including our Chief Executive Officer, Chief Financial Officer, external legal counsel, and certain members of the finance and investor relations organizations, will be notified and take appropriate actions. In addition, the Information Technology, or IT, team provides periodic reports to the Chief Executive Officer and other members of our senior management, as appropriate, and provides periodic reports to the Audit Committee of the Board of Directors as needed. These reports include updates on our cyber risks and threats as well as the status of previously identified and/or reported cybersecurity incidents, if any. We also actively engage with key vendors,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industry participants and intelligence and law enforcement communities as part of continuing efforts to evaluate and enhance the effectiveness of our information security policies and procedures.</w:t>
      </w:r>
    </w:p>
    <w:p>
      <w:pPr>
        <w:spacing w:after="0" w:line="18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We use various tools and methodologies to assess, identify, and manage material risks from cybersecurity threats that are tested on a regular cadence. We also monitor and evaluate our cybersecurity posture and performance on an ongoing basis through regular vulnerability scans, penetration tests and use of threat intelligence feeds. The results of these activities and any key actions are reported at least once per quarter and more frequently as needed to the Audit Committee of the Board of Directors, our Chief Executive Officer, and key members of senior management. Our employees are also required to certify their understanding and completion of training for our cybersecurity policies.</w:t>
      </w:r>
    </w:p>
    <w:p>
      <w:pPr>
        <w:spacing w:after="0" w:line="21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the date of this report, we are not aware of any material risks from cybersecurity threats, including as a result of any previous cybersecurity incidents, that have materially affected our business strategy, results of operations, or financial condition. However, as discussed under “Risk Factors” in Part I, Item 1A of this Annual Report, cybersecurity threats pose multiple risks to us, including potentially to our results of operations and financial condition. Refer to Item 1A – “</w:t>
      </w:r>
      <w:r>
        <w:rPr>
          <w:rFonts w:ascii="Times New Roman" w:cs="Times New Roman" w:eastAsia="Times New Roman" w:hAnsi="Times New Roman"/>
          <w:sz w:val="18"/>
          <w:szCs w:val="18"/>
          <w:i w:val="1"/>
          <w:iCs w:val="1"/>
          <w:color w:val="auto"/>
        </w:rPr>
        <w:t>Our internal computer systems, or those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used by our contract research organizations or other contractors or consultants, may fail or suffer security breaches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We are dependent on information technology, systems, infrastructure and data</w:t>
      </w:r>
      <w:r>
        <w:rPr>
          <w:rFonts w:ascii="Times New Roman" w:cs="Times New Roman" w:eastAsia="Times New Roman" w:hAnsi="Times New Roman"/>
          <w:sz w:val="18"/>
          <w:szCs w:val="18"/>
          <w:color w:val="auto"/>
        </w:rPr>
        <w:t>,” which are incorporated by reference into this Item 1C.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cybersecurity threats become more sophisticated and coordinated, it is reasonably likely that we will be required to expend greater resources to continue to modify and enhance our protective measures as we pursue our business strategies.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68" w:lineRule="exact"/>
        <w:rPr>
          <w:sz w:val="20"/>
          <w:szCs w:val="20"/>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of Directors</w:t>
      </w:r>
    </w:p>
    <w:p>
      <w:pPr>
        <w:spacing w:after="0" w:line="268"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Audit Committee operates under a written charter adopted by the Company’s Board of Directors. The Audit Committee oversees, among other things, a system of internal controls, including internal controls designed to assess, identify, and manage material risks from cybersecurity threats. The Audit Committee is also responsible for the adequacy and effectiveness of the Company’s internal controls, including those internal controls that are designed to assess, identify, and manage material risks from cybersecurity threats. For further information about the Audit Committee’s role in assessing and managing the registrant’s material risks from cybersecurity threats, see “Risk Management and Strategy,” under this Item 1C.</w:t>
      </w:r>
    </w:p>
    <w:p>
      <w:pPr>
        <w:spacing w:after="0" w:line="212" w:lineRule="exact"/>
        <w:rPr>
          <w:sz w:val="20"/>
          <w:szCs w:val="20"/>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w:t>
      </w:r>
    </w:p>
    <w:p>
      <w:pPr>
        <w:spacing w:after="0" w:line="268"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Our team of cybersecurity professionals is led by our Vice President, Infrastructure and Security, who along with other members of the IT team collectively over extensive experience in the cybersecurity space in both the pharmaceutical and non-pharmaceutical sectors, many of whom have obtained professional security certifications. The IT team has primary responsibility for our overall cybersecurity risk management program and supervises both our internal cybersecurity personnel and our retained external cybersecurity consultants. For further information about Management’s role in assessing and managing the registrant’s material risks from cybersecurity threats, see “Risk Management and Strategy,” under this Item 1C.</w:t>
      </w:r>
    </w:p>
    <w:p>
      <w:pPr>
        <w:spacing w:after="0" w:line="18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 Carlos Headquarters Lease</w:t>
      </w:r>
    </w:p>
    <w:p>
      <w:pPr>
        <w:spacing w:after="0" w:line="227"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On February 8, 2021, we entered into a lease agreement, or the New Headquarters Lease, for laboratories and offices to be constructed in Suite 400 of an existing building located at 825 Industrial Road, San Carlos, California, or the Building. Under the New Headquarters Lease, we lease approximately 49,918 rentable square feet of space in the Building that currently serves as the premises for our headquarters. The New Headquarters Lease, which commenced in January 2022, has an initial term of 120 months. The New Headquarters Lease includes an option to extend the term of the lease for 60 months, exercisable under certain conditions and at a market rate as described in the New Headquarters Lease.</w:t>
      </w:r>
    </w:p>
    <w:p>
      <w:pPr>
        <w:spacing w:after="0" w:line="187"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Commencing 210 days after the Rent Commencement Date as the result of a rent abatement, our monthly base rent under the New Headquarters Lease is approximately $0.3 million, subject to an annual increase of 3%. We are also responsible for paying operating expenses such as common area maintenance.</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Minimum rental payments under the New Headquarters Lease total $36.7 million for the entire term of the lease, which does not include rental payments related to our one-time option to extend for an additional five years. In addition, the lessor has provided a tenant improvement allowance of up to $8.2 million, of which, to date, we have received reimbursements associated with this tenant improvement allowance totaling $8.1 million. We do not expect to receive any additional reimbursements associated with this tenant improvement allowance.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Manufacturing Facility Agreement</w:t>
      </w:r>
    </w:p>
    <w:p>
      <w:pPr>
        <w:spacing w:after="0" w:line="227"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 xml:space="preserve">On May 28, 2019, we entered into a lease agreement, or the Commercial Manufacturing Facility Lease, for a build-to-suit commercial manufacturing facility, laboratories, and offices located in Philadelphia, Pennsylvania. Under the Commercial Manufacturing Facility Lease, we lease approximately 136,000 rentable square feet of space in a building located at 300 Rouse Boulevard, Philadelphia, Pennsylvania known as the Iovance Cell Therapy Center, or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The construction of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began in July 2019 and in the third quarter of 2021 we completed the commissioning activities as well as certain tenant improvements. The Commercial Manufacturing Facility Lease includes an option to extend the term of the lease by giving the landlord prior written notice thereof at least 18 months in advance of expiration date, exercisable under certain conditions as described in the Commercial Manufacturing Facility Lease, such that the overall term, when added to the initial term, shall be 359 months.</w:t>
      </w:r>
    </w:p>
    <w:p>
      <w:pPr>
        <w:spacing w:after="0" w:line="19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Our monthly base rent under the Commercial Manufacturing Facility Lease is approximately $0.3 million, subject to an annual increase of 2% for the first ten years. Commencing on the first day of each lease year thereafter, for the remainder of the lease term, monthly rent is subject to an annual increase of the greater of 2% or 75% of the average ten-year consumer price index. We are also responsible for paying operating expenses, such as common area maintenance.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Tampa Lease</w:t>
      </w:r>
    </w:p>
    <w:p>
      <w:pPr>
        <w:spacing w:after="0" w:line="227"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Our research and development facilities consist of 8,673 square feet in a facility located at the University of South Florida Research Park in Tampa, Florida. These facilities are leased under an agreement with a lease term through December 2024 for approximately $20,500 a month. In June 2020, we amended the lease agreement to further increase the rentable space to 13,139 square feet and extend the lease term to June 5, 2025, for approximately $34,500 a month. On December 22, 2021, we entered into a second amendment to lease an additional 2,731 square feet of space through June 5, 2025, co-terminus with the existing leased space. Upon completion of tenant improvements of the premise, lease payments will be approximately $45,000 per month.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Philadelphia Office Lease</w:t>
      </w:r>
    </w:p>
    <w:p>
      <w:pPr>
        <w:spacing w:after="0" w:line="227"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On May 2, 2019, we entered into an agreement to lease approximately 1,500 square feet of office space in Philadelphia, Pennsylvania until July 1, 2019, for a rate of $2,000 a month, and then approximately 4,500 square feet of office space for the remainder of a three-year term at an initial rate of $11,063 per month, subject to annual increases of 2.5%. On September 1, 2021, we entered into an agreement to extend the lease term for an additional three years to July 31, 2025, for approximately $11,900 a month, effective as of June 1, 2022, subject to annual increases of 2.5%.</w:t>
      </w:r>
    </w:p>
    <w:p>
      <w:pPr>
        <w:spacing w:after="0" w:line="143"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On August 1, 2020, we entered into an agreement to lease approximately 2,965 square feet of a training facility space in Plymouth Meeting, Pennsylvania for a twelve-month term at a rate of approximately $6,500 per month.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Netherlands Office Lease</w:t>
      </w:r>
    </w:p>
    <w:p>
      <w:pPr>
        <w:spacing w:after="0" w:line="200"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On July 28, 2023, we entered into an agreement to lease a satellite office space in Amsterdam, Netherlands for a twelve-month term at a rate of approximately 5,400 € per month. Such agreement automatically renews for successive periods unless cancelled with no less than three months’ notice prior to the end of the current term.</w:t>
      </w:r>
    </w:p>
    <w:p>
      <w:pPr>
        <w:spacing w:after="0" w:line="176"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are adequate to meet our current needs, and that suitable additional alternative spaces will be available in the future on commercially reasonable terms.</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information in Note 15 to the consolidated financial statements contained in Part III, Item 15 of this Annual Report on Form 10-K is incorporated herein by reference. There are no matters which constitute material pending legal proceedings to which we are a</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party other than those incorporated into this item by reference from Note 11 to our consolidated financial statements for the year ended December 31, 2023, contained in this Annual Report on Form 10-K.</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22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Common Equity, Related Stockholder Matters and Issuer Purchases of Equity Securities Market Information</w:t>
      </w:r>
    </w:p>
    <w:p>
      <w:pPr>
        <w:ind w:left="500"/>
        <w:spacing w:after="0"/>
        <w:rPr>
          <w:sz w:val="20"/>
          <w:szCs w:val="20"/>
          <w:color w:val="auto"/>
        </w:rPr>
      </w:pPr>
      <w:r>
        <w:rPr>
          <w:rFonts w:ascii="Times New Roman" w:cs="Times New Roman" w:eastAsia="Times New Roman" w:hAnsi="Times New Roman"/>
          <w:sz w:val="18"/>
          <w:szCs w:val="18"/>
          <w:color w:val="auto"/>
        </w:rPr>
        <w:t>Our common stock is traded on The Nasdaq Global Market under the symbol “IOVA.”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there were approximately 17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Payment of future cash dividends, if any, will be at the discretion of the Board of Directors after considering various factors, including our financial condition, operating results, current and anticipated cash needs.</w:t>
      </w:r>
    </w:p>
    <w:p>
      <w:pPr>
        <w:spacing w:after="0" w:line="180"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Under the terms of our Series A Convertible Preferred Stock, we may not declare, pay or set aside any dividends on shares of any class or series of capital stock (other than dividends on shares of common stock payable in shares of common stock) unless the holders of our Series A Convertible Preferred Stock first receive, or simultaneously receive, an equal dividend on each outstanding share of Series A Convertible Preferred Stock.</w:t>
      </w:r>
    </w:p>
    <w:p>
      <w:pPr>
        <w:spacing w:after="0" w:line="180"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Under the terms of our Series B Convertible Preferred Stock, holders shall be entitled to receive dividends on shares equal (on an as-if-converted-to-Common-Stock basis) to and in the same form as dividends (other than dividends in the form of common stock) actually paid on shares of our Series A Convertible Preferred Stock, common stock or other junior securities when, as and if such dividends (other than dividends in the form of common stock) are paid on shares of our Series A Convertible Preferred Stock, common stock or other junior securities. No other dividends shall be paid on shares of Series B Convertible Preferred Stock, and we may not pay dividends (other than dividends in the form of common stock) on shares of our Series A Convertible Preferred Stock, common stock or other junior securities unless it simultaneously complies with the previous sentence.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share repurchases during the year ended December 31,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right="20" w:firstLine="492"/>
        <w:spacing w:after="0" w:line="266" w:lineRule="auto"/>
        <w:rPr>
          <w:sz w:val="20"/>
          <w:szCs w:val="20"/>
          <w:color w:val="auto"/>
        </w:rPr>
      </w:pPr>
      <w:r>
        <w:rPr>
          <w:rFonts w:ascii="Times New Roman" w:cs="Times New Roman" w:eastAsia="Times New Roman" w:hAnsi="Times New Roman"/>
          <w:sz w:val="18"/>
          <w:szCs w:val="18"/>
          <w:color w:val="auto"/>
        </w:rPr>
        <w:t>The following graph illustrates a comparison of the total cumulative stockholder return on our common stock since December 31, 2018, to two indices: the Russell 3000 and the NASDAQ Biotechnology Index.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123190</wp:posOffset>
            </wp:positionV>
            <wp:extent cx="5280660" cy="2802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8066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Information regarding our equity compensation plans is incorporated by reference from the information in our Proxy Statement for our 2024 Annual Meeting of Stockholders, which we will file with the SEC within 120 days after the end of the fiscal year to which this Annual Report on Form 10-K relates.</w:t>
      </w:r>
    </w:p>
    <w:p>
      <w:pPr>
        <w:spacing w:after="0" w:line="1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results of operations and financial condition should be read in conjunction with our financial statements and the notes to those financial statements that are included elsewhere in this report.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and elsewhere in this report. We use words such as “may,” “will,” “might,” “could,” “would,” “should,” “expect,” “intend,” “plan,” “anticipate,” “believe,” “estimate,” “predict,” “project,” “aim,” “potential,” “continue,” “ongoing,” “goal,” “forecast,” “guidance,” “outlook,” or the negative of these terms or other similar expressions to identify forward-looking statements, although not all forward-looking statements contain these words. All forward-looking statements included in this report are based on information available to us on the date hereof and, except as required by law, we assume no obligation to update any such forward-looking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92"/>
        <w:spacing w:after="0" w:line="245" w:lineRule="auto"/>
        <w:rPr>
          <w:sz w:val="20"/>
          <w:szCs w:val="20"/>
          <w:color w:val="auto"/>
        </w:rPr>
      </w:pPr>
      <w:r>
        <w:rPr>
          <w:rFonts w:ascii="Times New Roman" w:cs="Times New Roman" w:eastAsia="Times New Roman" w:hAnsi="Times New Roman"/>
          <w:sz w:val="18"/>
          <w:szCs w:val="18"/>
          <w:color w:val="auto"/>
        </w:rPr>
        <w:t>We are a commercial-stage biopharmaceutical company pioneering a transformational approach to treating cancer by harnessing the human immune system’s ability to recognize and destroy diverse cancer cells using therapies personalized for each patient. Our mission is to be the global leader in innovating, developing and delivering tumor infiltrating lymphocyte, or TIL, cell therapies for patients with solid tumor cancers. With the recent approval of our biologics license application, or BLA, we are executing the U.S. launch of Amtagvi™ (lifileucel), the first product within our autologous TIL cell therapy platform, while also marketing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(aldesleukin), an interleukin-2, or IL-2, product used in the Amtagvi™ treatment regimen. Amtagvi™ is a tumor-derived autologous T cell immunotherapy indicated for the treatment of adult patients with unresectable or metastatic melanoma previously treated with a PD-1 blocking antibody, and if BRAF V600 mutation positive, a BRAF inhibitor with or without a MEK inhibitor. This indication is approved under accelerated approval based on an endpoint of overall response rate, or ORR. Continued approval for this indication may be contingent upon verification and description of clinical benefit in future confirmatory trials. Amtagvi™ is the first and the only one-time, individualized T cell therapy to receive U.S. Food and Drug Administration, or FDA, approval for a solid tumor cancer. Amtagvi™ and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part of a treatment regimen that also includes lymphodepletion.</w:t>
      </w:r>
    </w:p>
    <w:p>
      <w:pPr>
        <w:spacing w:after="0" w:line="44"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Iovance was founded to build upon the promise of TIL cell therapy that was previously demonstrated in single-center clinical trials at academic centers, including the National Cancer Institute, or the NCI. Our multi-center trials, novel TIL products, manufacturing processes, facilities, and bioanalytical platforms have transformed TIL cell therapy into a commercially viable treatment which many more patients with cancer can access.</w:t>
      </w:r>
    </w:p>
    <w:p>
      <w:pPr>
        <w:spacing w:after="0" w:line="15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manufacture Amtagvi™ and our investigational TIL cell therapies using a centralized, scalable and proprietary 22-day manufacturing process which rejuvenates and multiplies polyclonal T cells unique to each patient into the billions and yields a cryopreserved, individualized therapy.</w:t>
      </w:r>
    </w:p>
    <w:p>
      <w:pPr>
        <w:spacing w:after="0" w:line="135"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Our development pipeline includes multicenter trials of TIL cell therapies in additional treatment settings for solid tumor cancers. We are investigating TIL monotherapies for patients with later stage disease who were previously treated with standard of care therapies and TIL combinations with standard of care therapies to potentially improve outcomes in patients who are earlier in their disease. These trials include two ongoing registrational trials to support a supplementary BLA, or sBLA, of our TIL cell therapies in frontline advanced melanoma and in advanced non-small cell lung cancer following standard of care chemo-immunotherapy. We are also developing next generation therapies using TIL, such as genetically modified TIL cell therapy.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Strategy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Be the global leader in innovating, developing and delivering TIL cell therapy</w:t>
      </w:r>
    </w:p>
    <w:p>
      <w:pPr>
        <w:spacing w:after="0" w:line="22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Our mission is to be the global leader in innovating, developing and delivering TIL cell therapy for patients with solid tumor cancers. We are pioneering this transformational approach to cure cancer by harnessing the human immune system’s ability to recognize and destroy diverse cancer cells in each patient. Through the U.S. launch of Amtagvi™ and the advancement of our pipeline, we are committed to continuous innovation in developing TIL cell therapy and optimizing TIL treatment regimens that may extend and improve life for patients with cancer.</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Successfully commercialize our lead product Amtagvi™ for the treatment of post-anti-PD-1 advanced melanoma</w:t>
      </w:r>
    </w:p>
    <w:p>
      <w:pPr>
        <w:spacing w:after="0" w:line="22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Our top priority is commercialization of Amtagvi™ in the U.S. for the treatment of patients with post-anti-PD-1 advanced melanoma, for which we received FDA approval on February 16, 2024. We have experienced marketing, payer access and distribution teams as well as a sales force with extensive experience in oncology and cell therapy. Our medical affairs team is also in the field educating key opinion leaders, or KOLs, about Amtagvi™ and TIL cell therapy, as well as presenting and publishing our clinical results. More than half of the members of our field teams have prior cell therapy experience.</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four primary areas of our Amtagvi™ launch efforts include:</w:t>
      </w:r>
    </w:p>
    <w:p>
      <w:pPr>
        <w:spacing w:after="0" w:line="225" w:lineRule="exact"/>
        <w:rPr>
          <w:sz w:val="20"/>
          <w:szCs w:val="20"/>
          <w:color w:val="auto"/>
        </w:rPr>
      </w:pPr>
    </w:p>
    <w:p>
      <w:pPr>
        <w:ind w:left="840" w:hanging="319"/>
        <w:spacing w:after="0" w:line="261" w:lineRule="auto"/>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onboarding of authorized treatment centers, or ATCs, for commercial launch with the goal of activating 50 ATCs within 90 days of the BLA Prescription Drug User Fee Act date of February 24, 2024;</w:t>
      </w:r>
    </w:p>
    <w:p>
      <w:pPr>
        <w:ind w:left="840" w:hanging="319"/>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with healthcare professionals, or HCPs, who will be administering our product;</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excellence in launch execution, commercial manufacturing and delivery of therapy; and</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and continuous communication with payors about the value of Amtagvi™.</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Prepare for commercial manufacturing to meet forecasted demand</w:t>
      </w:r>
    </w:p>
    <w:p>
      <w:pPr>
        <w:spacing w:after="0" w:line="22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 xml:space="preserve">We are the first company to obtain FDA approval for a TIL cell therapy product. We believe that we are the only company in the U.S. to have a centralized, scalable, and commercially viable TIL manufacturing process. To date, more than 700 patients have been treated with Iovance TIL cell therapy products manufactured using our proprietary processes across multiple indications. Iovance TIL cell therapies are manufactured for commercial use and clinical trials at our manufacturing facility, the Iovance Cell Therapy Center, or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and by a contract manufacturing organization, or CMO.</w:t>
      </w:r>
    </w:p>
    <w:p>
      <w:pPr>
        <w:spacing w:after="0" w:line="141"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 xml:space="preserve">We are building capacity to treat several thousands of cancer patients annually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which is the first centralized and scalable current Good Manufacturing Practice, or cGMP, manufacturing facility dedicated to producing TIL. Located in Philadelphia, Pennsylvania, the 136,000 square feet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is also among the largest cell therapy manufacturing facilities in existence. Additional expansion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is under way which will significantly increase this capacity. The proximity of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to multiple airports facilitates delivery of TIL cell therapies to treatment centers, with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expected to cover logistics and delivery of TIL cell therapies in both North America and Europe. Owning our own facility allows us to control manufacturing capacity and product quality, manage logistics around supply and delivery, implement process improvement and realize potential cost efficiencies for TIL cell therapies that we may develop and commercialize. We are also exploring future TIL manufacturing processes, as well as next-generation treatments and technologies, which may further streamline development timelines and costs.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has a flexible design that allows future expansion within existing shell space and an option to build on an adjacent lot to support future growth and capacity needs.</w:t>
      </w:r>
    </w:p>
    <w:p>
      <w:pPr>
        <w:spacing w:after="0" w:line="160"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 2018, we began using our Gen 2 TIL manufacturing process, which reduced TIL manufacturing time to 22 days while producing a cryopreserved TIL product. The Gen 2 process was used to manufacture Amtagvi™ for the clinical trial that supported FDA approval, and most of our ongoing clinical trials use the Gen 2 process.</w:t>
      </w:r>
    </w:p>
    <w:p>
      <w:pPr>
        <w:spacing w:after="0" w:line="133"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 xml:space="preserve">Amtagvi™ is approved for commercial manufacturing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In addition, our CMO is approved for additional capacity to supplement our internal manufacturing. We plan to carefully manage our cost structure and reduce the long-term cost of manufacturing our products. Details of related agreements are provided in the Research, Development, Manufacturing and License Agreements for TIL Cell Therapy section of this Annual Report on Form 10-K.</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 Commercial Launch of the First TIL Cell Therapy in Advanced Melanoma</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Amtagvi™</w:t>
      </w:r>
    </w:p>
    <w:p>
      <w:pPr>
        <w:spacing w:after="0" w:line="189"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Amtagvi™ (lifileucel) was approved by the FDA on February 16, 2024, for the treatment of adult patients with unresectable or metastatic melanoma previously treated with a PD-1 blocking antibody, and if BRAF V600 mutation positive, a BRAF inhibitor with or without MEK inhibitor. The approval is based on safety and efficacy results from the C-144-01 clinical trial, a global, multicenter trial investigating Amtagvi™ in patients with advanced melanoma previously treated with anti-PD-1 therapy and targeted therapy, where applicable. We completed the BLA submission in March 2023, which the FDA accepted in May 2023 for Priority Review. Based on the unmet need in post-anti-PD-1 advanced melanoma, as well as initial clinical data, lifileucel previously received a Regenerative Medicine Advanced Therapy, or RMAT, designation from the FDA in 2018.</w:t>
      </w:r>
    </w:p>
    <w:p>
      <w:pPr>
        <w:spacing w:after="0" w:line="189" w:lineRule="exact"/>
        <w:rPr>
          <w:sz w:val="20"/>
          <w:szCs w:val="20"/>
          <w:color w:val="auto"/>
        </w:rPr>
      </w:pPr>
    </w:p>
    <w:p>
      <w:pPr>
        <w:jc w:val="both"/>
        <w:ind w:firstLine="492"/>
        <w:spacing w:after="0" w:line="271" w:lineRule="auto"/>
        <w:rPr>
          <w:sz w:val="20"/>
          <w:szCs w:val="20"/>
          <w:color w:val="auto"/>
        </w:rPr>
      </w:pPr>
      <w:r>
        <w:rPr>
          <w:rFonts w:ascii="Times New Roman" w:cs="Times New Roman" w:eastAsia="Times New Roman" w:hAnsi="Times New Roman"/>
          <w:sz w:val="18"/>
          <w:szCs w:val="18"/>
          <w:color w:val="auto"/>
        </w:rPr>
        <w:t>Amtagvi™ is manufactured using a proprietary process to collect and multiply a patient’s unique T cells from a portion of their tumor. Amtagvi™ returns billions of the patient’s T cells back to the body to fight cancer. ATCs will administer Amtagvi™ to patients as part of a treatment regimen that includes lymphodepletion and a short course of high-dose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(aldesleukin).</w:t>
      </w:r>
    </w:p>
    <w:p>
      <w:pPr>
        <w:spacing w:after="0" w:line="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are three key steps in the Amtagvi™ treatment process.</w:t>
      </w:r>
    </w:p>
    <w:p>
      <w:pPr>
        <w:spacing w:after="0" w:line="221" w:lineRule="exact"/>
        <w:rPr>
          <w:sz w:val="20"/>
          <w:szCs w:val="20"/>
          <w:color w:val="auto"/>
        </w:rPr>
      </w:pPr>
    </w:p>
    <w:p>
      <w:pPr>
        <w:ind w:left="820" w:hanging="320"/>
        <w:spacing w:after="0" w:line="286" w:lineRule="auto"/>
        <w:tabs>
          <w:tab w:leader="none" w:pos="8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Step 1: Sample Collection. </w:t>
      </w:r>
      <w:r>
        <w:rPr>
          <w:rFonts w:ascii="Times New Roman" w:cs="Times New Roman" w:eastAsia="Times New Roman" w:hAnsi="Times New Roman"/>
          <w:sz w:val="18"/>
          <w:szCs w:val="18"/>
          <w:color w:val="auto"/>
        </w:rPr>
        <w:t>At an ATC, a tumor tissue sample of at least 1.5 cm in diameter is removed and collected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surgical resection and shipped to an approved, centralized manufacturing facility.</w:t>
      </w:r>
    </w:p>
    <w:p>
      <w:pPr>
        <w:spacing w:after="0" w:line="154" w:lineRule="exact"/>
        <w:rPr>
          <w:rFonts w:ascii="Times New Roman" w:cs="Times New Roman" w:eastAsia="Times New Roman" w:hAnsi="Times New Roman"/>
          <w:sz w:val="18"/>
          <w:szCs w:val="18"/>
          <w:color w:val="auto"/>
        </w:rPr>
      </w:pPr>
    </w:p>
    <w:p>
      <w:pPr>
        <w:jc w:val="both"/>
        <w:ind w:left="820" w:hanging="320"/>
        <w:spacing w:after="0" w:line="257" w:lineRule="auto"/>
        <w:tabs>
          <w:tab w:leader="none" w:pos="8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Step 2: Manufacturing. </w:t>
      </w:r>
      <w:r>
        <w:rPr>
          <w:rFonts w:ascii="Times New Roman" w:cs="Times New Roman" w:eastAsia="Times New Roman" w:hAnsi="Times New Roman"/>
          <w:sz w:val="18"/>
          <w:szCs w:val="18"/>
          <w:color w:val="auto"/>
        </w:rPr>
        <w:t>Patient-specific TIL are manufactured using our commercial Gen 2 manufacturing process.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arrival at the facility, TIL are separated from other cells within the patient’s tumor tissue sample. Over the next 22 days, the cells are multiplied into the billions, so they can be returned to the patient to fight cancer cells. Upon completion of manufacturing, Amtagvi™ is quality tested to meet specific product release criteria. The final product is cryopreserved and sent back to the ATC for administration to the patient. Additional details on the Gen 2 manufacturing process are provided in the Manufacturing Process section of our Annual Report on Form 10-K.</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820" w:hanging="320"/>
        <w:spacing w:after="0" w:line="266" w:lineRule="auto"/>
        <w:tabs>
          <w:tab w:leader="none" w:pos="81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Step 3: Treatment Regimen</w:t>
      </w:r>
      <w:r>
        <w:rPr>
          <w:rFonts w:ascii="Times New Roman" w:cs="Times New Roman" w:eastAsia="Times New Roman" w:hAnsi="Times New Roman"/>
          <w:sz w:val="18"/>
          <w:szCs w:val="18"/>
          <w:color w:val="auto"/>
        </w:rPr>
        <w:t>. The patient’s cell therapy treatment begins with a preparative regimen of non-myeloablative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lymphodepletion, or NMA-LD, to suppress the immunosuppressive tumor microenvironment, which we believe will enhance the efficacy of TIL cell therapy. After NMA-LD, the patient is treated at the ATC with Amtagvi™, followed by a short course of up to six doses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promote T cell activity in the body after TIL infusion.</w:t>
      </w:r>
    </w:p>
    <w:p>
      <w:pPr>
        <w:spacing w:after="0" w:line="64" w:lineRule="exact"/>
        <w:rPr>
          <w:sz w:val="20"/>
          <w:szCs w:val="20"/>
          <w:color w:val="auto"/>
        </w:rPr>
      </w:pPr>
    </w:p>
    <w:p>
      <w:pPr>
        <w:ind w:left="500" w:right="560"/>
        <w:spacing w:after="0" w:line="374" w:lineRule="auto"/>
        <w:rPr>
          <w:sz w:val="20"/>
          <w:szCs w:val="20"/>
          <w:color w:val="auto"/>
        </w:rPr>
      </w:pPr>
      <w:r>
        <w:rPr>
          <w:rFonts w:ascii="Times New Roman" w:cs="Times New Roman" w:eastAsia="Times New Roman" w:hAnsi="Times New Roman"/>
          <w:sz w:val="18"/>
          <w:szCs w:val="18"/>
          <w:color w:val="auto"/>
        </w:rPr>
        <w:t xml:space="preserve">Until now, there were no FDA approved therapies in this treatment setting for advanced melanoma after anti-PD-1 therapy. </w:t>
      </w:r>
      <w:r>
        <w:rPr>
          <w:rFonts w:ascii="Times New Roman" w:cs="Times New Roman" w:eastAsia="Times New Roman" w:hAnsi="Times New Roman"/>
          <w:sz w:val="18"/>
          <w:szCs w:val="18"/>
          <w:b w:val="1"/>
          <w:bCs w:val="1"/>
          <w:color w:val="auto"/>
        </w:rPr>
        <w:t>Proleukin</w:t>
      </w:r>
      <w:r>
        <w:rPr>
          <w:rFonts w:ascii="Times New Roman" w:cs="Times New Roman" w:eastAsia="Times New Roman" w:hAnsi="Times New Roman"/>
          <w:sz w:val="26"/>
          <w:szCs w:val="26"/>
          <w:color w:val="auto"/>
          <w:vertAlign w:val="superscript"/>
        </w:rPr>
        <w:t>®</w:t>
      </w:r>
    </w:p>
    <w:p>
      <w:pPr>
        <w:jc w:val="both"/>
        <w:ind w:firstLine="492"/>
        <w:spacing w:after="0" w:line="223" w:lineRule="auto"/>
        <w:rPr>
          <w:sz w:val="20"/>
          <w:szCs w:val="20"/>
          <w:color w:val="auto"/>
        </w:rPr>
      </w:pPr>
      <w:r>
        <w:rPr>
          <w:rFonts w:ascii="Times New Roman" w:cs="Times New Roman" w:eastAsia="Times New Roman" w:hAnsi="Times New Roman"/>
          <w:sz w:val="18"/>
          <w:szCs w:val="18"/>
          <w:color w:val="auto"/>
        </w:rPr>
        <w:t>In May 2023, we acquired the worldwide rights to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(aldesleukin) as well as the manufacturing, supply, and commercialization income generated from such rights and associated operations from Clinigen Holdings Limited, Clinigen Healthcare Limited, and Clinigen, Inc, which we refer to collectively as Clinigen. Ownership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provides an additional revenue source, allows Iovance to secure its supply chain and logistics surrounding TIL cell therapy administration and lowers cost of goods and clinical trial expenses for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used with TIL cell therapies.</w:t>
      </w:r>
    </w:p>
    <w:p>
      <w:pPr>
        <w:spacing w:after="0" w:line="37" w:lineRule="exact"/>
        <w:rPr>
          <w:sz w:val="20"/>
          <w:szCs w:val="20"/>
          <w:color w:val="auto"/>
        </w:rPr>
      </w:pPr>
    </w:p>
    <w:p>
      <w:pPr>
        <w:jc w:val="both"/>
        <w:ind w:right="20" w:firstLine="492"/>
        <w:spacing w:after="0" w:line="201" w:lineRule="auto"/>
        <w:rPr>
          <w:sz w:val="20"/>
          <w:szCs w:val="20"/>
          <w:color w:val="auto"/>
        </w:rPr>
      </w:pPr>
      <w:r>
        <w:rPr>
          <w:rFonts w:ascii="Times New Roman" w:cs="Times New Roman" w:eastAsia="Times New Roman" w:hAnsi="Times New Roman"/>
          <w:sz w:val="18"/>
          <w:szCs w:val="18"/>
          <w:color w:val="auto"/>
        </w:rPr>
        <w:t>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an IL-2 product used in the Amtagvi™ treatment regimen.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also received regulatory approvals for treatment of adults with metastatic melanoma and metastatic renal cell carcinoma in the United States.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also licensed in multiple countries around the world for treatment of patients with metastatic renal cell carcinoma and/or metastatic melanoma.</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TIL Cell Therapy Clinical Development in Advanced, Metastatic or Unresectable Solid Tumor Cancers</w:t>
      </w:r>
    </w:p>
    <w:p>
      <w:pPr>
        <w:spacing w:after="0" w:line="18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TIL cell therapy is a T cell-based immunotherapy technology platform that leverages patient-specific cells to recognize and attack diverse cancer cells that are unique to each patient. Unlike other cell therapies that act on a single or small number of shared antigen targets common to certain tumors, our individualized T cell therapies are polyclonal or designed to target a variety of neoantigens that are unique to the patient or tumor. We believe this polyclonal cell therapy is potentially applicable to many solid tumor cancers, where the majority of immune targets are patient-specific. Our TIL cell therapy platform and manufacturing process have been initially validated through the FDA approval of Amtagvi™.</w:t>
      </w:r>
    </w:p>
    <w:p>
      <w:pPr>
        <w:spacing w:after="0" w:line="160"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have investigated TIL cell therapy in global, multicenter clinical trials in advanced melanoma, cervical cancer, non-small cell lung cancer, or NSCLC, and head and neck squamous cell carcinoma, or HNSCC. Through ongoing academic collaborations, as well as government and other partners, we are investigating the next frontier for TIL cell therapy in other tumor types and treatment settings.</w:t>
      </w:r>
    </w:p>
    <w:p>
      <w:pPr>
        <w:spacing w:after="0" w:line="131" w:lineRule="exact"/>
        <w:rPr>
          <w:sz w:val="20"/>
          <w:szCs w:val="20"/>
          <w:color w:val="auto"/>
        </w:rPr>
      </w:pPr>
    </w:p>
    <w:p>
      <w:pPr>
        <w:jc w:val="both"/>
        <w:ind w:left="1160" w:hanging="315"/>
        <w:spacing w:after="0" w:line="257" w:lineRule="auto"/>
        <w:tabs>
          <w:tab w:leader="none" w:pos="1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Frontline Advanced Melanoma: </w:t>
      </w:r>
      <w:r>
        <w:rPr>
          <w:rFonts w:ascii="Times New Roman" w:cs="Times New Roman" w:eastAsia="Times New Roman" w:hAnsi="Times New Roman"/>
          <w:sz w:val="18"/>
          <w:szCs w:val="18"/>
          <w:color w:val="auto"/>
        </w:rPr>
        <w:t>In frontline advanced melanoma patients who are naïve to anti-PD-1 therapy,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investigating lifileucel in combination with pembrolizumab in the Phase 3 TILVANCE-301 clinical trial. TILVANCE-301 is a randomized Phase 3 clinical trial intended to support registration in advanced frontline melanoma as well as to serve as a confirmatory trial for full approval in post-anti-PD-1 advanced melanoma. TILVANCE-301 is expected to enroll approximately 670 patients and features dual primary endpoints of ORR and progression free survival, or PFS, by blinded independent review committee.</w:t>
      </w:r>
    </w:p>
    <w:p>
      <w:pPr>
        <w:spacing w:after="0" w:line="141" w:lineRule="exact"/>
        <w:rPr>
          <w:rFonts w:ascii="Times New Roman" w:cs="Times New Roman" w:eastAsia="Times New Roman" w:hAnsi="Times New Roman"/>
          <w:sz w:val="18"/>
          <w:szCs w:val="18"/>
          <w:color w:val="auto"/>
        </w:rPr>
      </w:pPr>
    </w:p>
    <w:p>
      <w:pPr>
        <w:jc w:val="both"/>
        <w:ind w:left="1160" w:hanging="315"/>
        <w:spacing w:after="0" w:line="259" w:lineRule="auto"/>
        <w:tabs>
          <w:tab w:leader="none" w:pos="1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Non-Small Cell Lung Cancer: </w:t>
      </w:r>
      <w:r>
        <w:rPr>
          <w:rFonts w:ascii="Times New Roman" w:cs="Times New Roman" w:eastAsia="Times New Roman" w:hAnsi="Times New Roman"/>
          <w:sz w:val="18"/>
          <w:szCs w:val="18"/>
          <w:color w:val="auto"/>
        </w:rPr>
        <w:t>In NSCLC, we are investigating LN-145 TIL cell therapy in two clinical trials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NSCLC patient populations with significant unmet need. IOV-LUN-202 is a registrational clinical trial of LN-145 in advanced NSCLC patients who have progressed following chemotherapy and anti-PD-1 therapy. The IOV-COM-202 trial in solid tumors also includes cohorts of NSCLC patients treated with LN-145 monotherapy and combination therapy.</w:t>
      </w:r>
    </w:p>
    <w:p>
      <w:pPr>
        <w:spacing w:after="0" w:line="152" w:lineRule="exact"/>
        <w:rPr>
          <w:rFonts w:ascii="Times New Roman" w:cs="Times New Roman" w:eastAsia="Times New Roman" w:hAnsi="Times New Roman"/>
          <w:sz w:val="18"/>
          <w:szCs w:val="18"/>
          <w:color w:val="auto"/>
        </w:rPr>
      </w:pPr>
    </w:p>
    <w:p>
      <w:pPr>
        <w:jc w:val="both"/>
        <w:ind w:left="1160" w:hanging="315"/>
        <w:spacing w:after="0" w:line="268" w:lineRule="auto"/>
        <w:tabs>
          <w:tab w:leader="none" w:pos="1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Gynecological Cancers: </w:t>
      </w:r>
      <w:r>
        <w:rPr>
          <w:rFonts w:ascii="Times New Roman" w:cs="Times New Roman" w:eastAsia="Times New Roman" w:hAnsi="Times New Roman"/>
          <w:sz w:val="18"/>
          <w:szCs w:val="18"/>
          <w:color w:val="auto"/>
        </w:rPr>
        <w:t>We are planning to initiate a clinical trial for lifileucel TIL cell therapy in endometrial cancer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potentially address the unmet need for patients previously treated with anti-PD-1 therapy. We also are exploring lifileucel in advanced cervical cancer in the C-145-04 multicenter Phase 2 clinical trial.</w:t>
      </w:r>
    </w:p>
    <w:p>
      <w:pPr>
        <w:spacing w:after="0" w:line="130" w:lineRule="exact"/>
        <w:rPr>
          <w:rFonts w:ascii="Times New Roman" w:cs="Times New Roman" w:eastAsia="Times New Roman" w:hAnsi="Times New Roman"/>
          <w:sz w:val="18"/>
          <w:szCs w:val="18"/>
          <w:color w:val="auto"/>
        </w:rPr>
      </w:pPr>
    </w:p>
    <w:p>
      <w:pPr>
        <w:jc w:val="both"/>
        <w:ind w:left="1160" w:hanging="315"/>
        <w:spacing w:after="0" w:line="231" w:lineRule="auto"/>
        <w:tabs>
          <w:tab w:leader="none" w:pos="1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Next Generation TIL Cell Therapy: </w:t>
      </w:r>
      <w:r>
        <w:rPr>
          <w:rFonts w:ascii="Times New Roman" w:cs="Times New Roman" w:eastAsia="Times New Roman" w:hAnsi="Times New Roman"/>
          <w:sz w:val="18"/>
          <w:szCs w:val="18"/>
          <w:color w:val="auto"/>
        </w:rPr>
        <w:t>Our first genetically modified, PD-1 inactivated TIL cell therapy, IOV-4001,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a first-in-human Phase 1/2 clinical trial, IOV-GM1-201, in 2022 in patients with previously treated advanced melanoma and NSCLC. IOV-4001 utilizes the gene-editing TALEN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licensed from Cellectis S.A., or Cellectis, to inactivate the gene coding for the programmed cell death protein-1, or PD-1.</w:t>
      </w:r>
    </w:p>
    <w:p>
      <w:pPr>
        <w:spacing w:after="0" w:line="154" w:lineRule="exact"/>
        <w:rPr>
          <w:rFonts w:ascii="Times New Roman" w:cs="Times New Roman" w:eastAsia="Times New Roman" w:hAnsi="Times New Roman"/>
          <w:sz w:val="18"/>
          <w:szCs w:val="18"/>
          <w:color w:val="auto"/>
        </w:rPr>
      </w:pPr>
    </w:p>
    <w:p>
      <w:pPr>
        <w:jc w:val="both"/>
        <w:ind w:left="1160" w:hanging="315"/>
        <w:spacing w:after="0" w:line="268" w:lineRule="auto"/>
        <w:tabs>
          <w:tab w:leader="none" w:pos="1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Solid Tumor Cancers: </w:t>
      </w:r>
      <w:r>
        <w:rPr>
          <w:rFonts w:ascii="Times New Roman" w:cs="Times New Roman" w:eastAsia="Times New Roman" w:hAnsi="Times New Roman"/>
          <w:sz w:val="18"/>
          <w:szCs w:val="18"/>
          <w:color w:val="auto"/>
        </w:rPr>
        <w:t>Iovance TIL cell therapy has been investigated in additional solid tumor cancers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Iovance- and investigator-sponsored clinical trials. LN-145 was evaluated as a monotherapy and in combination with pembrolizumab in the Phase 2 C-145-03 and IOV-COM-202 clinical trials in multiple patient cohorts with metastatic</w:t>
      </w:r>
    </w:p>
    <w:p>
      <w:pPr>
        <w:sectPr>
          <w:pgSz w:w="11900" w:h="16838" w:orient="portrait"/>
          <w:cols w:equalWidth="0" w:num="1">
            <w:col w:w="9920"/>
          </w:cols>
          <w:pgMar w:left="980" w:top="661"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160"/>
        <w:spacing w:after="0" w:line="266" w:lineRule="auto"/>
        <w:rPr>
          <w:sz w:val="20"/>
          <w:szCs w:val="20"/>
          <w:color w:val="auto"/>
        </w:rPr>
      </w:pPr>
      <w:r>
        <w:rPr>
          <w:rFonts w:ascii="Times New Roman" w:cs="Times New Roman" w:eastAsia="Times New Roman" w:hAnsi="Times New Roman"/>
          <w:sz w:val="18"/>
          <w:szCs w:val="18"/>
          <w:color w:val="auto"/>
        </w:rPr>
        <w:t>HNSCC. Indications studied in investigator sponsored clinical trials supported by Iovance include soft tissue sarcoma, osteosarcoma, pancreatic and colorectal cancer, platinum resistant ovarian cancer, anaplastic thyroid cancer and triple negative breast cancer.</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Next-Generation TIL Therapy Product Candidates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next-generation technology platforms are designed to optimize outcomes with TIL cell therapy across three key initiatives: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genetic modifications, potency, and new treatment regimens.</w:t>
      </w:r>
    </w:p>
    <w:p>
      <w:pPr>
        <w:spacing w:after="0" w:line="205" w:lineRule="exact"/>
        <w:rPr>
          <w:sz w:val="20"/>
          <w:szCs w:val="20"/>
          <w:color w:val="auto"/>
        </w:rPr>
      </w:pPr>
    </w:p>
    <w:p>
      <w:pPr>
        <w:jc w:val="both"/>
        <w:ind w:left="680" w:hanging="321"/>
        <w:spacing w:after="0" w:line="257"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Genetic modifications: </w:t>
      </w:r>
      <w:r>
        <w:rPr>
          <w:rFonts w:ascii="Times New Roman" w:cs="Times New Roman" w:eastAsia="Times New Roman" w:hAnsi="Times New Roman"/>
          <w:sz w:val="18"/>
          <w:szCs w:val="18"/>
          <w:color w:val="auto"/>
        </w:rPr>
        <w:t>We are pursuing several targets for genetic modification that utilize the gene-editing TALEN®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licensed from the clinical-stage biotechnology company, Cellectis. Single- and multiple- knockouts may further harness the immune system response to cancer and potentially increase the potency of TIL cell therapy. Preclinical development is also ongoing with cytokine-tethered TIL products and additional TIL products and TIL-cell lines using transient and stable gene insertion and inactivation, which may expand and activate TIL to achieve better efficacy while avoiding systemic side effects of cytokines.</w:t>
      </w:r>
    </w:p>
    <w:p>
      <w:pPr>
        <w:spacing w:after="0" w:line="182"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Potency: </w:t>
      </w:r>
      <w:r>
        <w:rPr>
          <w:rFonts w:ascii="Times New Roman" w:cs="Times New Roman" w:eastAsia="Times New Roman" w:hAnsi="Times New Roman"/>
          <w:sz w:val="18"/>
          <w:szCs w:val="18"/>
          <w:color w:val="auto"/>
        </w:rPr>
        <w:t>We are exploring potential approaches to increase potency of the final TIL product through sorting and selection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TIL, such CD39/69 double-negative TIL, and the use of certain inhibitors or other reagents in TIL expansion cultures. We have also manufactured and investigated patient cohorts treated with TIL candidate, LN-145-S1, manufactured from TIL selected for PD-1 expression.</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treatment regimens: </w:t>
      </w:r>
      <w:r>
        <w:rPr>
          <w:rFonts w:ascii="Times New Roman" w:cs="Times New Roman" w:eastAsia="Times New Roman" w:hAnsi="Times New Roman"/>
          <w:sz w:val="18"/>
          <w:szCs w:val="18"/>
          <w:color w:val="auto"/>
        </w:rPr>
        <w:t>We are exploring potential improvements to the TIL treatment regimen. IND-enabling studies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investigating IOV-3001, an antibody cytokine-engrafted protein, or IL-2 analog, which we licensed from Novartis Pharma AG. in 2020.</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We have established a leading intellectual property portfolio developed internally and licensed from third parties. We currently own more than 60 U.S. patents related to TIL cell therapy, including patents directed to compositions and methods of treatment in a broad range of cancers, such as U.S. Patent Nos. 10,130,659; 10,166,257; 10,272,113; 10,363,273; 10,398,734; 10,420,799; 10,463,697; 10,517,894; 10,537,595; 10,639,330; 10,646,517; 10,653,723; 10,695,372; 10,894,063; 10,905,718; 10,918,666; 10,925,900; 10,933,094; 10,946,044; 10,946,045; 10,953,046; 10,953,047; 11,007,225; 11,007,226; 11,013,770; 11,026,974; 11,040,070; 11,052,115; 11,052,116; 11,058,728; 11,083,752; 11,123,371; 11,141,438; 11,168,303; 11,168,304; 11,179,419; 11,202,803; 11,202,804; 11,220,670; 11,241,456; 11,254,913; 11,266,694; 11,273,180; 11,273,181; 11,291,687; 11,304,979; 11,304,980; 11,311,578; 11,337,998; 11,344,579; 11,344,580; 11,344,581; 11,351,197; 11,351,198; 11,351,199; 11,364,266; 11,369,637; 11,384,337; 11,433,097; 11,517,592; 11,529,372 ; 11,541,077; 11,713,446; 11,819,517; and 11,866,688. More than 40 of these patents are related to our Gen 2 TIL manufacturing processes and have terms that we anticipate will extend to January 2038, not including any patent term extensions or adjustments that may be available. Our owned and licensed intellectual property portfolio also includes patents and patent applications relating to TIL, marrow-infiltrating lymphocytes, or MIL, and peripheral blood lymphocyte, or PBL, therapies; frozen tumor-based TIL technologies; remnant TIL and digest TIL compositions, methods and processes; methods of manufacturing TIL, MIL, and PBL therapies; the use of costimulatory and T cell modulating molecules in TIL cell therapy and manufacturing; stable and transient genetically-modified TIL cell therapies, including genetic knockouts of immune checkpoints; cytokine-tethered TIL cell therapies; methods of using ICIs in combination with TIL cell therapies; TIL selection technologies; and methods of treating patient subpopulations.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1" w:lineRule="exact"/>
        <w:rPr>
          <w:sz w:val="20"/>
          <w:szCs w:val="20"/>
          <w:color w:val="auto"/>
        </w:rPr>
      </w:pPr>
    </w:p>
    <w:p>
      <w:pPr>
        <w:jc w:val="both"/>
        <w:ind w:firstLine="492"/>
        <w:spacing w:after="0" w:line="223" w:lineRule="auto"/>
        <w:rPr>
          <w:sz w:val="20"/>
          <w:szCs w:val="20"/>
          <w:color w:val="auto"/>
        </w:rPr>
      </w:pPr>
      <w:r>
        <w:rPr>
          <w:rFonts w:ascii="Times New Roman" w:cs="Times New Roman" w:eastAsia="Times New Roman" w:hAnsi="Times New Roman"/>
          <w:sz w:val="18"/>
          <w:szCs w:val="18"/>
          <w:color w:val="auto"/>
        </w:rPr>
        <w:t>Subsequent to the acquisition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May 2023, or the Acquisition, we began to sell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currently being used in multiple active studies across multiple therapeutic areas and indications and investigated alongside TIL cell therapies within a number of oncology indications.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also part of our regimens of TIL cell therapy, including Amtagvi™ (lifileucel), and is used in our multiple clinical trials. Revenues for the year ended December 31, 2023 represents product sales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primarily in licensed markets outside of the U.S. To date, there have been no product sales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U.S. market.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16" w:lineRule="auto"/>
        <w:rPr>
          <w:sz w:val="20"/>
          <w:szCs w:val="20"/>
          <w:color w:val="auto"/>
        </w:rPr>
      </w:pPr>
      <w:r>
        <w:rPr>
          <w:rFonts w:ascii="Times New Roman" w:cs="Times New Roman" w:eastAsia="Times New Roman" w:hAnsi="Times New Roman"/>
          <w:sz w:val="18"/>
          <w:szCs w:val="18"/>
          <w:color w:val="auto"/>
        </w:rPr>
        <w:t>With the recent BLA approval, we expect to generate revenues from the sale of our product Amtagvi™. However, such revenues for Amtagvi™ and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may not be material during the 12 months from the date the consolidated financial statements are issued and this Annual Report on Form 10-K is filed. Our ability to generate revenues in the future will depend on our ability to successfully execute the launch of Amtagvi™, integrate the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business and market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complete the development of our product candidates and obtain regulatory approval for them.</w:t>
      </w:r>
    </w:p>
    <w:p>
      <w:pPr>
        <w:spacing w:after="0" w:line="1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1" w:lineRule="exact"/>
        <w:rPr>
          <w:sz w:val="20"/>
          <w:szCs w:val="20"/>
          <w:color w:val="auto"/>
        </w:rPr>
      </w:pPr>
    </w:p>
    <w:p>
      <w:pPr>
        <w:jc w:val="both"/>
        <w:ind w:right="20" w:firstLine="492"/>
        <w:spacing w:after="0" w:line="201" w:lineRule="auto"/>
        <w:rPr>
          <w:sz w:val="20"/>
          <w:szCs w:val="20"/>
          <w:color w:val="auto"/>
        </w:rPr>
      </w:pPr>
      <w:r>
        <w:rPr>
          <w:rFonts w:ascii="Times New Roman" w:cs="Times New Roman" w:eastAsia="Times New Roman" w:hAnsi="Times New Roman"/>
          <w:sz w:val="18"/>
          <w:szCs w:val="18"/>
          <w:color w:val="auto"/>
        </w:rPr>
        <w:t>Cost of sales includes the cost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inventories and other costs that are directly associated with the purchase and sales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addition, amortization expense for the fair value step-up of acquired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inventory and the acquired intangible asset related to the developed technology are included in cost of sales.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183"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estimates of work completed to date of the individual trial in accordance with agreements established with contract research organizations and clinical trial sites. 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w:t>
      </w:r>
    </w:p>
    <w:p>
      <w:pPr>
        <w:spacing w:after="0" w:line="188" w:lineRule="exact"/>
        <w:rPr>
          <w:sz w:val="20"/>
          <w:szCs w:val="20"/>
          <w:color w:val="auto"/>
        </w:rPr>
      </w:pPr>
    </w:p>
    <w:p>
      <w:pPr>
        <w:jc w:val="both"/>
        <w:ind w:firstLine="492"/>
        <w:spacing w:after="0" w:line="233" w:lineRule="auto"/>
        <w:rPr>
          <w:sz w:val="20"/>
          <w:szCs w:val="20"/>
          <w:color w:val="auto"/>
        </w:rPr>
      </w:pPr>
      <w:r>
        <w:rPr>
          <w:rFonts w:ascii="Times New Roman" w:cs="Times New Roman" w:eastAsia="Times New Roman" w:hAnsi="Times New Roman"/>
          <w:sz w:val="18"/>
          <w:szCs w:val="18"/>
          <w:color w:val="auto"/>
        </w:rPr>
        <w:t>We expect to continue to incur research and development expenses for the foreseeable future as we continue to conduct our clinical trials for our various product candidates. We expect our research and development expenses to decrease in conjunction with an expected increase in commercial activities and selling, general and administrative expense due to the approval of Amtagvi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(lifileucel). However, it is difficult to determine with certainty the duration and completion costs of our current or future preclinical programs and clinical trials of our product candidates.</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other related costs, including stock-based compensation, for personnel in executive, finance, procurement, legal, investor relations, facilities, business development, marketing, commercial, information technology and human resources functions. Other significant costs include facility costs not otherwise included in research and development expenses, legal fees relating to corporate matters and intellectual property, insurance, public company expenses relating to maintaining compliance with Nasdaq listing rules and SEC requirements, investor relations costs, and fees for accounting and consulting services. General and administrative costs are expensed as incurred, and we accrue for services provided by third parties related to the above expenses by monitoring the status of services provided and receiving estimates from its service providers and adjusting its accruals as actual costs become known.</w:t>
      </w:r>
    </w:p>
    <w:p>
      <w:pPr>
        <w:spacing w:after="0" w:line="192" w:lineRule="exact"/>
        <w:rPr>
          <w:sz w:val="20"/>
          <w:szCs w:val="20"/>
          <w:color w:val="auto"/>
        </w:rPr>
      </w:pPr>
    </w:p>
    <w:p>
      <w:pPr>
        <w:jc w:val="both"/>
        <w:ind w:firstLine="492"/>
        <w:spacing w:after="0" w:line="224" w:lineRule="auto"/>
        <w:rPr>
          <w:sz w:val="20"/>
          <w:szCs w:val="20"/>
          <w:color w:val="auto"/>
        </w:rPr>
      </w:pPr>
      <w:r>
        <w:rPr>
          <w:rFonts w:ascii="Times New Roman" w:cs="Times New Roman" w:eastAsia="Times New Roman" w:hAnsi="Times New Roman"/>
          <w:sz w:val="18"/>
          <w:szCs w:val="18"/>
          <w:color w:val="auto"/>
        </w:rPr>
        <w:t>We anticipate selling, general and administrative expenses will increase as we execute the launch of Amtagvi™ and market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well as execute an expected expansion of the internal general and administrative team to support the overall growth in our business.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Interest income,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net results from our interest-bearing cash and investment balances.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Income tax benefit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Income tax benefit pertains to the operations in the United Kingdom and realization of related deferred taxes.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2023 and 2022</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3500" w:type="dxa"/>
            <w:vAlign w:val="bottom"/>
            <w:vMerge w:val="continue"/>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 product sales</w:t>
            </w:r>
          </w:p>
        </w:tc>
        <w:tc>
          <w:tcPr>
            <w:tcW w:w="1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492"/>
        <w:spacing w:after="0" w:line="193" w:lineRule="auto"/>
        <w:rPr>
          <w:sz w:val="20"/>
          <w:szCs w:val="20"/>
          <w:color w:val="auto"/>
        </w:rPr>
      </w:pPr>
      <w:r>
        <w:rPr>
          <w:rFonts w:ascii="Times New Roman" w:cs="Times New Roman" w:eastAsia="Times New Roman" w:hAnsi="Times New Roman"/>
          <w:sz w:val="18"/>
          <w:szCs w:val="18"/>
          <w:color w:val="auto"/>
        </w:rPr>
        <w:t>Revenue for the year ended December 31, 2023 was $1.2 million and related entirely to product sales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licensed markets outside of the U.S following the completion of the acquisition of worldwide rights to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May 2023. To date, there have been no product sales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U.S. market, which at the time of the Acquisition had sufficient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inventory in existing distributors to support U.S. market demand. There was no revenue for the year ended December 31, 2022.</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costs and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22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8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480" w:type="dxa"/>
            <w:vAlign w:val="bottom"/>
            <w:gridSpan w:val="2"/>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7"/>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920" w:type="dxa"/>
            <w:vAlign w:val="bottom"/>
            <w:tcBorders>
              <w:top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21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jc w:val="right"/>
              <w:spacing w:after="0" w:line="195" w:lineRule="exact"/>
              <w:rPr>
                <w:sz w:val="20"/>
                <w:szCs w:val="20"/>
                <w:color w:val="auto"/>
              </w:rPr>
            </w:pPr>
            <w:r>
              <w:rPr>
                <w:rFonts w:ascii="Calibri" w:cs="Calibri" w:eastAsia="Calibri" w:hAnsi="Calibri"/>
                <w:sz w:val="18"/>
                <w:szCs w:val="18"/>
                <w:color w:val="auto"/>
                <w:w w:val="92"/>
              </w:rPr>
              <w:t>%</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294,781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17 </w:t>
            </w: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106,916</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104,097</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3 </w:t>
            </w:r>
            <w:r>
              <w:rPr>
                <w:rFonts w:ascii="Calibri" w:cs="Calibri" w:eastAsia="Calibri" w:hAnsi="Calibri"/>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02" w:lineRule="exact"/>
        <w:rPr>
          <w:sz w:val="20"/>
          <w:szCs w:val="20"/>
          <w:color w:val="auto"/>
        </w:rPr>
      </w:pPr>
    </w:p>
    <w:p>
      <w:pPr>
        <w:jc w:val="both"/>
        <w:ind w:firstLine="492"/>
        <w:spacing w:after="0" w:line="224" w:lineRule="auto"/>
        <w:rPr>
          <w:sz w:val="20"/>
          <w:szCs w:val="20"/>
          <w:color w:val="auto"/>
        </w:rPr>
      </w:pPr>
      <w:r>
        <w:rPr>
          <w:rFonts w:ascii="Times New Roman" w:cs="Times New Roman" w:eastAsia="Times New Roman" w:hAnsi="Times New Roman"/>
          <w:sz w:val="18"/>
          <w:szCs w:val="18"/>
          <w:color w:val="auto"/>
        </w:rPr>
        <w:t>Cost of sales for the year ended December 30, 2023 was $10.7 million, which consists of $1.0 million cost of inventory and related inventoriable costs associated with sales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$9.7 million of amortization expense for the developed technology intangible asset recorded as part of the Acquisition. No cost of sales was incurred for the year ended December 31, 2022.</w:t>
      </w:r>
    </w:p>
    <w:p>
      <w:pPr>
        <w:spacing w:after="0" w:line="1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 xml:space="preserve">Research and development expense for the year ended December 31, 2023 increased by $49.3 million, or 17%, compared to the year ended December 31, 2022. The increase was primarily attributable to (i) a $40.0 million increase in payroll and related expenses, driven by increased hiring of research and development employees to support our manufacturing 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and clinical development activities, (ii) a $10.3 million increase in manufacturing costs to support the increased production and qualifying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suites for commercial manufacturing readiness, (iii) a $7.0 million increase in clinical trial costs driven primarily by the initiation of our Phase 3 TILVANCE-301 clinical trial, (iv) a $5.9 million increase in facility and related costs, including depreciation, maintenance, environmental monitoring and other costs primarily related to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build-out intended to expand manufacturing capacity, and (v) a $2.4 million increase in other costs, including license costs related to the expansion of our information technology infrastructure to support our clinical activities and research alliance costs. These expenses were partially offset by (i) a $15.3 million decrease in stock-based compensation expenses, primarily driven by a lower average stock price, and (ii) a $1.0 million decrease in costs associated with travel and medical affairs activities such as publications and medical conferences.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 of clinical development generally have higher development costs than those in earlier stages of clinical development, primarily due to the increased size and duration of later-stage clinical trials. We separate our research and development expenses into two broad categories: direct and indirect. Additionally, with respect to direct research and development expenses, we further divide expenses into the following sub-categories: “TIL, including combination therapy,” “Next Generation,” and “Other clinical, preclinical and research programs under development.” For direct research and development expenses, we track specific project research and development expenses that are directly attributable to our preclinical and clinical development candidates that have been selected for further development. Such direct research and development expenses include third-party contract costs relating to the manufacturing of TILs as well as preclinical and clinical trial activities.</w:t>
      </w:r>
    </w:p>
    <w:p>
      <w:pPr>
        <w:spacing w:after="0" w:line="188"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All remaining research and development expenses are categorized as indirect research and development expenses. Such indirect research and development expenses include employee salaries and benefits, stock-based compensation, consulting and contracted services to supplement our in-house activities, and costs associated with our facilities. These expenses are not directly tied to any individual project and are generally deployed across multiple projects. As such, we do not maintain information regarding those costs incurred on a project specific basis.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summarizes our research and development expenses by therapeutic area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20" w:type="dxa"/>
            <w:vAlign w:val="bottom"/>
            <w:gridSpan w:val="6"/>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20" w:type="dxa"/>
            <w:vAlign w:val="bottom"/>
            <w:gridSpan w:val="3"/>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6"/>
            <w:vMerge w:val="continue"/>
          </w:tcPr>
          <w:p>
            <w:pPr>
              <w:spacing w:after="0"/>
              <w:rPr>
                <w:sz w:val="15"/>
                <w:szCs w:val="15"/>
                <w:color w:val="auto"/>
              </w:rPr>
            </w:pPr>
          </w:p>
        </w:tc>
        <w:tc>
          <w:tcPr>
            <w:tcW w:w="1220" w:type="dxa"/>
            <w:vAlign w:val="bottom"/>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0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Direct research and development expense by product candidate</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TIL, including combination therapy</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Lifileucel</w:t>
            </w:r>
          </w:p>
        </w:tc>
        <w:tc>
          <w:tcPr>
            <w:tcW w:w="5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35,487</w:t>
            </w:r>
          </w:p>
        </w:tc>
        <w:tc>
          <w:tcPr>
            <w:tcW w:w="5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LN-145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41,386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Combination Therapy</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17,809</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-34%</w:t>
            </w:r>
          </w:p>
        </w:tc>
        <w:tc>
          <w:tcPr>
            <w:tcW w:w="0" w:type="dxa"/>
            <w:vAlign w:val="bottom"/>
          </w:tcPr>
          <w:p>
            <w:pPr>
              <w:spacing w:after="0"/>
              <w:rPr>
                <w:sz w:val="1"/>
                <w:szCs w:val="1"/>
                <w:color w:val="auto"/>
              </w:rPr>
            </w:pPr>
          </w:p>
        </w:tc>
      </w:tr>
      <w:tr>
        <w:trPr>
          <w:trHeight w:val="203"/>
        </w:trPr>
        <w:tc>
          <w:tcPr>
            <w:tcW w:w="4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Next Generation</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Others clinical, preclinical and research programs under development</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16,983</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-1%</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Indirect research and development expenses</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related (excluding stock-based compensation)</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116,628</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expenses</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34,926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50,242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w w:val="97"/>
              </w:rPr>
              <w:t>-30%</w:t>
            </w: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Contractors and outside services</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20,636</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3"/>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Office and facilities</w:t>
            </w:r>
          </w:p>
        </w:tc>
        <w:tc>
          <w:tcPr>
            <w:tcW w:w="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50,235</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45,460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Research and Development</w:t>
            </w: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344,077</w:t>
            </w: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294,781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49,296</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jc w:val="both"/>
        <w:ind w:firstLine="492"/>
        <w:spacing w:after="0" w:line="238" w:lineRule="auto"/>
        <w:rPr>
          <w:sz w:val="20"/>
          <w:szCs w:val="20"/>
          <w:color w:val="auto"/>
        </w:rPr>
      </w:pPr>
      <w:r>
        <w:rPr>
          <w:rFonts w:ascii="Times New Roman" w:cs="Times New Roman" w:eastAsia="Times New Roman" w:hAnsi="Times New Roman"/>
          <w:sz w:val="18"/>
          <w:szCs w:val="18"/>
          <w:color w:val="auto"/>
        </w:rPr>
        <w:t>Selling, general and administrative expense for the year ended December 31, 2023, increased by $2.8 million, or 3%, compared to the year ended December 31, 2022. The increase was primarily attributable to (i) a $12.6 million increase in payroll and related expenses, resulting from increases in headcount to support the growth in the overall business and related corporate infrastructure, and (ii) a $5.0 million increase in professional fees and travel costs, including costs associated with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integration. These increases were partially offset by (i) a $6.1 million decrease in stock-based compensation expenses, primarily driven by a lower average stock price, (ii) a $4.3 million decrease in legal costs related to intellectual property related matters, and (iii) a $4.4 million decrease in other costs, including marketing, advertising and software license costs.</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Interest income, net</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3340" w:type="dxa"/>
            <w:vAlign w:val="bottom"/>
            <w:tcBorders>
              <w:bottom w:val="single" w:sz="8" w:color="CCEEFF"/>
            </w:tcBorders>
            <w:vMerge w:val="continue"/>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10,058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Interest income results from our interest-bearing cash and investment balances. Net interest income increased by $10.1 million, or 337%, primarily due to increases in interest rates as well as a shift in our portfolio to interest bearing investments such as U.S. treasury securities and money market funds.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Income tax benefit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3300" w:type="dxa"/>
            <w:vAlign w:val="bottom"/>
            <w:vMerge w:val="continue"/>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Income tax benefit for the year ended December 31, 2023 was $3.5 million as a result of the tax benefit from the realization of the related deferred taxes for operations in the United Kingdom. No benefit or expense was recorded for the year ended December 31, 2022.</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280" w:type="dxa"/>
            <w:vAlign w:val="bottom"/>
          </w:tcPr>
          <w:p>
            <w:pPr>
              <w:spacing w:after="0"/>
              <w:rPr>
                <w:sz w:val="15"/>
                <w:szCs w:val="15"/>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3120" w:type="dxa"/>
            <w:vAlign w:val="bottom"/>
            <w:vMerge w:val="continue"/>
          </w:tcPr>
          <w:p>
            <w:pPr>
              <w:spacing w:after="0"/>
              <w:rPr>
                <w:sz w:val="12"/>
                <w:szCs w:val="12"/>
                <w:color w:val="auto"/>
              </w:rPr>
            </w:pPr>
          </w:p>
        </w:tc>
        <w:tc>
          <w:tcPr>
            <w:tcW w:w="2280" w:type="dxa"/>
            <w:vAlign w:val="bottom"/>
          </w:tcPr>
          <w:p>
            <w:pPr>
              <w:spacing w:after="0"/>
              <w:rPr>
                <w:sz w:val="12"/>
                <w:szCs w:val="12"/>
                <w:color w:val="auto"/>
              </w:rPr>
            </w:pPr>
          </w:p>
        </w:tc>
        <w:tc>
          <w:tcPr>
            <w:tcW w:w="960" w:type="dxa"/>
            <w:vAlign w:val="bottom"/>
            <w:tcBorders>
              <w:top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Borders>
              <w:top w:val="single" w:sz="8" w:color="auto"/>
            </w:tcBorders>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(444,037)</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(395,893)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(48,144)</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92"/>
        <w:spacing w:after="0" w:line="236" w:lineRule="auto"/>
        <w:rPr>
          <w:sz w:val="20"/>
          <w:szCs w:val="20"/>
          <w:color w:val="auto"/>
        </w:rPr>
      </w:pPr>
      <w:r>
        <w:rPr>
          <w:rFonts w:ascii="Times New Roman" w:cs="Times New Roman" w:eastAsia="Times New Roman" w:hAnsi="Times New Roman"/>
          <w:sz w:val="18"/>
          <w:szCs w:val="18"/>
          <w:color w:val="auto"/>
        </w:rPr>
        <w:t>Net loss for the year ended December 31, 2023, increased by $48.1 million or 12.0%, compared to the year ended December 31, 2022. The increase in our net loss was due to the continued expansion of our research and development activities, ongoing and newly initiated clinical trials, and the overall growth in our workforce and corporate infrastructure as well as our pre-commercialization activities for lifileucel. We anticipate that we will continue to incur net losses in the future as we further invest in our clinical and internal research and development programs as well as the execution of the launch of Amtagvi™, the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business integration, and both clinical and internal development programs.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2022 and 2021</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revenue was recorded for the years ended December 31, 2022 and 2021.</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costs and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40" w:type="dxa"/>
            <w:vAlign w:val="bottom"/>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500" w:type="dxa"/>
            <w:vAlign w:val="bottom"/>
            <w:gridSpan w:val="2"/>
            <w:vMerge w:val="continue"/>
          </w:tcPr>
          <w:p>
            <w:pPr>
              <w:spacing w:after="0"/>
              <w:rPr>
                <w:sz w:val="13"/>
                <w:szCs w:val="13"/>
                <w:color w:val="auto"/>
              </w:rPr>
            </w:pPr>
          </w:p>
        </w:tc>
        <w:tc>
          <w:tcPr>
            <w:tcW w:w="1020" w:type="dxa"/>
            <w:vAlign w:val="bottom"/>
            <w:tcBorders>
              <w:top w:val="single" w:sz="8" w:color="auto"/>
            </w:tcBorders>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3"/>
                <w:szCs w:val="13"/>
                <w:color w:val="auto"/>
              </w:rPr>
            </w:pPr>
          </w:p>
        </w:tc>
        <w:tc>
          <w:tcPr>
            <w:tcW w:w="880" w:type="dxa"/>
            <w:vAlign w:val="bottom"/>
            <w:tcBorders>
              <w:top w:val="single" w:sz="8" w:color="auto"/>
            </w:tcBorders>
          </w:tcPr>
          <w:p>
            <w:pPr>
              <w:jc w:val="right"/>
              <w:ind w:right="34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294,781</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259,039</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0"/>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104,097</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83,664</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 xml:space="preserve">Research and development expense for the year ended December 31, 2022 increased by $35.7 million, or 14%, compared to the year ended December 31, 2021. The increase was primarily attributable to (i) a $23.9 million increase in payroll and related expenses and a $9.4 million increase in stock-based compensation expenses, both driven by increased hiring of research and development employees to support our on-going and planned clinical development activities, (ii) a $16.2 million increase in facility related expenses, including depreciation expenses associated with the iCTC and the build-out of our new corporate headquarters office, (iii) a $3.5 million increase in research and research alliance activities due to increased spend in lab supplies and consumables to support preclinical activities, (iv) a $2.7 million increase in patient advocacy and physician outreach and travel to support our planned commercial launch, and (v) a $2.4 million increase in license costs associated with the expansion of our information technology infrastructure to support our clinical and manufacturing activities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These increases were partially offset by a $17.4 million decrease in clinical trial costs, including clinical trial drug costs, and a $5.0 million decrease in manufacturing costs driven by completion of enrollment in pivotal cohorts of our clinical trials.</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separate our research and development expenses into two broad categories: direct and indirect. Additionally, with respect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research and development expenses, we further divide expenses into the following sub-categories: “TIL, including combination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therapy,” “Next Generation,” and “Other clinical, preclinical and research programs under development.” For direct research and development expenses, we track specific project research and development expenses that are directly attributable to our preclinical and clinical development candidates that have been selected for further development. Such direct research and development expenses include third-party contract costs relating to the manufacturing of TILs as well as preclinical and clinical trial activities.</w:t>
      </w:r>
    </w:p>
    <w:p>
      <w:pPr>
        <w:spacing w:after="0" w:line="13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All remaining research and development expenses are categorized as indirect research and development expenses. Such indirect research and development expenses include employee salaries and benefits, stock-based compensation, consulting and contracted services to supplement our in-house activities, and costs associated with our facilities. These expenses are not directly tied to any individual project and are generally deployed across multiple projects. As such, we do not maintain information regarding those costs incurred on a project specific basis.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summarizes our research and development expenses by therapeutic area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80" w:type="dxa"/>
            <w:vAlign w:val="bottom"/>
            <w:gridSpan w:val="3"/>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6"/>
            <w:vMerge w:val="continue"/>
          </w:tcPr>
          <w:p>
            <w:pPr>
              <w:spacing w:after="0"/>
              <w:rPr>
                <w:sz w:val="15"/>
                <w:szCs w:val="15"/>
                <w:color w:val="auto"/>
              </w:rPr>
            </w:pPr>
          </w:p>
        </w:tc>
        <w:tc>
          <w:tcPr>
            <w:tcW w:w="1180" w:type="dxa"/>
            <w:vAlign w:val="bottom"/>
            <w:gridSpan w:val="3"/>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0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Direct research and development expense by product candidate</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TIL, including combination therapy</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Lifileucel</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18,489</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96%</w:t>
            </w: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LN-145</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35,878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Combination Therapy</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3"/>
        </w:trPr>
        <w:tc>
          <w:tcPr>
            <w:tcW w:w="4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Next Generation</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w w:val="96"/>
              </w:rPr>
              <w:t>756%</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Others clinical, preclinical and research programs under development</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17,136</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Indirect research and development expenses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related (excluding stock-based compensation)</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84,100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61,352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37%</w:t>
            </w: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50,242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40,833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w w:val="95"/>
              </w:rPr>
              <w:t>23%</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Contractors and outside services</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34%</w:t>
            </w:r>
          </w:p>
        </w:tc>
        <w:tc>
          <w:tcPr>
            <w:tcW w:w="0" w:type="dxa"/>
            <w:vAlign w:val="bottom"/>
          </w:tcPr>
          <w:p>
            <w:pPr>
              <w:spacing w:after="0"/>
              <w:rPr>
                <w:sz w:val="1"/>
                <w:szCs w:val="1"/>
                <w:color w:val="auto"/>
              </w:rPr>
            </w:pPr>
          </w:p>
        </w:tc>
      </w:tr>
      <w:tr>
        <w:trPr>
          <w:trHeight w:val="203"/>
        </w:trPr>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Office and facilities</w:t>
            </w:r>
          </w:p>
        </w:tc>
        <w:tc>
          <w:tcPr>
            <w:tcW w:w="3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45,460</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color w:val="auto"/>
                <w:w w:val="95"/>
              </w:rPr>
              <w:t>70%</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Research and Development</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294,781</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259,037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35,744</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14%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 for the year ended December 31, 2022, increased by $20.4 million, or 24%, compared to the year ended December 31, 2021. The increase was primarily attributable to (i) a $10.0 million increase in payroll and related expenses and a $4.8 million increase in stock-based compensation expenses, both resulting from increases in headcount to support the growth in the overall business and related corporate infrastructure, (ii) a $3.4 million increase in marketing, advertising and travel related costs related to branding awareness to support our planned commercial launch, (iii) a $1.7 million increase in other costs, including professional fees and costs associated with the build-out of our new headquarter office and our information technology infrastructure to support the continued growth in the overall company, and (iv) a $0.5 million increase in depreciation expenses and facility related costs associated with the build-out of our new corporate headquarters.</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Interest income,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280" w:type="dxa"/>
            <w:vAlign w:val="bottom"/>
          </w:tcPr>
          <w:p>
            <w:pPr>
              <w:spacing w:after="0"/>
              <w:rPr>
                <w:sz w:val="15"/>
                <w:szCs w:val="15"/>
                <w:color w:val="auto"/>
              </w:rPr>
            </w:pPr>
          </w:p>
        </w:tc>
        <w:tc>
          <w:tcPr>
            <w:tcW w:w="1820" w:type="dxa"/>
            <w:vAlign w:val="bottom"/>
            <w:gridSpan w:val="5"/>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3700" w:type="dxa"/>
            <w:vAlign w:val="bottom"/>
            <w:tcBorders>
              <w:bottom w:val="single" w:sz="8" w:color="CCEEFF"/>
            </w:tcBorders>
            <w:vMerge w:val="continue"/>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2,534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Interest income results from our interest-bearing cash and investment balances. Net interest income increased by $2.5 million, or 562%, primarily due to an increase in interest rates as well as a shift in our portfolio to interest bearing investments such as U.S. treasury securities and money market funds.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580" w:type="dxa"/>
            <w:vAlign w:val="bottom"/>
          </w:tcPr>
          <w:p>
            <w:pPr>
              <w:spacing w:after="0"/>
              <w:rPr>
                <w:sz w:val="15"/>
                <w:szCs w:val="15"/>
                <w:color w:val="auto"/>
              </w:rPr>
            </w:pPr>
          </w:p>
        </w:tc>
        <w:tc>
          <w:tcPr>
            <w:tcW w:w="18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Pr>
          <w:p>
            <w:pPr>
              <w:spacing w:after="0"/>
              <w:rPr>
                <w:sz w:val="15"/>
                <w:szCs w:val="15"/>
                <w:color w:val="auto"/>
              </w:rPr>
            </w:pPr>
          </w:p>
        </w:tc>
        <w:tc>
          <w:tcPr>
            <w:tcW w:w="1900" w:type="dxa"/>
            <w:vAlign w:val="bottom"/>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3400" w:type="dxa"/>
            <w:vAlign w:val="bottom"/>
            <w:vMerge w:val="continue"/>
          </w:tcPr>
          <w:p>
            <w:pPr>
              <w:spacing w:after="0"/>
              <w:rPr>
                <w:sz w:val="12"/>
                <w:szCs w:val="12"/>
                <w:color w:val="auto"/>
              </w:rPr>
            </w:pPr>
          </w:p>
        </w:tc>
        <w:tc>
          <w:tcPr>
            <w:tcW w:w="2580" w:type="dxa"/>
            <w:vAlign w:val="bottom"/>
          </w:tcPr>
          <w:p>
            <w:pPr>
              <w:spacing w:after="0"/>
              <w:rPr>
                <w:sz w:val="12"/>
                <w:szCs w:val="12"/>
                <w:color w:val="auto"/>
              </w:rPr>
            </w:pPr>
          </w:p>
        </w:tc>
        <w:tc>
          <w:tcPr>
            <w:tcW w:w="860" w:type="dxa"/>
            <w:vAlign w:val="bottom"/>
            <w:tcBorders>
              <w:top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5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(395,893)</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(342,252)</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(53,641)</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Net loss for the year ended December 31, 2022, increased by $53.6 million or 16%, compared to the year ended December 31, 2021. The increase in our net loss was due to the continued expansion of our research and development activities, and the overall growth of our corporate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92"/>
        <w:spacing w:after="0" w:line="230" w:lineRule="auto"/>
        <w:rPr>
          <w:sz w:val="20"/>
          <w:szCs w:val="20"/>
          <w:color w:val="auto"/>
        </w:rPr>
      </w:pPr>
      <w:r>
        <w:rPr>
          <w:rFonts w:ascii="Times New Roman" w:cs="Times New Roman" w:eastAsia="Times New Roman" w:hAnsi="Times New Roman"/>
          <w:sz w:val="18"/>
          <w:szCs w:val="18"/>
          <w:color w:val="auto"/>
        </w:rPr>
        <w:t>We have incurred losses and generated negative cash flows from operations since inception.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 With the recent approval of our BLA, we expect to generate revenue from the sale of our product, Amtagvi™ (lifileucel). Furthermore, upon the completion of the closing of the acquisition of the worldwide rights to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second quarter of 2023, we began to generate revenue from the sales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However, such revenues for Amtagvi™ and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may not be material during the 12 months from the date the consolidated financial statements are issued and this Annual Report on Form 10-K is filed. As of December 31, 2023, we had $346.3 million in cash, cash equivalents, investments, and restricted cash ($114.9 million of cash and cash equivalents, $165.0 million in short-term investments, and $66.4 million in restricted cash).</w:t>
      </w:r>
    </w:p>
    <w:p>
      <w:pPr>
        <w:spacing w:after="0" w:line="158"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expenses to support our execution of the commercial launch of Amtagvi™, fund ongoing clinical programs, including our NSCLC registration study, IOV-LUN-202, and our frontline advanced melanoma Phase 3 confirmatory trial, TILVANCE-301, continue the development of our pipeline candidates, and for other general corporate purposes. Based on the funds we have available as of the date our consolidated financial statements for the year ended December 31, 2023 are issued, which include estimated net proceeds (after deducting underwriting and other offering expenses) of approximately $197.1 million from the public offering of our common stock completed on February 22, 2024, we believe that we have sufficient capital to fund our anticipated operating expenses and capital expenditures as planned for at least the next twelve months following the issuance of our consolidated financial statements included in this Annual Report on Form 10-K.</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Corporate Capitalization</w:t>
      </w:r>
    </w:p>
    <w:p>
      <w:pPr>
        <w:spacing w:after="0" w:line="22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As of December 31, 2023, we had outstanding 256,135,715 shares of our $0.000041666 par value common stock, 194 shares of our $0.001 par value Series A Convertible Preferred Stock, and 2,842,158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2,842,158 shares of our common stock. The shares of Series A Convertible Preferred Stock and Series B Convertible Preferred Stock do not have voting rights or accrue dividends.</w:t>
      </w:r>
    </w:p>
    <w:p>
      <w:pPr>
        <w:spacing w:after="0" w:line="187"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On February 8, 2021, we entered into an Open Market Sale Agreement, or the 2021 Sale Agreement, with Jefferies LLC, or Jefferies, with respect to an “at the market” offering program, under which we were able to, from time to time, in our sole discretion, issue and sell through Jefferies, acting as sales agent, up to $350.0 million of shares of our common stock.</w:t>
      </w:r>
    </w:p>
    <w:p>
      <w:pPr>
        <w:spacing w:after="0" w:line="135"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On November 18, 2022, we entered into a new Open Market Sale Agreement, or the 2022 Sale Agreement, with Jefferies with respect to an “at the market” offering program. Under the terms of the 2022 Sale Agreement, we were able to, from time to time, in our sole discretion, issue and sell up to $500.0 million of shares of our common stock pursuant to the “at the market” offering program. The 2022 Sale Agreement superseded and replaced in its entirety the 2021 Sale Agreement, which was terminated by the Company.</w:t>
      </w:r>
    </w:p>
    <w:p>
      <w:pPr>
        <w:spacing w:after="0" w:line="13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On June 16, 2023, we entered into a new Open Market Sale Agreement, or the 2023 Sale Agreement, with Jefferies with respect to an “at the market” offering program. Under the terms of the 2023 Sale Agreement, we may, from time to time, in our sole discretion, issue and sell up to $450.0 million of shares of our common stock pursuant to the “at the market” offering program. The 2023 Sale Agreement superseded and replaced in its entirety the 2022 Sale Agreement, which was terminated by the Company. The issuance and sale, if any, of shares of our common stock under the 2023 Sale Agreement was or will be made pursuant to a prospectus supplement dated June 16, 2023 to our Registration Statement on Form S-3ASR, which became effective immediately upon filing with the U.S. Securities and Exchange Commission on June 16, 2023. We received $301.7 million in proceeds, net of offering costs, through the sale of 44,080,226 shares of our common stock during 2023.</w:t>
      </w:r>
    </w:p>
    <w:p>
      <w:pPr>
        <w:spacing w:after="0" w:line="19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On July 13, 2023, we closed an underwritten public offering of 23,000,000 shares of our common stock, which included 3,000,000 shares issued pursuant to the exercise of the option granted to the underwriters, at a public offering price of $7.50 per share, before underwriting discounts and commissions. The total estimated net proceeds to us from the offering, including the exercise of the option</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the underwriters, were $161.5 million after deducting underwriting discounts and commissions and estimated offering expenses payable by us.</w:t>
      </w:r>
    </w:p>
    <w:p>
      <w:pPr>
        <w:spacing w:after="0" w:line="16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On February 22, 2024, we closed an underwritten public offering of 23,014,000 shares of our common stock at a public offering price of $9.15 per share, before underwriting discounts and commissions. The total estimated net proceeds to us from the offering are expected to be approximately $197.1 million after deducting underwriting discounts and commissions and estimated offering expenses payable by us.</w:t>
      </w:r>
    </w:p>
    <w:p>
      <w:pPr>
        <w:spacing w:after="0" w:line="180" w:lineRule="exact"/>
        <w:rPr>
          <w:sz w:val="20"/>
          <w:szCs w:val="20"/>
          <w:color w:val="auto"/>
        </w:rPr>
      </w:pPr>
    </w:p>
    <w:p>
      <w:pPr>
        <w:jc w:val="both"/>
        <w:ind w:right="20" w:firstLine="492"/>
        <w:spacing w:after="0" w:line="266" w:lineRule="auto"/>
        <w:rPr>
          <w:sz w:val="20"/>
          <w:szCs w:val="20"/>
          <w:color w:val="auto"/>
        </w:rPr>
      </w:pPr>
      <w:r>
        <w:rPr>
          <w:rFonts w:ascii="Times New Roman" w:cs="Times New Roman" w:eastAsia="Times New Roman" w:hAnsi="Times New Roman"/>
          <w:sz w:val="18"/>
          <w:szCs w:val="18"/>
          <w:color w:val="auto"/>
        </w:rPr>
        <w:t>In the future, we may periodically offer one or more of these securities in amounts, prices and terms to be announced when and if the securities are offered. If any of the securities covered by the 2020 Shelf Registration Statement are offered for sale, a prospectus supplement will be prepared and filed with the SEC containing specific information about the terms of such offering at that time.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flows from operating, investing and financing activities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(361,820)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(292,757)</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(227,941)</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462,959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190,150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239,268</w:t>
            </w:r>
          </w:p>
        </w:tc>
        <w:tc>
          <w:tcPr>
            <w:tcW w:w="0" w:type="dxa"/>
            <w:vAlign w:val="bottom"/>
          </w:tcPr>
          <w:p>
            <w:pPr>
              <w:spacing w:after="0"/>
              <w:rPr>
                <w:sz w:val="1"/>
                <w:szCs w:val="1"/>
                <w:color w:val="auto"/>
              </w:rPr>
            </w:pPr>
          </w:p>
        </w:tc>
      </w:tr>
      <w:tr>
        <w:trPr>
          <w:trHeight w:val="209"/>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Excludes effect of exchange rate changes</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492"/>
        <w:spacing w:after="0" w:line="244" w:lineRule="auto"/>
        <w:rPr>
          <w:sz w:val="20"/>
          <w:szCs w:val="20"/>
          <w:color w:val="auto"/>
        </w:rPr>
      </w:pPr>
      <w:r>
        <w:rPr>
          <w:rFonts w:ascii="Times New Roman" w:cs="Times New Roman" w:eastAsia="Times New Roman" w:hAnsi="Times New Roman"/>
          <w:sz w:val="18"/>
          <w:szCs w:val="18"/>
          <w:color w:val="auto"/>
        </w:rPr>
        <w:t xml:space="preserve">Net cash used in operating activities represents cash disbursements related to all of our activities other than investing and financing activities. Operating cash flow is derived by adjusting our net loss for non-cash items and changes in operating assets and liabilities. Net cash used in operating activities for the year ended December 31, 2023 was $361.8 million compared to $292.8 million for the same period in 2022. The increase of $69.1 million in cash used in operating activities was primarily due to a $48.1 million increase in net loss related to increased costs in research and development, including the overall expansion of our clinical trials for new TIL cell therapies as well as our pre-commercialization activities for lifileucel, and the overall growth in our workforce and corporate infrastructure. In addition, it reflects a decrease in non-cash charges of $17.3 million primarily driven by lower stock-based compensation expenses and accretion of discount on investments, partially offset by increases in amortization of intangible assets driven primarily by the amortization associated with the developed technology intangible asset acquired as part of the Acquisition and in depreciation expense resulting primarily from additional fixed assets put in service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Further, net cash used by changes in operating assets and liabilities increased by $27.1 million, driven primarily by cash used for the purchase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inventory as part of the Acquisition and an increase in lease payments for our lease arrangements, resulting primarily from the full utilization of tenant improvement allowances offered under our lease agreements during 2022. These increases in the use of cash were partially offset by a net $23.4 million decrease in cash used, driven by an increase in accounts payable and accrued expenses, which primarily resulted from the timing of vendor invoicing and related payments.</w:t>
      </w:r>
    </w:p>
    <w:p>
      <w:pPr>
        <w:spacing w:after="0" w:line="165"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$292.8 million compared to $227.9 million for the same period in 2021. The increase of $64.8 million in cash used in operating activities was primarily due to an increase in net loss driven by increased costs in research and development and pre-commercial activities, which was partially offset by an increase in non-cash charges of $16.3 million primarily driven by higher stock-based compensation expenses, operating right-of-use assets associated with our office and manufacturing facility as well as embedded leases, and depreciation expenses, partially offset by accretion of discount on investments. In addition, it reflects a $31.4 million increase in cash used by assets and liabilities driven primarily by changes in accruals and accounts payable as well as prepaid assets, resulting from the increased workforce, overall growth in the business and operations, and the timing of vendor invoicing and related payments. These increases were offset by a net increase in our operating lease liabilities primarily driven by receipts of tenant improvement allowances for our new corporate headquarters office.</w:t>
      </w:r>
    </w:p>
    <w:p>
      <w:pPr>
        <w:spacing w:after="0" w:line="188"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2021 was $227.9 million compared to $205.1 million for the same period in 2020. The increase of $22.8 million in cash used in operating activities was primarily due to an increase in net loss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driven by increased costs in research and development and pre-commercial activities, which was partially offset by an increase in non-cash charges of $38.3 million primarily driven by higher stock-based compensation expenses, amortization of premiums on investments and operating right-of-use assets associated with our office and manufacturing facility as well as embedded leases, and depreciation expenses. In addition, it reflects a $5.6 million reduction in our operating lease liabilities associated with payments on lease arrangements, offset by a $16.0 million increase in accruals and accounts payable primarily related to our increased workforce, overall growth in the business and operations, and the timing of vendor invoicing and related payments.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492"/>
        <w:spacing w:after="0" w:line="236" w:lineRule="auto"/>
        <w:rPr>
          <w:sz w:val="20"/>
          <w:szCs w:val="20"/>
          <w:color w:val="auto"/>
        </w:rPr>
      </w:pPr>
      <w:r>
        <w:rPr>
          <w:rFonts w:ascii="Times New Roman" w:cs="Times New Roman" w:eastAsia="Times New Roman" w:hAnsi="Times New Roman"/>
          <w:sz w:val="18"/>
          <w:szCs w:val="18"/>
          <w:color w:val="auto"/>
        </w:rPr>
        <w:t>Net cash (used in)/provided by investing activities primarily relates to the cash utilized to fund the Acquisition and the purchases and maturities of our investments and capital expenditures. Net cash used in investing activities for the year ended December 31, 2023 was $155.2 million compared to net cash provided by investing activities of $256.5 million for the same period in 2022. The increase in cash used of $411.7 million was driven by the $212.6 million payment for the acquisition of the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business, excluding the payment of acquired inventories, which is presented in operating activities, and a $1.9 million increase in capital expenditures, offset by a $197.2 million net increase in the timing of maturities and purchases of investments.</w:t>
      </w:r>
    </w:p>
    <w:p>
      <w:pPr>
        <w:spacing w:after="0" w:line="200"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Net cash (used in) / provided by investing activities primarily consists of purchases, maturities of our investments and capital expenditures. Net cash provided by investing activities for the year ended December 31, 2022 was $256.5 million compared to net cash provided by investing activities of $0.1 million for the same period in 2021. The increase in cash provided by investing activities of $256.4 million was primarily due to the timing of maturities and purchases of investments and lower capital expenditures in 2022.</w:t>
      </w:r>
    </w:p>
    <w:p>
      <w:pPr>
        <w:spacing w:after="0" w:line="180"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2021 was $0.1 million compared to net cash used in investing activities of $317.9 million for the same period in 2020. The increase in cash provided by investing activities of $318.0 million was primarily due to the timing of maturities and purchases of investments and lower capital expenditures in 2021.</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$463.0 million compared to net cash provided of $190.2 million for the same period in 2022. The increase in net cash provided by financing activities of $272.8 million was driven by a $273.8 million increase in net proceeds received from sales of common stock pursuant to the June 2023 underwritten public offering and our “at the market” offering program as well as $0.8 million received from the issuance of common stock under the 2020 Employee Stock Purchase Plan, or the 2020 ESPP. These increases were partially offset by a $1.6 million decrease in proceeds from the issuance of common stock upon the exercise of stock options.</w:t>
      </w:r>
    </w:p>
    <w:p>
      <w:pPr>
        <w:spacing w:after="0" w:line="187"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2022 was $190.2 million compared to net cash provided of $239.3 million for the same period in 2021. The net cash provided by financing activities during the year ended December 30, 2022, related to $189.5 million net cash proceeds from our “at the market” offering, $1.7 million of cash receipts from the issuance of common stock under the 2020 ESPP, and $1.6 million of cash receipts from the issuance of common stock upon the exercise of stock options. This was offset by cash used of $2.6 million for tax payments related to vested RSUs.</w:t>
      </w:r>
    </w:p>
    <w:p>
      <w:pPr>
        <w:spacing w:after="0" w:line="183"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2021 was $239.3 million compared to net cash provided of $576.4 million for the same period in 2020. The net cash provided by financing activities during the year ended December 30, 2021, related to $203.2 million net cash proceeds from our “at the market” offering and $33.5 million of cash receipts from the issuance of common stock upon the exercise of stock options. The net cash provided by financing activities during the year ended December 31, 2020, primarily related to $567.0 million net cash proceeds received in the June 2020 public offering and $9.7 million cash proceeds from issuance of common stock upon exercise of stock options in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80"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non-cancellable contractual obligations as of December 31, 2023, and the effects that such obligations are expected to have on our liquidity and cash flows in future periods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55"/>
        </w:trPr>
        <w:tc>
          <w:tcPr>
            <w:tcW w:w="28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5"/>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2027</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5"/>
              <w:spacing w:after="0" w:line="155" w:lineRule="exact"/>
              <w:rPr>
                <w:sz w:val="20"/>
                <w:szCs w:val="20"/>
                <w:color w:val="auto"/>
              </w:rPr>
            </w:pPr>
            <w:r>
              <w:rPr>
                <w:rFonts w:ascii="Times New Roman" w:cs="Times New Roman" w:eastAsia="Times New Roman" w:hAnsi="Times New Roman"/>
                <w:sz w:val="14"/>
                <w:szCs w:val="14"/>
                <w:b w:val="1"/>
                <w:bCs w:val="1"/>
                <w:color w:val="auto"/>
              </w:rPr>
              <w:t>2028</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w w:val="99"/>
              </w:rPr>
              <w:t>Thereafter</w:t>
            </w:r>
          </w:p>
        </w:tc>
      </w:tr>
      <w:tr>
        <w:trPr>
          <w:trHeight w:val="191"/>
        </w:trPr>
        <w:tc>
          <w:tcPr>
            <w:tcW w:w="28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Operating lease obligations - facilities</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3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116,905</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75,438</w:t>
            </w:r>
          </w:p>
        </w:tc>
      </w:tr>
      <w:tr>
        <w:trPr>
          <w:trHeight w:val="216"/>
        </w:trPr>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Purchase obligations (2)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151,159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75,438</w:t>
            </w:r>
          </w:p>
        </w:tc>
      </w:tr>
      <w:tr>
        <w:trPr>
          <w:trHeight w:val="20"/>
        </w:trPr>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600" w:right="200" w:hanging="495"/>
        <w:spacing w:after="0" w:line="269" w:lineRule="auto"/>
        <w:tabs>
          <w:tab w:leader="none" w:pos="6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operating lease obligations consist of obligations under non-cancellable operating leases for our facilities in San Carlos, CA, Philadelphia, PA, and Tampa, FL.</w:t>
      </w:r>
    </w:p>
    <w:p>
      <w:pPr>
        <w:jc w:val="both"/>
        <w:ind w:left="600" w:right="18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Excluded from the above are contractual obligations with a CMO for the manufacturing facilities and minimum fixed commitment fees included in our manufacturing contracts, such as personnel, general support fee, and minimum production or material fees. These obligations met the conditions of embedded leases under Topic ASC 842 and were included in the Operating lease liabilities in the consolidated balance sheets. However, these contracts are cancellable upon prior notice and as a result, are not included in the above table.</w:t>
      </w:r>
    </w:p>
    <w:p>
      <w:pPr>
        <w:spacing w:after="0" w:line="156" w:lineRule="exact"/>
        <w:rPr>
          <w:rFonts w:ascii="Times New Roman" w:cs="Times New Roman" w:eastAsia="Times New Roman" w:hAnsi="Times New Roman"/>
          <w:sz w:val="16"/>
          <w:szCs w:val="16"/>
          <w:color w:val="auto"/>
        </w:rPr>
      </w:pPr>
    </w:p>
    <w:p>
      <w:pPr>
        <w:ind w:left="580" w:right="180" w:hanging="475"/>
        <w:spacing w:after="0" w:line="222" w:lineRule="auto"/>
        <w:tabs>
          <w:tab w:leader="none" w:pos="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purchase obligations of $34.3 million related to manufacturing and supply agreements for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under a contract we inherited as part of the Acquisition.</w:t>
      </w:r>
    </w:p>
    <w:p>
      <w:pPr>
        <w:spacing w:after="0" w:line="1" w:lineRule="exact"/>
        <w:rPr>
          <w:rFonts w:ascii="Times New Roman" w:cs="Times New Roman" w:eastAsia="Times New Roman" w:hAnsi="Times New Roman"/>
          <w:sz w:val="16"/>
          <w:szCs w:val="16"/>
          <w:color w:val="auto"/>
        </w:rPr>
      </w:pPr>
    </w:p>
    <w:p>
      <w:pPr>
        <w:jc w:val="both"/>
        <w:ind w:left="600" w:right="180" w:hanging="495"/>
        <w:spacing w:after="0" w:line="268" w:lineRule="auto"/>
        <w:tabs>
          <w:tab w:leader="none" w:pos="6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acquire assets still in development and enter into research and development arrangements with third parties that often require milestone and royalty payments to the third-party contingent upon the occurrence of certain future events linked to the success of the asset in development. Milestone payments may be required, contingent upon the successful achievement of an important point in the development life-cycle of the pharmaceutical product (e.g., approval of the product for marketing by a regulatory agency). If required by the arrangement, we may have to make royalty payments based upon a percentage of the sales of the pharmaceutical product in the event that regulatory approval for marketing is obtained. Because of the contingent nature of these milestone payments, they are not included in the table of contractual obligations.</w:t>
      </w:r>
    </w:p>
    <w:p>
      <w:pPr>
        <w:spacing w:after="0" w:line="184" w:lineRule="exact"/>
        <w:rPr>
          <w:rFonts w:ascii="Times New Roman" w:cs="Times New Roman" w:eastAsia="Times New Roman" w:hAnsi="Times New Roman"/>
          <w:sz w:val="16"/>
          <w:szCs w:val="16"/>
          <w:color w:val="auto"/>
        </w:rPr>
      </w:pPr>
    </w:p>
    <w:p>
      <w:pPr>
        <w:jc w:val="both"/>
        <w:ind w:left="600" w:right="18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arrangements may be material individually, and in the event that milestones for multiple products covered by these arrangements were reached in the same period, the aggregate charge to expense could be material to the results of operations in any one period. In addition, these arrangements often give us the discretion to unilaterally terminate development of the product, which would allow us to avoid making contingent payments.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we did not have, and currently do not have,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229" w:lineRule="exact"/>
        <w:rPr>
          <w:sz w:val="20"/>
          <w:szCs w:val="20"/>
          <w:color w:val="auto"/>
        </w:rPr>
      </w:pPr>
    </w:p>
    <w:p>
      <w:pPr>
        <w:jc w:val="both"/>
        <w:ind w:right="80" w:firstLine="492"/>
        <w:spacing w:after="0" w:line="254" w:lineRule="auto"/>
        <w:rPr>
          <w:sz w:val="20"/>
          <w:szCs w:val="20"/>
          <w:color w:val="auto"/>
        </w:rPr>
      </w:pPr>
      <w:r>
        <w:rPr>
          <w:rFonts w:ascii="Times New Roman" w:cs="Times New Roman" w:eastAsia="Times New Roman" w:hAnsi="Times New Roman"/>
          <w:sz w:val="18"/>
          <w:szCs w:val="18"/>
          <w:color w:val="auto"/>
        </w:rPr>
        <w:t>Our accounting policies are more fully described in Note 2 of the consolidated financial statements included in this Annual Report on Form 10-K. As described in Note 2, the preparation of our consolidated financial statements requires us to make estimates and judgments that affect the reported amounts of assets and liabilities and the disclosure of contingent assets and liabilities at the date of our financial statements as well as the reported revenues and expenses during the reported periods. We base our estimates on historical experience and on various market-specific and other relevant assumptions that we believe to be reasonable under the circumstances, the results of which form the basis for making judgments about the carrying value of assets and liabilities that are not readily apparent from other sources. Estimates are assessed each period and updated to reflect current information. Actual results may differ from these estimates under different assumptions or conditions.</w:t>
      </w:r>
    </w:p>
    <w:p>
      <w:pPr>
        <w:spacing w:after="0" w:line="200" w:lineRule="exact"/>
        <w:rPr>
          <w:sz w:val="20"/>
          <w:szCs w:val="20"/>
          <w:color w:val="auto"/>
        </w:rPr>
      </w:pPr>
    </w:p>
    <w:p>
      <w:pPr>
        <w:spacing w:after="0" w:line="3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10000"/>
          </w:cols>
          <w:pgMar w:left="980" w:top="661" w:right="9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reflect the more significant judgments and estimates used in the preparation of our consolidated financial statements: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22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We make certain judgments to determine whether transactions should be accounted for acquisitions of assets or business combinations using the guidance in Accounting Standard Codification, or ASC, Topic 805, Business Combinations by first applying a screen test to assess if substantially all of the fair value of the gross assets acquired is concentrated in a single identifiable asset or group of assets. If the screen test is met, the transaction is accounted for as an asset acquisition. If the screen test is not met, further assessment is required to determine whether we have acquired inputs and processes that have the ability to create outputs, which would meet the requirements of a business.</w:t>
      </w:r>
    </w:p>
    <w:p>
      <w:pPr>
        <w:spacing w:after="0" w:line="160"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If the assets acquired do not constitute a business, we account for asset acquisitions using the cost accumulation and allocation method. Under this method, the cost of the acquisition, including direct acquisition-related costs, is allocated to the assets acquired on a relative fair value basis. Goodwill is not recognized in an asset acquisition and any difference between consideration transferred and the fair value of the net assets acquired is allocated to the identifiable assets acquired based on their relative fair values.</w:t>
      </w:r>
    </w:p>
    <w:p>
      <w:pPr>
        <w:spacing w:after="0" w:line="13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 xml:space="preserve">Deferred tax liabilities arising from basis differences in assets acquired are calculated using the simultaneous equations method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and based on the effective tax rate. The resulting deferred tax liability is recorded against the carrying amount of the acquired intangible assets on a relative fair value basis.</w:t>
      </w:r>
    </w:p>
    <w:p>
      <w:pPr>
        <w:spacing w:after="0" w:line="13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Contingent consideration in the scope of ASC Topic 815, Derivatives and Hedging, is included in the cost of the asset acquisition at its acquisition date fair value. Contingent consideration in the scope of ASC Topic 450, Contingencies, is recognized when it is both probable and reasonably estimable.</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Our intangible assets are initially measured based on an allocation of the cost of the acquisition to the assets acquired on a relative fair value basis and are recorded net of accumulated amortization. We amortize the intangible assets on a straight-line basis over their estimated useful lives.</w:t>
      </w:r>
    </w:p>
    <w:p>
      <w:pPr>
        <w:spacing w:after="0" w:line="135"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When contingent consideration is a component of the cost of an asset acquisition, we capitalize the amount of incremental cost from the contingent consideration related to the intangible asset acquired in the period the underlying contingency is resolved. When this occurs, we will recognize a cumulative catch-up to reflect amortization on the intangible assets that would have been recognized had the incremental cost from the contingent consideration been recorded as of the acquisition date.</w:t>
      </w:r>
    </w:p>
    <w:p>
      <w:pPr>
        <w:spacing w:after="0" w:line="13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We review intangible assets for impairment at least annually and whenever events or changes in circumstances have occurred which could indicate that the carrying value of the assets are not recoverable. If such indicators are present, we assess the recoverability of affected assets by determining if the carrying value of the assets is less than the sum of the undiscounted future cash flows of the assets. If the assets are found to not be recoverable, we measure the amount of impairment by comparing the carrying value of the assets to their fair values. We determined that no indicators of impairment existed as of December 31, 2023. No intangible assets existed as of December 31, 2022.</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 xml:space="preserve">We recognize revenue from product sales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ASC 606, revenue is recognized when a customer obtains control of promised goods or services in an amount that reflects the consideration which the entity expects to receive in exchange for those goods or services. To the extent the transaction price includes variable consideration, we estimate the amount of variable consideration that should be included in the transaction price using the most likely method based on historical experience as well as applicable information currently available.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22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Clinical development costs compose a significant component of research and development costs. We have a history of contracting with third parties, including CROs, independent clinical investigators, and CMOs, that perform various clinical trial activities on our behalf in connection with the ongoing development of our product candidates. The financial terms of these contracts are subject to negotiations and may vary from contract to contract and may result in</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uneven payment flow. We accrue and expense costs for clinical trial activities performed by third parties based upon the work completed to date for each clinical trial in accordance with agreements established with CROs, hospitals, and clinical investigators. Accruals for CROs and CMOs are recorded based on services received and efforts expended pursuant to agreements established with CROs, CMOs, and other outside service providers. We determine our costs through discussions with internal clinical stakeholders and outside service providers as to the progress or stage of completion of clinical trials or services and the contracted fee to be paid for such services.</w:t>
      </w:r>
    </w:p>
    <w:p>
      <w:pPr>
        <w:spacing w:after="0" w:line="183"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Included in our clinical development costs are investigator costs, which are costs associated with treatments administered at clinical sites as required under each clinical trial protocol. Our estimates for clinical investigator costs and timing of expense recognition will depend on a number of factors that include, but are not limited to, (i) the overall number of patients that enroll in the trial at each individual site, (ii) the length of clinical trial enrollment period, (iii) discontinuation and completion rates of patients, (iv) duration of patient safety follow-ups, (v) the number of sites included in the clinical trial, and (vi) the contracted fee of each participating site for patient treatment while on clinical trial, which can vary greatly for several reasons including, but not limited to, geographic region, medical center or physician costs, and overhead costs. In addition, our estimates for per patient trial costs will vary based on a number of factors that include, but are not limited to, the extent of additional treatments that may be administered by investigators as a result of patient health status, recoverability of patient costs through insurance carriers of patients, and unanticipated cost of injuries incurred as a result of the clinical trial treatment. We accrue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w:t>
      </w:r>
    </w:p>
    <w:p>
      <w:pPr>
        <w:spacing w:after="0" w:line="187"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We make judgements and estimates in determining the accrual balance in each reporting period. In the event advance payments are made to a CRO, CMO, or other outside service provider, the payments are recorded within prepaid expenses and other current assets and subsequently recognized as research and development expense when the associated services have been performed. As actual costs become known, we adjust our estimates, liabilities and assets. Inputs used in our determination of estimates discussed above may vary from actual, which will result in adjustments to research and development expense in future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8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enhances the disclosures of income taxes. ASU 2023-09 is effective for us in our annual reporting for fiscal year 2025 on a prospective basis. Early adoption and retrospective reporting are permitted. We are currently evaluating the impact of ASU 2023-09 on our consolidated financial statements.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enhances the disclosures required for operating segments in annual and interim consolidated financial statements. ASC 2023-07 is effective for us in our annual reporting for fiscal year 2024 and for interim period reporting beginning in fiscal year 2025 on a retrospective basis. Early adoption is permitted. We are currently evaluating the impact of ASC 2023-07 on our consolidated financial statements</w:t>
      </w:r>
    </w:p>
    <w:p>
      <w:pPr>
        <w:spacing w:after="0" w:line="17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As of December 31, 2023, we had $199.0 million invested in marketable securities with a maturity date of less than one year. As such we believe that we are not exposed to any material market risk. If interest rates had varied by 1% in the year ended December 31, 2023, the fair value of our investment portfolio would increase or decrease by approximately $0.4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Inflation has not had a material effect on our business, financial condition or results of operations during the years ended December 31, 2023, 2022, or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jc w:val="both"/>
        <w:ind w:firstLine="492"/>
        <w:spacing w:after="0" w:line="224" w:lineRule="auto"/>
        <w:rPr>
          <w:sz w:val="20"/>
          <w:szCs w:val="20"/>
          <w:color w:val="auto"/>
        </w:rPr>
      </w:pPr>
      <w:r>
        <w:rPr>
          <w:rFonts w:ascii="Times New Roman" w:cs="Times New Roman" w:eastAsia="Times New Roman" w:hAnsi="Times New Roman"/>
          <w:sz w:val="18"/>
          <w:szCs w:val="18"/>
          <w:color w:val="auto"/>
        </w:rPr>
        <w:t>In addition to our existing foreign operations, we acquired and established newly formed foreign subsidiaries to consummate our acquisition of worldwide rights in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second quarter of 2023. As a result, our financial results could be significantly affected by factors such as changes in foreign currency exchange rates or weak economic conditions in the foreign markets in which we distribute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operating results could be exposed to changes in foreign currency exchange rates between U.S. dollar and various foreign currencies, the most significant of which is the pound sterling. When the U.S. dollar strengthens against these currencies, the relative value of sales made in the respective foreign currency decreases. Conversely, when the U.S. dollar weakens against these currencies, the relative value of such sales increase.</w:t>
      </w:r>
    </w:p>
    <w:p>
      <w:pPr>
        <w:spacing w:after="0" w:line="204"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All of our product sales during the year ended December 31, 2023 were denominated in foreign currencies; however, foreign currency transaction gain was immaterial for the year ended December 31, 2023. No foreign currency exchange risk existed for the year ended December 31, 2022 or 2021.</w:t>
      </w:r>
    </w:p>
    <w:p>
      <w:pPr>
        <w:spacing w:after="0" w:line="1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Financial Statements are referred to in Item 15, listed in the Index to Financial Statements as a part of this Annual Report on Form 10-K, and are incorporated herein by this reference.</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227"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in reaching a reasonable level of assurance, management is required to apply its judgment in evaluating the cost-benefit relationship of possible controls and procedures.</w:t>
      </w:r>
    </w:p>
    <w:p>
      <w:pPr>
        <w:spacing w:after="0" w:line="18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at the reasonable assurance level.</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 Management’s Annual Report on Internal Control Over Financial Reporting:</w:t>
      </w:r>
    </w:p>
    <w:p>
      <w:pPr>
        <w:spacing w:after="0" w:line="227"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2022, based on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or COSO. Based on that evaluation, our management concluded that our internal control over financial reporting was effective as of December 31, 2023.</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 Ernst and Young LLP, has issued an audit report on our internal control over financial reporting. The report on the audit of internal control over financial reporting is included in this Annual Report on Form 10-K.</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 Changes in Internal Control Over Financial Reporting:</w:t>
      </w:r>
    </w:p>
    <w:p>
      <w:pPr>
        <w:spacing w:after="0" w:line="227"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2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none of our directors or executive officers adopted or terminated a Rule 10b5-1 trading arrangement (as defined in Item 408(a)(1)(i) of Regulation S-K) or adopted or terminated a non-Rule 10b5-1 trading arrangement (as defined in Item 408(c) of Regulation S-K) for the purchase or sale of securities of the Company, whether or not intended to satisfy the affirmative defense conditions of Rule 10b5-1(c) of the Exchange Act.</w:t>
      </w:r>
    </w:p>
    <w:p>
      <w:pPr>
        <w:spacing w:after="0" w:line="180"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the Company did not adopt or terminate a Rule 10b5-1 trading arrangement (as defined in Item 408(a)(1)(i) of Regulation S-K) for the purchase or sale of securities of the Company, whether or not intended to satisfy the affirmative defense conditions of Rule 10b5-1(c) of the Exchange Act.</w:t>
      </w:r>
    </w:p>
    <w:p>
      <w:pPr>
        <w:spacing w:after="0" w:line="176"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On February 16, 2024, we received approval from the FDA for Amtagvi™, a tumor-derived autologous T cell immunotherapy indicated for the treatment of adult patients with unresectable or metastatic melanoma previously treated with a PD-1 blocking antibody, and if BRAF V600 mutation positive, a BRAF inhibitor with or without a MEK inhibitor. This indication is approved under accelerated approval based on an endpoint of overall response rate.</w:t>
      </w:r>
    </w:p>
    <w:p>
      <w:pPr>
        <w:spacing w:after="0" w:line="180"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On February 22, 2024, we announced the closing of the sale of an aggregate of 23,014,000 shares of our common stock, pursuant to an underwriting agreement with Jefferies, Barclays Capital Inc., and Goldman Sachs &amp; Co. LLC at a public offering price of $9.15 per share, before underwriting discounts and commissions. The total estimated net proceeds to us from the offering are expected to be approximately $197.1 million after deducting underwriting discounts and commissions and estimated offering expenses payable by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on Form 10-K because we will file a definitive Proxy Statement for the Annual Meeting of Stockholders pursuant to Regulation 14A of the Securities Exchange Act of 1934 (the Proxy Statement), not later than 120 days after the end of the fiscal year covered by this Annual Report on Form 10-K, and the applicable information included in the Proxy Statement is incorporated herein by reference.</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10 will be presented in the Proxy Statement “Election of Directors,” “Management Executive Officers,” “Section 16(a) Beneficial Ownership Reporting Compliance” and “Board of Directors and Corporate Governance,” and is incorporated herein by reference.</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“Executive Compensation,” “Executive Compensation—Compensation Discussion and Analysis” and “Directors’ Compensation” in the Proxy Statement.</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“Security Ownership of Certain Beneficial Owners and Management” and “Equity Compensation Plan Information” in the Proxy Statement.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“Certain Relationships and Related Transactions” in the Proxy Statement.</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Accountant’s Fees and Services</w:t>
      </w:r>
    </w:p>
    <w:p>
      <w:pPr>
        <w:spacing w:after="0" w:line="22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the section of the Proxy Statement entitled “Principal Accountant Fees and Services.”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Statements Schedules</w:t>
      </w:r>
    </w:p>
    <w:p>
      <w:pPr>
        <w:spacing w:after="0" w:line="229" w:lineRule="exact"/>
        <w:rPr>
          <w:sz w:val="20"/>
          <w:szCs w:val="20"/>
          <w:color w:val="auto"/>
        </w:rPr>
      </w:pPr>
    </w:p>
    <w:p>
      <w:pPr>
        <w:jc w:val="both"/>
        <w:ind w:right="20" w:firstLine="492"/>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and related notes thereto are listed and included in this Annual Report on Form 10-K beginning on page F-1. The following exhibits are filed with, or are incorporated by reference into, this Annual Report on Form 10-K.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20" w:type="dxa"/>
            <w:vAlign w:val="bottom"/>
            <w:gridSpan w:val="12"/>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5"/>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40" w:type="dxa"/>
            <w:vAlign w:val="bottom"/>
            <w:gridSpan w:val="10"/>
          </w:tcPr>
          <w:p>
            <w:pPr>
              <w:ind w:left="64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4"/>
                <w:szCs w:val="14"/>
                <w:color w:val="auto"/>
              </w:rPr>
            </w:pPr>
          </w:p>
        </w:tc>
        <w:tc>
          <w:tcPr>
            <w:tcW w:w="8880" w:type="dxa"/>
            <w:vAlign w:val="bottom"/>
            <w:tcBorders>
              <w:top w:val="single" w:sz="8" w:color="auto"/>
              <w:bottom w:val="single" w:sz="8" w:color="0000EE"/>
            </w:tcBorders>
            <w:gridSpan w:val="15"/>
          </w:tcPr>
          <w:p>
            <w:pPr>
              <w:spacing w:after="0" w:line="169"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Plan of Conversion (incorporated herein by reference to Exhibit 2.1 to the Registrant’s Current Report on Form 8-K filed</w:t>
              </w:r>
            </w:hyperlink>
          </w:p>
        </w:tc>
        <w:tc>
          <w:tcPr>
            <w:tcW w:w="20" w:type="dxa"/>
            <w:vAlign w:val="bottom"/>
            <w:tcBorders>
              <w:top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16"/>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with the Commission on June 2, 2017).</w:t>
              </w:r>
            </w:hyperlink>
          </w:p>
        </w:tc>
      </w:tr>
      <w:tr>
        <w:trPr>
          <w:trHeight w:val="20"/>
        </w:trPr>
        <w:tc>
          <w:tcPr>
            <w:tcW w:w="8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7"/>
                <w:szCs w:val="17"/>
                <w:color w:val="auto"/>
              </w:rPr>
            </w:pPr>
          </w:p>
        </w:tc>
        <w:tc>
          <w:tcPr>
            <w:tcW w:w="8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Articles of Conversion (incorporated herein by reference to Exhibit 3.1 to the Registrant’s Current Report on Form 8-K</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filed with the Commission on June 2, 2017).</w:t>
              </w:r>
            </w:hyperlink>
          </w:p>
        </w:tc>
        <w:tc>
          <w:tcPr>
            <w:tcW w:w="5720" w:type="dxa"/>
            <w:vAlign w:val="bottom"/>
            <w:gridSpan w:val="12"/>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8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Certificate of Conversion (incorporated herein by reference to Exhibit 3.2 to the Registrant’s Current Report on Form 8-K</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filed with the Commission on June 2, 2017).</w:t>
              </w:r>
            </w:hyperlink>
          </w:p>
        </w:tc>
        <w:tc>
          <w:tcPr>
            <w:tcW w:w="5720" w:type="dxa"/>
            <w:vAlign w:val="bottom"/>
            <w:gridSpan w:val="12"/>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7"/>
                <w:szCs w:val="17"/>
                <w:color w:val="auto"/>
              </w:rPr>
            </w:pPr>
          </w:p>
        </w:tc>
        <w:tc>
          <w:tcPr>
            <w:tcW w:w="8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Certificate of Incorporation (incorporated herein by reference to Exhibit 3.3 to the Registrant’s Current Report on Form 8-</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K filed with the Commission on June 2, 2017).</w:t>
              </w:r>
            </w:hyperlink>
          </w:p>
        </w:tc>
        <w:tc>
          <w:tcPr>
            <w:tcW w:w="5540" w:type="dxa"/>
            <w:vAlign w:val="bottom"/>
            <w:gridSpan w:val="10"/>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7"/>
                <w:szCs w:val="17"/>
                <w:color w:val="auto"/>
              </w:rPr>
            </w:pPr>
          </w:p>
        </w:tc>
        <w:tc>
          <w:tcPr>
            <w:tcW w:w="8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Certificate of Designations of Rights, Preferences and Privileges of Series A Convertible Preferred Stock (incorporated</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herein by reference to Exhibit 3.4 to the Registrant’s Post-Effective Amendment No. 1 to the Registration Statement on</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Form S-3 (file no. 333-214073) filed with the Commission on July 31, 2017).</w:t>
              </w:r>
            </w:hyperlink>
          </w:p>
        </w:tc>
        <w:tc>
          <w:tcPr>
            <w:tcW w:w="3340" w:type="dxa"/>
            <w:vAlign w:val="bottom"/>
            <w:gridSpan w:val="7"/>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7"/>
                <w:szCs w:val="17"/>
                <w:color w:val="auto"/>
              </w:rPr>
            </w:pPr>
          </w:p>
        </w:tc>
        <w:tc>
          <w:tcPr>
            <w:tcW w:w="8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Certificate of Designations of Rights, Preferences and Privileges of Series B Preferred Stock (incorporated herein by</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reference to Exhibit 3.5 to the Registrant’s Post-Effective Amendment No. 1 to the Registration Statement on Form S-3</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(file no. 333-214073 incorporated by reference into file no. 333-212373) filed with the Commission on July 31, 2017).</w:t>
              </w:r>
            </w:hyperlink>
          </w:p>
        </w:tc>
        <w:tc>
          <w:tcPr>
            <w:tcW w:w="380" w:type="dxa"/>
            <w:vAlign w:val="bottom"/>
            <w:gridSpan w:val="3"/>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7"/>
                <w:szCs w:val="17"/>
                <w:color w:val="auto"/>
              </w:rPr>
            </w:pPr>
          </w:p>
        </w:tc>
        <w:tc>
          <w:tcPr>
            <w:tcW w:w="88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Certificate of Amendment of Certificate of Incorporation (incorporated herein by reference to Exhibit 3.1 to the</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16"/>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Registrant’s Current Report on Form 8-K filed with the Commission on June 27, 2017).</w:t>
              </w:r>
            </w:hyperlink>
          </w:p>
        </w:tc>
      </w:tr>
      <w:tr>
        <w:trPr>
          <w:trHeight w:val="20"/>
        </w:trPr>
        <w:tc>
          <w:tcPr>
            <w:tcW w:w="8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7"/>
                <w:szCs w:val="17"/>
                <w:color w:val="auto"/>
              </w:rPr>
            </w:pPr>
          </w:p>
        </w:tc>
        <w:tc>
          <w:tcPr>
            <w:tcW w:w="88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Certificate of Amendment of Certificate of Incorporation (incorporated herein by reference to Exhibit 3.1 to the</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16"/>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Registrant’s Current Report on Form 8 K filed with the Commission on June 11, 2019).</w:t>
              </w:r>
            </w:hyperlink>
          </w:p>
        </w:tc>
      </w:tr>
      <w:tr>
        <w:trPr>
          <w:trHeight w:val="20"/>
        </w:trPr>
        <w:tc>
          <w:tcPr>
            <w:tcW w:w="8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7"/>
                <w:szCs w:val="17"/>
                <w:color w:val="auto"/>
              </w:rPr>
            </w:pPr>
          </w:p>
        </w:tc>
        <w:tc>
          <w:tcPr>
            <w:tcW w:w="88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Third Amended and Restated Bylaws (incorporated herein by reference to Exhibit 3.1 to the Registrant’s Current Report on</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Form 8-K filed with the Commission on April 29, 2022).</w:t>
              </w:r>
            </w:hyperlink>
          </w:p>
        </w:tc>
        <w:tc>
          <w:tcPr>
            <w:tcW w:w="4820" w:type="dxa"/>
            <w:vAlign w:val="bottom"/>
            <w:gridSpan w:val="9"/>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8900" w:type="dxa"/>
            <w:vAlign w:val="bottom"/>
            <w:gridSpan w:val="16"/>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Specimen of Stock Certificate (incorporated herein by reference to Exhibit 4.2 to the Registrant’s Annual Report on</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42">
              <w:r>
                <w:rPr>
                  <w:rFonts w:ascii="Times New Roman" w:cs="Times New Roman" w:eastAsia="Times New Roman" w:hAnsi="Times New Roman"/>
                  <w:sz w:val="18"/>
                  <w:szCs w:val="18"/>
                  <w:color w:val="0000EE"/>
                  <w:w w:val="98"/>
                </w:rPr>
                <w:t>Form 10-K filed with the Commission on March 12, 2018).</w:t>
              </w:r>
            </w:hyperlink>
          </w:p>
        </w:tc>
        <w:tc>
          <w:tcPr>
            <w:tcW w:w="4600" w:type="dxa"/>
            <w:vAlign w:val="bottom"/>
            <w:tcBorders>
              <w:top w:val="single" w:sz="8" w:color="0000EE"/>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7"/>
                <w:szCs w:val="17"/>
                <w:color w:val="auto"/>
              </w:rPr>
            </w:pPr>
          </w:p>
        </w:tc>
        <w:tc>
          <w:tcPr>
            <w:tcW w:w="88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Description of Securities (incorporated herein by reference to Exhibit 4.3 to the Registrant’s Annual Report on Form 10-K</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filed with the Commission on March 6, 2019).</w:t>
              </w:r>
            </w:hyperlink>
          </w:p>
        </w:tc>
        <w:tc>
          <w:tcPr>
            <w:tcW w:w="5580" w:type="dxa"/>
            <w:vAlign w:val="bottom"/>
            <w:gridSpan w:val="11"/>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8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Genesis Biopharma, Inc. 2011 Equity Incentive Plan (incorporated herein by reference to Exhibit 10.3 to the Registrant’s</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Current Report on Form 8 K filed with the Commission on October 20, 2011).#</w:t>
              </w:r>
            </w:hyperlink>
          </w:p>
        </w:tc>
        <w:tc>
          <w:tcPr>
            <w:tcW w:w="3200" w:type="dxa"/>
            <w:vAlign w:val="bottom"/>
            <w:gridSpan w:val="6"/>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88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Form of Incentive Stock Option Agreement under the Genesis Biopharma Inc. 2011 Equity Incentive Plan (incorporated</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herein by reference to Exhibit 10.4 to the Registrant’s Annual Report on Form 10-K filed with the Commission on</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45">
              <w:r>
                <w:rPr>
                  <w:rFonts w:ascii="Times New Roman" w:cs="Times New Roman" w:eastAsia="Times New Roman" w:hAnsi="Times New Roman"/>
                  <w:sz w:val="18"/>
                  <w:szCs w:val="18"/>
                  <w:color w:val="0000EE"/>
                  <w:w w:val="97"/>
                </w:rPr>
                <w:t>February 25, 2020).#</w:t>
              </w:r>
            </w:hyperlink>
          </w:p>
        </w:tc>
        <w:tc>
          <w:tcPr>
            <w:tcW w:w="7400" w:type="dxa"/>
            <w:vAlign w:val="bottom"/>
            <w:gridSpan w:val="15"/>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7"/>
                <w:szCs w:val="17"/>
                <w:color w:val="auto"/>
              </w:rPr>
            </w:pPr>
          </w:p>
        </w:tc>
        <w:tc>
          <w:tcPr>
            <w:tcW w:w="8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Non-Qualified Stock Option Agreement under the Genesis Biopharma Inc. 2011 Equity Incentive Plan</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(incorporated herein by reference to Exhibit 10.5 to the Registrant’s Annual Report on Form 10-K filed with the</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Commission on February 25, 2020).#</w:t>
              </w:r>
            </w:hyperlink>
          </w:p>
        </w:tc>
        <w:tc>
          <w:tcPr>
            <w:tcW w:w="6220" w:type="dxa"/>
            <w:vAlign w:val="bottom"/>
            <w:gridSpan w:val="14"/>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7"/>
                <w:szCs w:val="17"/>
                <w:color w:val="auto"/>
              </w:rPr>
            </w:pPr>
          </w:p>
        </w:tc>
        <w:tc>
          <w:tcPr>
            <w:tcW w:w="88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Lion Biotechnologies, Inc. 2014 Equity Incentive Plan, as amended (incorporated herein by reference to Appendix A to the</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16"/>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Registrant’s Definitive Proxy Statement on Schedule 14A filed with the Commission on July 7, 2016).#</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9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Form of Incentive Stock Option Agreement under the Lion Biotechnologies, Inc. 2014 Equity Incentive Plan (incorporated</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herein by reference to Exhibit 10.7 to the Registrant’s Annual Report on Form 10-K filed with the Commission on</w:t>
              </w:r>
            </w:hyperlink>
          </w:p>
        </w:tc>
      </w:tr>
      <w:tr>
        <w:trPr>
          <w:trHeight w:val="196"/>
        </w:trPr>
        <w:tc>
          <w:tcPr>
            <w:tcW w:w="1000" w:type="dxa"/>
            <w:vAlign w:val="bottom"/>
          </w:tcPr>
          <w:p>
            <w:pPr>
              <w:spacing w:after="0"/>
              <w:rPr>
                <w:sz w:val="17"/>
                <w:szCs w:val="17"/>
                <w:color w:val="auto"/>
              </w:rPr>
            </w:pPr>
          </w:p>
        </w:tc>
        <w:tc>
          <w:tcPr>
            <w:tcW w:w="15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February 25, 2020).#</w:t>
              </w:r>
            </w:hyperlink>
          </w:p>
        </w:tc>
        <w:tc>
          <w:tcPr>
            <w:tcW w:w="7380" w:type="dxa"/>
            <w:vAlign w:val="bottom"/>
            <w:gridSpan w:val="17"/>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Non-Qualified Stock Option Agreement under the Lion Biotechnologies, Inc. 2014 Equity Incentive Plan</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(incorporated herein by reference to Exhibit 10.8 to the Registrant’s Annual Report on Form 10-K filed with the</w:t>
              </w:r>
            </w:hyperlink>
          </w:p>
        </w:tc>
      </w:tr>
      <w:tr>
        <w:trPr>
          <w:trHeight w:val="196"/>
        </w:trPr>
        <w:tc>
          <w:tcPr>
            <w:tcW w:w="1000" w:type="dxa"/>
            <w:vAlign w:val="bottom"/>
          </w:tcPr>
          <w:p>
            <w:pPr>
              <w:spacing w:after="0"/>
              <w:rPr>
                <w:sz w:val="17"/>
                <w:szCs w:val="17"/>
                <w:color w:val="auto"/>
              </w:rPr>
            </w:pPr>
          </w:p>
        </w:tc>
        <w:tc>
          <w:tcPr>
            <w:tcW w:w="27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Commission on February 25, 2020).#</w:t>
              </w:r>
            </w:hyperlink>
          </w:p>
        </w:tc>
        <w:tc>
          <w:tcPr>
            <w:tcW w:w="6200" w:type="dxa"/>
            <w:vAlign w:val="bottom"/>
            <w:gridSpan w:val="11"/>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Iovance Biotherapeutics, Inc. 2018 Equity Incentive Plan, as amended (incorporated herein by reference to Exhibit 10.1 to</w:t>
              </w:r>
            </w:hyperlink>
          </w:p>
        </w:tc>
      </w:tr>
      <w:tr>
        <w:trPr>
          <w:trHeight w:val="196"/>
        </w:trPr>
        <w:tc>
          <w:tcPr>
            <w:tcW w:w="1000" w:type="dxa"/>
            <w:vAlign w:val="bottom"/>
          </w:tcPr>
          <w:p>
            <w:pPr>
              <w:spacing w:after="0"/>
              <w:rPr>
                <w:sz w:val="17"/>
                <w:szCs w:val="17"/>
                <w:color w:val="auto"/>
              </w:rPr>
            </w:pPr>
          </w:p>
        </w:tc>
        <w:tc>
          <w:tcPr>
            <w:tcW w:w="72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the Registrant’s Quarterly Report on Form 10-Q filed with the Commission on November 7, 2023).#</w:t>
              </w:r>
            </w:hyperlink>
          </w:p>
        </w:tc>
        <w:tc>
          <w:tcPr>
            <w:tcW w:w="1660" w:type="dxa"/>
            <w:vAlign w:val="bottom"/>
            <w:gridSpan w:val="3"/>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Form of Incentive Stock Option Agreement under the Iovance Biotherapeutics, Inc. 2018 Equity Incentive Plan</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(incorporated herein by reference to Exhibit 10.10 of Registrant’s Annual Report on Form 10-K filed with the Commission</w:t>
              </w:r>
            </w:hyperlink>
          </w:p>
        </w:tc>
      </w:tr>
      <w:tr>
        <w:trPr>
          <w:trHeight w:val="196"/>
        </w:trPr>
        <w:tc>
          <w:tcPr>
            <w:tcW w:w="1000" w:type="dxa"/>
            <w:vAlign w:val="bottom"/>
          </w:tcPr>
          <w:p>
            <w:pPr>
              <w:spacing w:after="0"/>
              <w:rPr>
                <w:sz w:val="17"/>
                <w:szCs w:val="17"/>
                <w:color w:val="auto"/>
              </w:rPr>
            </w:pPr>
          </w:p>
        </w:tc>
        <w:tc>
          <w:tcPr>
            <w:tcW w:w="1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on February 25, 2020).#</w:t>
              </w:r>
            </w:hyperlink>
          </w:p>
        </w:tc>
        <w:tc>
          <w:tcPr>
            <w:tcW w:w="7160" w:type="dxa"/>
            <w:vAlign w:val="bottom"/>
            <w:gridSpan w:val="15"/>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Non-Qualified Stock Option Agreement under the Iovance Biotherapeutics, Inc. 2018 Equity Incentive Plan</w:t>
              </w:r>
            </w:hyperlink>
          </w:p>
        </w:tc>
      </w:tr>
      <w:tr>
        <w:trPr>
          <w:trHeight w:val="196"/>
        </w:trPr>
        <w:tc>
          <w:tcPr>
            <w:tcW w:w="1000" w:type="dxa"/>
            <w:vAlign w:val="bottom"/>
          </w:tcPr>
          <w:p>
            <w:pPr>
              <w:spacing w:after="0"/>
              <w:rPr>
                <w:sz w:val="17"/>
                <w:szCs w:val="17"/>
                <w:color w:val="auto"/>
              </w:rPr>
            </w:pPr>
          </w:p>
        </w:tc>
        <w:tc>
          <w:tcPr>
            <w:tcW w:w="8900" w:type="dxa"/>
            <w:vAlign w:val="bottom"/>
            <w:gridSpan w:val="19"/>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(incorporated herein by reference to Exhibit 10.11 of Registrant’s Annual report on Form 10-K filed with the Commission</w:t>
              </w:r>
            </w:hyperlink>
          </w:p>
        </w:tc>
      </w:tr>
      <w:tr>
        <w:trPr>
          <w:trHeight w:val="196"/>
        </w:trPr>
        <w:tc>
          <w:tcPr>
            <w:tcW w:w="100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53">
              <w:r>
                <w:rPr>
                  <w:rFonts w:ascii="Times New Roman" w:cs="Times New Roman" w:eastAsia="Times New Roman" w:hAnsi="Times New Roman"/>
                  <w:sz w:val="18"/>
                  <w:szCs w:val="18"/>
                  <w:color w:val="0000EE"/>
                  <w:w w:val="98"/>
                </w:rPr>
                <w:t>on February 25, 2020).#</w:t>
              </w:r>
            </w:hyperlink>
          </w:p>
        </w:tc>
        <w:tc>
          <w:tcPr>
            <w:tcW w:w="714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Stock Unit Notice and Stock Unit Agreement under the Iovance Biotherapeutics, Inc. 2018 Equity Incentive Plan,</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as amended (June 2021 Retention Equity Awards) (incorporated herein by reference to Exhibit 10.2 to the Registrant’s</w:t>
              </w:r>
            </w:hyperlink>
          </w:p>
        </w:tc>
      </w:tr>
      <w:tr>
        <w:trPr>
          <w:trHeight w:val="196"/>
        </w:trPr>
        <w:tc>
          <w:tcPr>
            <w:tcW w:w="1000" w:type="dxa"/>
            <w:vAlign w:val="bottom"/>
          </w:tcPr>
          <w:p>
            <w:pPr>
              <w:spacing w:after="0"/>
              <w:rPr>
                <w:sz w:val="17"/>
                <w:szCs w:val="17"/>
                <w:color w:val="auto"/>
              </w:rPr>
            </w:pPr>
          </w:p>
        </w:tc>
        <w:tc>
          <w:tcPr>
            <w:tcW w:w="8900" w:type="dxa"/>
            <w:vAlign w:val="bottom"/>
            <w:gridSpan w:val="19"/>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Quarterly Report on Form 10-Q filed with the Commission on August 5, 2021).#</w:t>
              </w:r>
            </w:hyperlink>
          </w:p>
        </w:tc>
      </w:tr>
      <w:tr>
        <w:trPr>
          <w:trHeight w:val="20"/>
        </w:trPr>
        <w:tc>
          <w:tcPr>
            <w:tcW w:w="10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Form of Nonqualified Stock Option Award Agreement under the Iovance Biotherapeutics, Inc. 2018 Equity Incentive Plan,</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as amended (June 2021 Retention Equity Awards) (incorporated herein by reference to Exhibit 10.3 to the Registrant’s</w:t>
              </w:r>
            </w:hyperlink>
          </w:p>
        </w:tc>
      </w:tr>
      <w:tr>
        <w:trPr>
          <w:trHeight w:val="196"/>
        </w:trPr>
        <w:tc>
          <w:tcPr>
            <w:tcW w:w="1000" w:type="dxa"/>
            <w:vAlign w:val="bottom"/>
          </w:tcPr>
          <w:p>
            <w:pPr>
              <w:spacing w:after="0"/>
              <w:rPr>
                <w:sz w:val="17"/>
                <w:szCs w:val="17"/>
                <w:color w:val="auto"/>
              </w:rPr>
            </w:pPr>
          </w:p>
        </w:tc>
        <w:tc>
          <w:tcPr>
            <w:tcW w:w="8900" w:type="dxa"/>
            <w:vAlign w:val="bottom"/>
            <w:gridSpan w:val="19"/>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Current Report on Form 10-Q filed with the Commission on August 5, 2021).#</w:t>
              </w:r>
            </w:hyperlink>
          </w:p>
        </w:tc>
      </w:tr>
      <w:tr>
        <w:trPr>
          <w:trHeight w:val="20"/>
        </w:trPr>
        <w:tc>
          <w:tcPr>
            <w:tcW w:w="10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Iovance Biotherapeutics, Inc. 2020 Employee Stock Purchase Plan (incorporated herein by reference to Exhibit 10.2 to the</w:t>
              </w:r>
            </w:hyperlink>
          </w:p>
        </w:tc>
      </w:tr>
      <w:tr>
        <w:trPr>
          <w:trHeight w:val="196"/>
        </w:trPr>
        <w:tc>
          <w:tcPr>
            <w:tcW w:w="1000" w:type="dxa"/>
            <w:vAlign w:val="bottom"/>
          </w:tcPr>
          <w:p>
            <w:pPr>
              <w:spacing w:after="0"/>
              <w:rPr>
                <w:sz w:val="17"/>
                <w:szCs w:val="17"/>
                <w:color w:val="auto"/>
              </w:rPr>
            </w:pPr>
          </w:p>
        </w:tc>
        <w:tc>
          <w:tcPr>
            <w:tcW w:w="8900" w:type="dxa"/>
            <w:vAlign w:val="bottom"/>
            <w:gridSpan w:val="19"/>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Registrant’s Quarterly Report on Form 10-Q filed with the Commission on November 7, 2023).#</w:t>
              </w:r>
            </w:hyperlink>
          </w:p>
        </w:tc>
      </w:tr>
      <w:tr>
        <w:trPr>
          <w:trHeight w:val="20"/>
        </w:trPr>
        <w:tc>
          <w:tcPr>
            <w:tcW w:w="10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8900" w:type="dxa"/>
            <w:vAlign w:val="bottom"/>
            <w:gridSpan w:val="19"/>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Iovance Biotherapeutics, Inc. Amended and Restated 2021 Inducement Plan (incorporated herein by reference to Exhibit</w:t>
              </w:r>
            </w:hyperlink>
          </w:p>
        </w:tc>
      </w:tr>
      <w:tr>
        <w:trPr>
          <w:trHeight w:val="196"/>
        </w:trPr>
        <w:tc>
          <w:tcPr>
            <w:tcW w:w="1000" w:type="dxa"/>
            <w:vAlign w:val="bottom"/>
          </w:tcPr>
          <w:p>
            <w:pPr>
              <w:spacing w:after="0"/>
              <w:rPr>
                <w:sz w:val="17"/>
                <w:szCs w:val="17"/>
                <w:color w:val="auto"/>
              </w:rPr>
            </w:pPr>
          </w:p>
        </w:tc>
        <w:tc>
          <w:tcPr>
            <w:tcW w:w="88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0000EE"/>
                </w:rPr>
                <w:t xml:space="preserve"> to the Registrant’s Annual Report on Form 10-K filed with the Commission on February 24, 2022).#**</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6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Form of Stock Option Grant Notice and Stock Option Agreement under the 2021 Inducement Plan (incorporated by</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reference to Exhibit 10.2 to the Registrant’s Current Report on Form 8-K filed with the Commission on September 23,</w:t>
              </w:r>
            </w:hyperlink>
          </w:p>
        </w:tc>
      </w:tr>
      <w:tr>
        <w:trPr>
          <w:trHeight w:val="196"/>
        </w:trPr>
        <w:tc>
          <w:tcPr>
            <w:tcW w:w="100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58">
              <w:r>
                <w:rPr>
                  <w:rFonts w:ascii="Times New Roman" w:cs="Times New Roman" w:eastAsia="Times New Roman" w:hAnsi="Times New Roman"/>
                  <w:sz w:val="18"/>
                  <w:szCs w:val="18"/>
                  <w:color w:val="0000EE"/>
                  <w:w w:val="93"/>
                </w:rPr>
                <w:t>2021).#</w:t>
              </w:r>
            </w:hyperlink>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of Restricted Stock Unit Grant Notice and Restricted Stock Unit Agreement under the 2021 Inducement Plan</w:t>
              </w:r>
            </w:hyperlink>
          </w:p>
        </w:tc>
      </w:tr>
      <w:tr>
        <w:trPr>
          <w:trHeight w:val="196"/>
        </w:trPr>
        <w:tc>
          <w:tcPr>
            <w:tcW w:w="1000" w:type="dxa"/>
            <w:vAlign w:val="bottom"/>
          </w:tcPr>
          <w:p>
            <w:pPr>
              <w:spacing w:after="0"/>
              <w:rPr>
                <w:sz w:val="17"/>
                <w:szCs w:val="17"/>
                <w:color w:val="auto"/>
              </w:rPr>
            </w:pPr>
          </w:p>
        </w:tc>
        <w:tc>
          <w:tcPr>
            <w:tcW w:w="8900" w:type="dxa"/>
            <w:vAlign w:val="bottom"/>
            <w:gridSpan w:val="19"/>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(incorporated by reference to Exhibit 10.3 to the Registrant’s Current Report on Form 8-K filed with the Commission on</w:t>
              </w:r>
            </w:hyperlink>
          </w:p>
        </w:tc>
      </w:tr>
      <w:tr>
        <w:trPr>
          <w:trHeight w:val="196"/>
        </w:trPr>
        <w:tc>
          <w:tcPr>
            <w:tcW w:w="100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59">
              <w:r>
                <w:rPr>
                  <w:rFonts w:ascii="Times New Roman" w:cs="Times New Roman" w:eastAsia="Times New Roman" w:hAnsi="Times New Roman"/>
                  <w:sz w:val="18"/>
                  <w:szCs w:val="18"/>
                  <w:color w:val="0000EE"/>
                  <w:w w:val="98"/>
                </w:rPr>
                <w:t>September 23, 2021).#</w:t>
              </w:r>
            </w:hyperlink>
          </w:p>
        </w:tc>
        <w:tc>
          <w:tcPr>
            <w:tcW w:w="724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of Deferred Stock Unit Notice and Deferred Stock Unit Agreement under the Iovance Biotherapeutics, Inc. 2018</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Equity Incentive Plan (incorporated by reference to Exhibit 10.2 to the Registrant’s Quarterly Report on Form 10-Q filed</w:t>
              </w:r>
            </w:hyperlink>
          </w:p>
        </w:tc>
      </w:tr>
      <w:tr>
        <w:trPr>
          <w:trHeight w:val="196"/>
        </w:trPr>
        <w:tc>
          <w:tcPr>
            <w:tcW w:w="1000" w:type="dxa"/>
            <w:vAlign w:val="bottom"/>
          </w:tcPr>
          <w:p>
            <w:pPr>
              <w:spacing w:after="0"/>
              <w:rPr>
                <w:sz w:val="17"/>
                <w:szCs w:val="17"/>
                <w:color w:val="auto"/>
              </w:rPr>
            </w:pPr>
          </w:p>
        </w:tc>
        <w:tc>
          <w:tcPr>
            <w:tcW w:w="8900" w:type="dxa"/>
            <w:vAlign w:val="bottom"/>
            <w:gridSpan w:val="19"/>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with the Commission on August 4, 2022).#</w:t>
              </w:r>
            </w:hyperlink>
          </w:p>
        </w:tc>
      </w:tr>
      <w:tr>
        <w:trPr>
          <w:trHeight w:val="20"/>
        </w:trPr>
        <w:tc>
          <w:tcPr>
            <w:tcW w:w="100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Patent License Agreement by and between Genesis Biopharma, Inc. and the National Institutes of Health effective</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October 5, 2011 (incorporated herein by reference to Exhibit 10.1 to the Registrant’s Current Report on Form 8-K/A filed</w:t>
              </w:r>
            </w:hyperlink>
          </w:p>
        </w:tc>
      </w:tr>
      <w:tr>
        <w:trPr>
          <w:trHeight w:val="196"/>
        </w:trPr>
        <w:tc>
          <w:tcPr>
            <w:tcW w:w="1000" w:type="dxa"/>
            <w:vAlign w:val="bottom"/>
          </w:tcPr>
          <w:p>
            <w:pPr>
              <w:spacing w:after="0"/>
              <w:rPr>
                <w:sz w:val="17"/>
                <w:szCs w:val="17"/>
                <w:color w:val="auto"/>
              </w:rPr>
            </w:pPr>
          </w:p>
        </w:tc>
        <w:tc>
          <w:tcPr>
            <w:tcW w:w="8900" w:type="dxa"/>
            <w:vAlign w:val="bottom"/>
            <w:gridSpan w:val="19"/>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with the Commission on December 13, 2011).*</w:t>
              </w:r>
            </w:hyperlink>
          </w:p>
        </w:tc>
      </w:tr>
      <w:tr>
        <w:trPr>
          <w:trHeight w:val="20"/>
        </w:trPr>
        <w:tc>
          <w:tcPr>
            <w:tcW w:w="100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Cooperative Research and Development Agreement for Intramural-PHS Clinical Research, dated August 5, 2011, by and</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between the U.S. Department of Health and Human Services, as represented by the National Cancer Institute, and Genesis</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Biopharma, Inc. (incorporated herein by reference to Exhibit 10.1 to the Registrant’s Current Report on Form 8-K/A</w:t>
              </w:r>
            </w:hyperlink>
          </w:p>
        </w:tc>
      </w:tr>
      <w:tr>
        <w:trPr>
          <w:trHeight w:val="196"/>
        </w:trPr>
        <w:tc>
          <w:tcPr>
            <w:tcW w:w="1000" w:type="dxa"/>
            <w:vAlign w:val="bottom"/>
          </w:tcPr>
          <w:p>
            <w:pPr>
              <w:spacing w:after="0"/>
              <w:rPr>
                <w:sz w:val="17"/>
                <w:szCs w:val="17"/>
                <w:color w:val="auto"/>
              </w:rPr>
            </w:pPr>
          </w:p>
        </w:tc>
        <w:tc>
          <w:tcPr>
            <w:tcW w:w="8900" w:type="dxa"/>
            <w:vAlign w:val="bottom"/>
            <w:gridSpan w:val="19"/>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(Amendment No. 2) filed with the Commission on November 29, 2011).</w:t>
              </w:r>
            </w:hyperlink>
          </w:p>
        </w:tc>
      </w:tr>
      <w:tr>
        <w:trPr>
          <w:trHeight w:val="20"/>
        </w:trPr>
        <w:tc>
          <w:tcPr>
            <w:tcW w:w="100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Form of Director Stock Award Agreement (incorporated herein by reference to Exhibit 10.2 to the Registrant’s Current</w:t>
              </w:r>
            </w:hyperlink>
          </w:p>
        </w:tc>
      </w:tr>
      <w:tr>
        <w:trPr>
          <w:trHeight w:val="196"/>
        </w:trPr>
        <w:tc>
          <w:tcPr>
            <w:tcW w:w="1000" w:type="dxa"/>
            <w:vAlign w:val="bottom"/>
          </w:tcPr>
          <w:p>
            <w:pPr>
              <w:spacing w:after="0"/>
              <w:rPr>
                <w:sz w:val="17"/>
                <w:szCs w:val="17"/>
                <w:color w:val="auto"/>
              </w:rPr>
            </w:pPr>
          </w:p>
        </w:tc>
        <w:tc>
          <w:tcPr>
            <w:tcW w:w="8900" w:type="dxa"/>
            <w:vAlign w:val="bottom"/>
            <w:gridSpan w:val="19"/>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Report on Form 8-K filed with the Commission on July 25, 2013).#</w:t>
              </w:r>
            </w:hyperlink>
          </w:p>
        </w:tc>
      </w:tr>
      <w:tr>
        <w:trPr>
          <w:trHeight w:val="20"/>
        </w:trPr>
        <w:tc>
          <w:tcPr>
            <w:tcW w:w="100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4040" w:type="dxa"/>
            <w:vAlign w:val="bottom"/>
            <w:gridSpan w:val="8"/>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Form of Registration Rights Agreement by and among Lion Biotechnologies, Inc. and the Investors thereunder</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(incorporated herein by reference to Exhibit 10.2 to the Registrant’s Current Report on Form 8-K filed with the</w:t>
              </w:r>
            </w:hyperlink>
          </w:p>
        </w:tc>
      </w:tr>
      <w:tr>
        <w:trPr>
          <w:trHeight w:val="196"/>
        </w:trPr>
        <w:tc>
          <w:tcPr>
            <w:tcW w:w="1000" w:type="dxa"/>
            <w:vAlign w:val="bottom"/>
          </w:tcPr>
          <w:p>
            <w:pPr>
              <w:spacing w:after="0"/>
              <w:rPr>
                <w:sz w:val="17"/>
                <w:szCs w:val="17"/>
                <w:color w:val="auto"/>
              </w:rPr>
            </w:pPr>
          </w:p>
        </w:tc>
        <w:tc>
          <w:tcPr>
            <w:tcW w:w="25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Commission on October 31, 2013).</w:t>
              </w:r>
            </w:hyperlink>
          </w:p>
        </w:tc>
        <w:tc>
          <w:tcPr>
            <w:tcW w:w="6360" w:type="dxa"/>
            <w:vAlign w:val="bottom"/>
            <w:gridSpan w:val="13"/>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Cooperative Research and Development Agreement for the Development and Evaluation of the NCI Proprietary Adoptive</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Cell Transfer Immunotherapy Using Tumor Infiltrating Lymphocytes in Patients with Metastatic Melanoma, Bladder,</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Lung, Triple-negative Breast, and HPV-associated Cancers, Utilizing Lion Biotechnologies, Inc.’s Business Development</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Expertise in Adoptive Cell Transfer Immunotherapy, executed by Lion Biotechnologies, Inc. on January 22, 2015</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(incorporated herein by reference to Exhibit 10.1 to the Registrant’s Current Report on Form 8-K filed with the</w:t>
              </w:r>
            </w:hyperlink>
          </w:p>
        </w:tc>
      </w:tr>
      <w:tr>
        <w:trPr>
          <w:trHeight w:val="196"/>
        </w:trPr>
        <w:tc>
          <w:tcPr>
            <w:tcW w:w="1000" w:type="dxa"/>
            <w:vAlign w:val="bottom"/>
          </w:tcPr>
          <w:p>
            <w:pPr>
              <w:spacing w:after="0"/>
              <w:rPr>
                <w:sz w:val="17"/>
                <w:szCs w:val="17"/>
                <w:color w:val="auto"/>
              </w:rPr>
            </w:pPr>
          </w:p>
        </w:tc>
        <w:tc>
          <w:tcPr>
            <w:tcW w:w="8900" w:type="dxa"/>
            <w:vAlign w:val="bottom"/>
            <w:gridSpan w:val="19"/>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Commission on January 27, 2015).*</w:t>
              </w:r>
            </w:hyperlink>
          </w:p>
        </w:tc>
      </w:tr>
      <w:tr>
        <w:trPr>
          <w:trHeight w:val="20"/>
        </w:trPr>
        <w:tc>
          <w:tcPr>
            <w:tcW w:w="100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300" w:type="dxa"/>
            <w:vAlign w:val="bottom"/>
            <w:gridSpan w:val="12"/>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Patent License Agreement, dated February 9, 2015, by and between Lion Biotechnologies, Inc. and the National Institutes</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of Health (incorporated herein by reference to Exhibit 10.47 to the Registrant’s Annual Report on Form 10 K filed with the</w:t>
              </w:r>
            </w:hyperlink>
          </w:p>
        </w:tc>
      </w:tr>
      <w:tr>
        <w:trPr>
          <w:trHeight w:val="196"/>
        </w:trPr>
        <w:tc>
          <w:tcPr>
            <w:tcW w:w="1000" w:type="dxa"/>
            <w:vAlign w:val="bottom"/>
          </w:tcPr>
          <w:p>
            <w:pPr>
              <w:spacing w:after="0"/>
              <w:rPr>
                <w:sz w:val="17"/>
                <w:szCs w:val="17"/>
                <w:color w:val="auto"/>
              </w:rPr>
            </w:pPr>
          </w:p>
        </w:tc>
        <w:tc>
          <w:tcPr>
            <w:tcW w:w="25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Commission on March 16, 2015).*</w:t>
              </w:r>
            </w:hyperlink>
          </w:p>
        </w:tc>
        <w:tc>
          <w:tcPr>
            <w:tcW w:w="6380" w:type="dxa"/>
            <w:vAlign w:val="bottom"/>
            <w:gridSpan w:val="14"/>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900"/>
          </w:cols>
          <w:pgMar w:left="980" w:top="661" w:right="101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985"/>
        <w:spacing w:after="0" w:line="257"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68">
        <w:r>
          <w:rPr>
            <w:rFonts w:ascii="Times New Roman" w:cs="Times New Roman" w:eastAsia="Times New Roman" w:hAnsi="Times New Roman"/>
            <w:sz w:val="18"/>
            <w:szCs w:val="18"/>
            <w:u w:val="single" w:color="auto"/>
            <w:color w:val="0000EE"/>
          </w:rPr>
          <w:t>Patent License Agreement, dated February 10, 2015, by and between Lion Biotechnologies, Inc. and the National Institutes</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of Health (incorporated herein by reference to Exhibit 10.46 to the Registrant’s Annual Report on Form 10-K filed with the</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Commission on March 16, 2015).*</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00" w:hanging="985"/>
        <w:spacing w:after="0" w:line="250"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69">
        <w:r>
          <w:rPr>
            <w:rFonts w:ascii="Times New Roman" w:cs="Times New Roman" w:eastAsia="Times New Roman" w:hAnsi="Times New Roman"/>
            <w:sz w:val="18"/>
            <w:szCs w:val="18"/>
            <w:u w:val="single" w:color="auto"/>
            <w:color w:val="0000EE"/>
          </w:rPr>
          <w:t>First Amendment to Patent License Agreement, effective October 2, 2015, by and between Lion Biotechnologies, Inc. and</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the National Institutes of Health (incorporated herein by reference to Exhibit 10.47 to the Registrant’s Quarterly Report on</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Form 10-Q filed with the Commission on November 6, 2015).*</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00" w:hanging="985"/>
        <w:spacing w:after="0" w:line="250"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70">
        <w:r>
          <w:rPr>
            <w:rFonts w:ascii="Times New Roman" w:cs="Times New Roman" w:eastAsia="Times New Roman" w:hAnsi="Times New Roman"/>
            <w:sz w:val="18"/>
            <w:szCs w:val="18"/>
            <w:u w:val="single" w:color="auto"/>
            <w:color w:val="0000EE"/>
          </w:rPr>
          <w:t>Amended and Restated Patent License Agreement, by and between Iovance Biotherapeutics, Inc. and the National</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Institutes of Health (incorporated herein by reference to Exhibit 10.1 to the Registrant’s Quarterly Report on Form 10 Q</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filed with the Commission on August 5, 2021).*</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00" w:hanging="985"/>
        <w:spacing w:after="0" w:line="250"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71">
        <w:r>
          <w:rPr>
            <w:rFonts w:ascii="Times New Roman" w:cs="Times New Roman" w:eastAsia="Times New Roman" w:hAnsi="Times New Roman"/>
            <w:sz w:val="18"/>
            <w:szCs w:val="18"/>
            <w:u w:val="single" w:color="auto"/>
            <w:color w:val="0000EE"/>
          </w:rPr>
          <w:t>Form of Securities Purchase Agreement, dated June 2, 2016, by and among Lion Biotechnologies, Inc. and the Investors</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thereunder (incorporated herein by reference to Exhibit 10.1 to the Registrant’s Current Report on Form 8-K filed with the</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Commission on June 3, 2016).</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00" w:hanging="985"/>
        <w:spacing w:after="0" w:line="250"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72">
        <w:r>
          <w:rPr>
            <w:rFonts w:ascii="Times New Roman" w:cs="Times New Roman" w:eastAsia="Times New Roman" w:hAnsi="Times New Roman"/>
            <w:sz w:val="18"/>
            <w:szCs w:val="18"/>
            <w:u w:val="single" w:color="auto"/>
            <w:color w:val="0000EE"/>
          </w:rPr>
          <w:t>Form of Registration Rights Agreement, dated June 2, 2016, by and among Lion Biotechnologies, Inc. and the Investors</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thereunder (incorporated herein by reference to Exhibit 10.2 to the Registrant’s Current Report on Form 8-K filed with the</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Commission on June 3, 2016).</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00" w:hanging="985"/>
        <w:spacing w:after="0" w:line="250"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73">
        <w:r>
          <w:rPr>
            <w:rFonts w:ascii="Times New Roman" w:cs="Times New Roman" w:eastAsia="Times New Roman" w:hAnsi="Times New Roman"/>
            <w:sz w:val="18"/>
            <w:szCs w:val="18"/>
            <w:u w:val="single" w:color="auto"/>
            <w:color w:val="0000EE"/>
          </w:rPr>
          <w:t>Amendment #2 to the Cooperative Research and Development Agreement #02734, dated August 18, 2016, by and between</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the National Cancer Institute and Lion Biotechnologies, Inc. (incorporated herein by reference to Exhibit 10.3 to</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Amendment No. 2 to Registrant’s Registration Statement on Form S 1 filed with the Commission on August 31, 2016).</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00" w:hanging="985"/>
        <w:spacing w:after="0" w:line="250"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74">
        <w:r>
          <w:rPr>
            <w:rFonts w:ascii="Times New Roman" w:cs="Times New Roman" w:eastAsia="Times New Roman" w:hAnsi="Times New Roman"/>
            <w:sz w:val="18"/>
            <w:szCs w:val="18"/>
            <w:u w:val="single" w:color="auto"/>
            <w:color w:val="0000EE"/>
          </w:rPr>
          <w:t>Manufacturing Services Agreement, dated November 23, 2015, by and between WuXi Advanced Therapies, Inc. and Lion</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Biotechnologies, Inc. (incorporated herein by reference to Exhibit 10.36 to the Registrant’s Annual Report on Form 10-K</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filed with the Commission on March 9,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00" w:hanging="985"/>
        <w:spacing w:after="0" w:line="250"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75">
        <w:r>
          <w:rPr>
            <w:rFonts w:ascii="Times New Roman" w:cs="Times New Roman" w:eastAsia="Times New Roman" w:hAnsi="Times New Roman"/>
            <w:sz w:val="18"/>
            <w:szCs w:val="18"/>
            <w:u w:val="single" w:color="auto"/>
            <w:color w:val="0000EE"/>
          </w:rPr>
          <w:t>Strategic Alliance Agreement, effective as of April 17, 2017, between Lion Biotechnologies, Inc. and The University of</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Texas M.D. Anderson Cancer Center (incorporated herein by reference to Exhibit 10.1 to the Registrant’s Quarterly Report</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on Form 10 Q filed with the Commission on August 3,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00" w:hanging="985"/>
        <w:spacing w:after="0" w:line="250"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76">
        <w:r>
          <w:rPr>
            <w:rFonts w:ascii="Times New Roman" w:cs="Times New Roman" w:eastAsia="Times New Roman" w:hAnsi="Times New Roman"/>
            <w:sz w:val="18"/>
            <w:szCs w:val="18"/>
            <w:u w:val="single" w:color="auto"/>
            <w:color w:val="0000EE"/>
          </w:rPr>
          <w:t>First Amendment to the Strategic Alliance Agreement by and between Iovance Biotherapeutics, Inc. and The University of</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Texas M.D. Anderson Cancer Center, effective as of August 2, 2017 (incorporated herein by reference to Exhibit 10.34 to</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the Registrant’s Annual Report on Form 10-K filed with the Commission on March 12, 2018).</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00" w:hanging="985"/>
        <w:spacing w:after="0" w:line="250"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77">
        <w:r>
          <w:rPr>
            <w:rFonts w:ascii="Times New Roman" w:cs="Times New Roman" w:eastAsia="Times New Roman" w:hAnsi="Times New Roman"/>
            <w:sz w:val="18"/>
            <w:szCs w:val="18"/>
            <w:u w:val="single" w:color="auto"/>
            <w:color w:val="0000EE"/>
          </w:rPr>
          <w:t>Second Amendment to the Strategic Alliance Agreement by and between Iovance Biotherapeutics, Inc. and The University</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of Texas M.D. Anderson Cancer Center, effective February 16, 2018 (incorporated herein by reference to Exhibit 10.35 to</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the Registrant’s Annual Report on Form 10-K filed with the Commission on March 12, 2018).</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00" w:hanging="985"/>
        <w:spacing w:after="0" w:line="250"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78">
        <w:r>
          <w:rPr>
            <w:rFonts w:ascii="Times New Roman" w:cs="Times New Roman" w:eastAsia="Times New Roman" w:hAnsi="Times New Roman"/>
            <w:sz w:val="18"/>
            <w:szCs w:val="18"/>
            <w:u w:val="single" w:color="auto"/>
            <w:color w:val="0000EE"/>
          </w:rPr>
          <w:t>Executive Employment Agreement, effective as of June 1, 2016, by and between Maria Fardis and Lion Biotechnologies,</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Inc. (incorporated herein by reference to Exhibit 10.3 of the Registrant’s Quarterly Report on Form 10 Q filed with the</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Commission on August 9, 2016).*#</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00" w:hanging="985"/>
        <w:spacing w:after="0" w:line="250"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79">
        <w:r>
          <w:rPr>
            <w:rFonts w:ascii="Times New Roman" w:cs="Times New Roman" w:eastAsia="Times New Roman" w:hAnsi="Times New Roman"/>
            <w:sz w:val="18"/>
            <w:szCs w:val="18"/>
            <w:u w:val="single" w:color="auto"/>
            <w:color w:val="0000EE"/>
          </w:rPr>
          <w:t>Severance Agreement and General Release, effective as of July 8, 2020, between Iovance Biotherapeutics, Inc. and</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Timothy Morris (incorporated herein by reference to Exhibit 10.4 to the Registrant’s Quarterly Report on Form 10-Q filed</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with the Commission on August 6, 2020).*#</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00" w:hanging="985"/>
        <w:spacing w:after="0" w:line="250"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180">
        <w:r>
          <w:rPr>
            <w:rFonts w:ascii="Times New Roman" w:cs="Times New Roman" w:eastAsia="Times New Roman" w:hAnsi="Times New Roman"/>
            <w:sz w:val="18"/>
            <w:szCs w:val="18"/>
            <w:u w:val="single" w:color="auto"/>
            <w:color w:val="0000EE"/>
          </w:rPr>
          <w:t>Executive Employment Agreement, effective as of September 30, 2016, by and between Frederick G. Vogt and Lion</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Biotechnologies, Inc. (incorporated herein by reference to Exhibit 10.32 to the Registrant’s Annual Report on Form 10 K</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filed with the Commission on March 12, 2018).#</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00" w:hanging="985"/>
        <w:spacing w:after="0" w:line="250"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181">
        <w:r>
          <w:rPr>
            <w:rFonts w:ascii="Times New Roman" w:cs="Times New Roman" w:eastAsia="Times New Roman" w:hAnsi="Times New Roman"/>
            <w:sz w:val="18"/>
            <w:szCs w:val="18"/>
            <w:u w:val="single" w:color="auto"/>
            <w:color w:val="0000EE"/>
          </w:rPr>
          <w:t>Executive Employment Agreement effective as of July 18, 2019, by and between Friedrich-Reinhard Graf Finck von</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Finckenstein, M.D. and Iovance Biotherapeutics, Inc. (incorporated herein by reference to Exhibit 10.1 of the Registrant’s</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Quarterly Report on Form 10-Q filed with the Commission on August 1, 2019).</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00" w:hanging="985"/>
        <w:spacing w:after="0" w:line="250"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182">
        <w:r>
          <w:rPr>
            <w:rFonts w:ascii="Times New Roman" w:cs="Times New Roman" w:eastAsia="Times New Roman" w:hAnsi="Times New Roman"/>
            <w:sz w:val="18"/>
            <w:szCs w:val="18"/>
            <w:u w:val="single" w:color="auto"/>
            <w:color w:val="0000EE"/>
          </w:rPr>
          <w:t>Executive Employment Agreement, effective as of December 14, 2020, by and between Jean-Marc Bellemin and Iovance</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Biotherapeutics, Inc. (incorporated herein by reference to Exhibit 10.30 of the Registrant’s Annual Report on Form 10-K</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filed with the Commission on February 25, 2021).#+</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00" w:hanging="985"/>
        <w:spacing w:after="0" w:line="250"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10.38</w:t>
      </w:r>
      <w:r>
        <w:rPr>
          <w:sz w:val="20"/>
          <w:szCs w:val="20"/>
          <w:color w:val="auto"/>
        </w:rPr>
        <w:tab/>
      </w:r>
      <w:hyperlink r:id="rId183">
        <w:r>
          <w:rPr>
            <w:rFonts w:ascii="Times New Roman" w:cs="Times New Roman" w:eastAsia="Times New Roman" w:hAnsi="Times New Roman"/>
            <w:sz w:val="18"/>
            <w:szCs w:val="18"/>
            <w:u w:val="single" w:color="auto"/>
            <w:color w:val="0000EE"/>
          </w:rPr>
          <w:t>Executive Employment Agreement, effective as of March 15, 2021, by and between Igor Bilinsky, Ph.D. and Iovance</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Biotherapeutics, Inc. (incorporated herein by reference to Exhibit 10.4 of the Registrant’s Current Report on Form 10-K</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filed with the Commission on May 6, 2021).#+</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00" w:hanging="985"/>
        <w:spacing w:after="0" w:line="250"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10.39</w:t>
      </w:r>
      <w:r>
        <w:rPr>
          <w:sz w:val="20"/>
          <w:szCs w:val="20"/>
          <w:color w:val="auto"/>
        </w:rPr>
        <w:tab/>
      </w:r>
      <w:hyperlink r:id="rId184">
        <w:r>
          <w:rPr>
            <w:rFonts w:ascii="Times New Roman" w:cs="Times New Roman" w:eastAsia="Times New Roman" w:hAnsi="Times New Roman"/>
            <w:sz w:val="18"/>
            <w:szCs w:val="18"/>
            <w:u w:val="single" w:color="auto"/>
            <w:color w:val="0000EE"/>
          </w:rPr>
          <w:t>Office Lease, effective as of August 4, 2016, by and between Lion Biotechnologies, Inc. and Hudson Skyway Landing,</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LLC (incorporated herein by reference to Exhibit 10.1 of the Registrant’s Current Report on Form 8 K filed with the</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Commission on August 8, 2016).</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00" w:hanging="985"/>
        <w:spacing w:after="0" w:line="255"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10.40</w:t>
      </w:r>
      <w:r>
        <w:rPr>
          <w:sz w:val="20"/>
          <w:szCs w:val="20"/>
          <w:color w:val="auto"/>
        </w:rPr>
        <w:tab/>
      </w:r>
      <w:hyperlink r:id="rId185">
        <w:r>
          <w:rPr>
            <w:rFonts w:ascii="Times New Roman" w:cs="Times New Roman" w:eastAsia="Times New Roman" w:hAnsi="Times New Roman"/>
            <w:sz w:val="18"/>
            <w:szCs w:val="18"/>
            <w:u w:val="single" w:color="auto"/>
            <w:color w:val="0000EE"/>
          </w:rPr>
          <w:t>Office Lease, effective as of October 19, 2018, by and between Iovance Biotechnologies, Inc. and Hudson Skyway</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Landing, LLC (incorporated herein by reference to Exhibit 10.1 to the Registrant’s Current Report on Form 8 K filed with</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the Commission on October 25, 2018).</w:t>
        </w:r>
      </w:hyperlink>
    </w:p>
    <w:p>
      <w:pPr>
        <w:sectPr>
          <w:pgSz w:w="11900" w:h="16838" w:orient="portrait"/>
          <w:cols w:equalWidth="0" w:num="1">
            <w:col w:w="9900"/>
          </w:cols>
          <w:pgMar w:left="980" w:top="661" w:right="1019"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202"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89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First Amendment to the Office Lease, effective as of June 19, 2019, between Iovance Biotherapeutics, Inc. and Hudson</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Skyway Landing, LLC (incorporated herein by reference to Exhibit 10.1 of the Registrant’s Quarterly Report on Form 10-</w:t>
              </w:r>
            </w:hyperlink>
          </w:p>
        </w:tc>
      </w:tr>
      <w:tr>
        <w:trPr>
          <w:trHeight w:val="196"/>
        </w:trPr>
        <w:tc>
          <w:tcPr>
            <w:tcW w:w="1000" w:type="dxa"/>
            <w:vAlign w:val="bottom"/>
          </w:tcPr>
          <w:p>
            <w:pPr>
              <w:spacing w:after="0"/>
              <w:rPr>
                <w:sz w:val="17"/>
                <w:szCs w:val="17"/>
                <w:color w:val="auto"/>
              </w:rPr>
            </w:pPr>
          </w:p>
        </w:tc>
        <w:tc>
          <w:tcPr>
            <w:tcW w:w="8900" w:type="dxa"/>
            <w:vAlign w:val="bottom"/>
            <w:gridSpan w:val="14"/>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Q filed with the Commission on November 4, 2019).</w:t>
              </w:r>
            </w:hyperlink>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10.42</w:t>
            </w: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Second Amendment to the Office Lease, effective as of February 8, 2021, by and between Iovance Biotherapeutics, Inc.</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and Hudson Skyway Landing, LLC (incorporated herein by reference to Exhibit 10.2 of the Registrant’s Current Report on</w:t>
              </w:r>
            </w:hyperlink>
          </w:p>
        </w:tc>
      </w:tr>
      <w:tr>
        <w:trPr>
          <w:trHeight w:val="196"/>
        </w:trPr>
        <w:tc>
          <w:tcPr>
            <w:tcW w:w="1000" w:type="dxa"/>
            <w:vAlign w:val="bottom"/>
          </w:tcPr>
          <w:p>
            <w:pPr>
              <w:spacing w:after="0"/>
              <w:rPr>
                <w:sz w:val="17"/>
                <w:szCs w:val="17"/>
                <w:color w:val="auto"/>
              </w:rPr>
            </w:pPr>
          </w:p>
        </w:tc>
        <w:tc>
          <w:tcPr>
            <w:tcW w:w="42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Form 8-K filed with the Commission on February 9, 2021).</w:t>
              </w:r>
            </w:hyperlink>
          </w:p>
        </w:tc>
        <w:tc>
          <w:tcPr>
            <w:tcW w:w="4620" w:type="dxa"/>
            <w:vAlign w:val="bottom"/>
            <w:gridSpan w:val="7"/>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First Amendment to the Office Lease, effective as of February 8, 2021, by and between Iovance Biotherapeutics, Inc. and</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Hudson Skyway Landing, LLC (incorporated herein by reference to Exhibit 10.3 of the Registrant’s Current Report on</w:t>
              </w:r>
            </w:hyperlink>
          </w:p>
        </w:tc>
      </w:tr>
      <w:tr>
        <w:trPr>
          <w:trHeight w:val="196"/>
        </w:trPr>
        <w:tc>
          <w:tcPr>
            <w:tcW w:w="1000" w:type="dxa"/>
            <w:vAlign w:val="bottom"/>
          </w:tcPr>
          <w:p>
            <w:pPr>
              <w:spacing w:after="0"/>
              <w:rPr>
                <w:sz w:val="17"/>
                <w:szCs w:val="17"/>
                <w:color w:val="auto"/>
              </w:rPr>
            </w:pPr>
          </w:p>
        </w:tc>
        <w:tc>
          <w:tcPr>
            <w:tcW w:w="42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Form 8-K filed with the Commission on February 9, 2021).</w:t>
              </w:r>
            </w:hyperlink>
          </w:p>
        </w:tc>
        <w:tc>
          <w:tcPr>
            <w:tcW w:w="4620" w:type="dxa"/>
            <w:vAlign w:val="bottom"/>
            <w:gridSpan w:val="7"/>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10.44</w:t>
            </w: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Lease Agreement, effective as of May 28, 2019, by and between Iovance Biotherapeutics, Inc. and 300 Rouse Boulevard,</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LLC (incorporated herein by reference to Exhibit 10.1 of the Registrant’s Current Report on Form 8-K filed with the</w:t>
              </w:r>
            </w:hyperlink>
          </w:p>
        </w:tc>
      </w:tr>
      <w:tr>
        <w:trPr>
          <w:trHeight w:val="196"/>
        </w:trPr>
        <w:tc>
          <w:tcPr>
            <w:tcW w:w="1000" w:type="dxa"/>
            <w:vAlign w:val="bottom"/>
          </w:tcPr>
          <w:p>
            <w:pPr>
              <w:spacing w:after="0"/>
              <w:rPr>
                <w:sz w:val="17"/>
                <w:szCs w:val="17"/>
                <w:color w:val="auto"/>
              </w:rPr>
            </w:pPr>
          </w:p>
        </w:tc>
        <w:tc>
          <w:tcPr>
            <w:tcW w:w="22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Commission on June 3, 2019).</w:t>
              </w:r>
            </w:hyperlink>
          </w:p>
        </w:tc>
        <w:tc>
          <w:tcPr>
            <w:tcW w:w="6700" w:type="dxa"/>
            <w:vAlign w:val="bottom"/>
            <w:gridSpan w:val="13"/>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10.45</w:t>
            </w: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First Amendment to the Lease Agreement, effective as of August 20, 2019, between Iovance Biotherapeutics, Inc. and 300</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Rouse Boulevard, LLC (incorporated herein by reference to Exhibit 10.2 of the Registrant’s Quarterly Report on Form 10-</w:t>
              </w:r>
            </w:hyperlink>
          </w:p>
        </w:tc>
      </w:tr>
      <w:tr>
        <w:trPr>
          <w:trHeight w:val="196"/>
        </w:trPr>
        <w:tc>
          <w:tcPr>
            <w:tcW w:w="1000" w:type="dxa"/>
            <w:vAlign w:val="bottom"/>
          </w:tcPr>
          <w:p>
            <w:pPr>
              <w:spacing w:after="0"/>
              <w:rPr>
                <w:sz w:val="17"/>
                <w:szCs w:val="17"/>
                <w:color w:val="auto"/>
              </w:rPr>
            </w:pPr>
          </w:p>
        </w:tc>
        <w:tc>
          <w:tcPr>
            <w:tcW w:w="8900" w:type="dxa"/>
            <w:vAlign w:val="bottom"/>
            <w:gridSpan w:val="14"/>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Q filed with the Commission on November 4, 2019).</w:t>
              </w:r>
            </w:hyperlink>
          </w:p>
        </w:tc>
      </w:tr>
      <w:tr>
        <w:trPr>
          <w:trHeight w:val="20"/>
        </w:trPr>
        <w:tc>
          <w:tcPr>
            <w:tcW w:w="100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10.46</w:t>
            </w: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Second Amendment to the Lease Agreement, effective as of June 30, 2020, between Iovance Biotherapeutics, Inc. and 300</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Rouse Boulevard, LLC (incorporated herein by reference to Exhibit 10.3 of the Registrant’s Quarterly Report on Form 10-</w:t>
              </w:r>
            </w:hyperlink>
          </w:p>
        </w:tc>
      </w:tr>
      <w:tr>
        <w:trPr>
          <w:trHeight w:val="196"/>
        </w:trPr>
        <w:tc>
          <w:tcPr>
            <w:tcW w:w="1000" w:type="dxa"/>
            <w:vAlign w:val="bottom"/>
          </w:tcPr>
          <w:p>
            <w:pPr>
              <w:spacing w:after="0"/>
              <w:rPr>
                <w:sz w:val="17"/>
                <w:szCs w:val="17"/>
                <w:color w:val="auto"/>
              </w:rPr>
            </w:pPr>
          </w:p>
        </w:tc>
        <w:tc>
          <w:tcPr>
            <w:tcW w:w="8900" w:type="dxa"/>
            <w:vAlign w:val="bottom"/>
            <w:gridSpan w:val="14"/>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Q filed with the Commission on August 6, 2020).</w:t>
              </w:r>
            </w:hyperlink>
          </w:p>
        </w:tc>
      </w:tr>
      <w:tr>
        <w:trPr>
          <w:trHeight w:val="20"/>
        </w:trPr>
        <w:tc>
          <w:tcPr>
            <w:tcW w:w="100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10.47</w:t>
            </w: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Third Amendment to the Lease Agreement, effective as of November 1, 2021, between Iovance Biotherapeutics, Inc. and</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300 Rouse Boulevard, LLC (incorporated herein by reference to Exhibit 10.46 to the Registrant’s Annual Report on Form</w:t>
              </w:r>
            </w:hyperlink>
          </w:p>
        </w:tc>
      </w:tr>
      <w:tr>
        <w:trPr>
          <w:trHeight w:val="196"/>
        </w:trPr>
        <w:tc>
          <w:tcPr>
            <w:tcW w:w="1000" w:type="dxa"/>
            <w:vAlign w:val="bottom"/>
          </w:tcPr>
          <w:p>
            <w:pPr>
              <w:spacing w:after="0"/>
              <w:rPr>
                <w:sz w:val="17"/>
                <w:szCs w:val="17"/>
                <w:color w:val="auto"/>
              </w:rPr>
            </w:pPr>
          </w:p>
        </w:tc>
        <w:tc>
          <w:tcPr>
            <w:tcW w:w="8900" w:type="dxa"/>
            <w:vAlign w:val="bottom"/>
            <w:gridSpan w:val="14"/>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10-K filed with the Commission on February 24, 2022).</w:t>
              </w:r>
            </w:hyperlink>
          </w:p>
        </w:tc>
      </w:tr>
      <w:tr>
        <w:trPr>
          <w:trHeight w:val="20"/>
        </w:trPr>
        <w:tc>
          <w:tcPr>
            <w:tcW w:w="100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10.48</w:t>
            </w: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Lease Agreement, effective as of February 8, 2021, by and between Iovance Biotherapeutics, Inc. and ARE-San Francisco</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No. 63, LLC (incorporated herein by reference to Exhibit 10.1 of the Registrant’s Current Report on Form 8-K filed with</w:t>
              </w:r>
            </w:hyperlink>
          </w:p>
        </w:tc>
      </w:tr>
      <w:tr>
        <w:trPr>
          <w:trHeight w:val="196"/>
        </w:trPr>
        <w:tc>
          <w:tcPr>
            <w:tcW w:w="1000" w:type="dxa"/>
            <w:vAlign w:val="bottom"/>
          </w:tcPr>
          <w:p>
            <w:pPr>
              <w:spacing w:after="0"/>
              <w:rPr>
                <w:sz w:val="17"/>
                <w:szCs w:val="17"/>
                <w:color w:val="auto"/>
              </w:rPr>
            </w:pPr>
          </w:p>
        </w:tc>
        <w:tc>
          <w:tcPr>
            <w:tcW w:w="2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the Commission on February 9, 2021).</w:t>
              </w:r>
            </w:hyperlink>
          </w:p>
        </w:tc>
        <w:tc>
          <w:tcPr>
            <w:tcW w:w="6120" w:type="dxa"/>
            <w:vAlign w:val="bottom"/>
            <w:gridSpan w:val="11"/>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10.49</w:t>
            </w: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Option Agreement, dated January 23, 2023, by and among Iovance Biotherapeutics, Inc., Iovance Biotherapeutics UK Ltd,</w:t>
              </w:r>
            </w:hyperlink>
          </w:p>
        </w:tc>
      </w:tr>
      <w:tr>
        <w:trPr>
          <w:trHeight w:val="196"/>
        </w:trPr>
        <w:tc>
          <w:tcPr>
            <w:tcW w:w="1000" w:type="dxa"/>
            <w:vAlign w:val="bottom"/>
          </w:tcPr>
          <w:p>
            <w:pPr>
              <w:spacing w:after="0"/>
              <w:rPr>
                <w:sz w:val="17"/>
                <w:szCs w:val="17"/>
                <w:color w:val="auto"/>
              </w:rPr>
            </w:pP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Clinigen Holdings Limited, Clinigen Healthcare Limited, and Clinigen, Inc. (incorporated herein by reference to Exhibit</w:t>
              </w:r>
            </w:hyperlink>
          </w:p>
        </w:tc>
      </w:tr>
      <w:tr>
        <w:trPr>
          <w:trHeight w:val="196"/>
        </w:trPr>
        <w:tc>
          <w:tcPr>
            <w:tcW w:w="1000" w:type="dxa"/>
            <w:vAlign w:val="bottom"/>
          </w:tcPr>
          <w:p>
            <w:pPr>
              <w:spacing w:after="0"/>
              <w:rPr>
                <w:sz w:val="17"/>
                <w:szCs w:val="17"/>
                <w:color w:val="auto"/>
              </w:rPr>
            </w:pPr>
          </w:p>
        </w:tc>
        <w:tc>
          <w:tcPr>
            <w:tcW w:w="7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of the Registrant’s Current Report on Form 8-K/A filed with the Commission on January 27, 2023).</w:t>
              </w:r>
            </w:hyperlink>
          </w:p>
        </w:tc>
        <w:tc>
          <w:tcPr>
            <w:tcW w:w="136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4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Iovance Biotherapeutics, Inc. Insider Trading Policy.**</w:t>
            </w:r>
          </w:p>
        </w:tc>
        <w:tc>
          <w:tcPr>
            <w:tcW w:w="4880" w:type="dxa"/>
            <w:vAlign w:val="bottom"/>
            <w:gridSpan w:val="8"/>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3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Subsidiaries of the Company.**</w:t>
            </w:r>
          </w:p>
        </w:tc>
        <w:tc>
          <w:tcPr>
            <w:tcW w:w="6600" w:type="dxa"/>
            <w:vAlign w:val="bottom"/>
            <w:gridSpan w:val="12"/>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89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r>
              <w:rPr>
                <w:rFonts w:ascii="Times New Roman" w:cs="Times New Roman" w:eastAsia="Times New Roman" w:hAnsi="Times New Roman"/>
                <w:sz w:val="18"/>
                <w:szCs w:val="18"/>
                <w:color w:val="000000"/>
              </w:rPr>
              <w:t>**</w:t>
            </w:r>
          </w:p>
        </w:tc>
      </w:tr>
      <w:tr>
        <w:trPr>
          <w:trHeight w:val="20"/>
        </w:trPr>
        <w:tc>
          <w:tcPr>
            <w:tcW w:w="1000" w:type="dxa"/>
            <w:vAlign w:val="bottom"/>
          </w:tcPr>
          <w:p>
            <w:pPr>
              <w:spacing w:after="0" w:line="20" w:lineRule="exact"/>
              <w:rPr>
                <w:sz w:val="1"/>
                <w:szCs w:val="1"/>
                <w:color w:val="auto"/>
              </w:rPr>
            </w:pPr>
          </w:p>
        </w:tc>
        <w:tc>
          <w:tcPr>
            <w:tcW w:w="4360" w:type="dxa"/>
            <w:vAlign w:val="bottom"/>
            <w:gridSpan w:val="8"/>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53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(included on the signature page of this Annual Report).</w:t>
            </w:r>
          </w:p>
        </w:tc>
        <w:tc>
          <w:tcPr>
            <w:tcW w:w="3540" w:type="dxa"/>
            <w:vAlign w:val="bottom"/>
            <w:gridSpan w:val="3"/>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9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Rule 13a-14(a)/15d-14(a) Certification of Chief Executive Officer.</w:t>
            </w:r>
            <w:r>
              <w:rPr>
                <w:rFonts w:ascii="Times New Roman" w:cs="Times New Roman" w:eastAsia="Times New Roman" w:hAnsi="Times New Roman"/>
                <w:sz w:val="18"/>
                <w:szCs w:val="18"/>
                <w:color w:val="000000"/>
              </w:rPr>
              <w:t>**</w:t>
            </w:r>
          </w:p>
        </w:tc>
      </w:tr>
      <w:tr>
        <w:trPr>
          <w:trHeight w:val="20"/>
        </w:trPr>
        <w:tc>
          <w:tcPr>
            <w:tcW w:w="1000" w:type="dxa"/>
            <w:vAlign w:val="bottom"/>
          </w:tcPr>
          <w:p>
            <w:pPr>
              <w:spacing w:after="0" w:line="20" w:lineRule="exact"/>
              <w:rPr>
                <w:sz w:val="1"/>
                <w:szCs w:val="1"/>
                <w:color w:val="auto"/>
              </w:rPr>
            </w:pPr>
          </w:p>
        </w:tc>
        <w:tc>
          <w:tcPr>
            <w:tcW w:w="4500" w:type="dxa"/>
            <w:vAlign w:val="bottom"/>
            <w:gridSpan w:val="9"/>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9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Rule 13a-14(a)/15d-14(a) Certification of Chief Financial Officer.</w:t>
            </w:r>
            <w:r>
              <w:rPr>
                <w:rFonts w:ascii="Times New Roman" w:cs="Times New Roman" w:eastAsia="Times New Roman" w:hAnsi="Times New Roman"/>
                <w:sz w:val="18"/>
                <w:szCs w:val="18"/>
                <w:color w:val="000000"/>
              </w:rPr>
              <w:t>**</w:t>
            </w:r>
          </w:p>
        </w:tc>
      </w:tr>
      <w:tr>
        <w:trPr>
          <w:trHeight w:val="20"/>
        </w:trPr>
        <w:tc>
          <w:tcPr>
            <w:tcW w:w="1000" w:type="dxa"/>
            <w:vAlign w:val="bottom"/>
          </w:tcPr>
          <w:p>
            <w:pPr>
              <w:spacing w:after="0" w:line="20" w:lineRule="exact"/>
              <w:rPr>
                <w:sz w:val="1"/>
                <w:szCs w:val="1"/>
                <w:color w:val="auto"/>
              </w:rPr>
            </w:pPr>
          </w:p>
        </w:tc>
        <w:tc>
          <w:tcPr>
            <w:tcW w:w="4500" w:type="dxa"/>
            <w:vAlign w:val="bottom"/>
            <w:gridSpan w:val="9"/>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89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Section 1350 Certification of Chief Executive Officer (furnished herewith).</w:t>
            </w:r>
            <w:r>
              <w:rPr>
                <w:rFonts w:ascii="Times New Roman" w:cs="Times New Roman" w:eastAsia="Times New Roman" w:hAnsi="Times New Roman"/>
                <w:sz w:val="18"/>
                <w:szCs w:val="18"/>
                <w:color w:val="000000"/>
              </w:rPr>
              <w:t>**</w:t>
            </w:r>
          </w:p>
        </w:tc>
      </w:tr>
      <w:tr>
        <w:trPr>
          <w:trHeight w:val="20"/>
        </w:trPr>
        <w:tc>
          <w:tcPr>
            <w:tcW w:w="1000" w:type="dxa"/>
            <w:vAlign w:val="bottom"/>
          </w:tcPr>
          <w:p>
            <w:pPr>
              <w:spacing w:after="0" w:line="20" w:lineRule="exact"/>
              <w:rPr>
                <w:sz w:val="1"/>
                <w:szCs w:val="1"/>
                <w:color w:val="auto"/>
              </w:rPr>
            </w:pPr>
          </w:p>
        </w:tc>
        <w:tc>
          <w:tcPr>
            <w:tcW w:w="4500" w:type="dxa"/>
            <w:vAlign w:val="bottom"/>
            <w:gridSpan w:val="9"/>
            <w:shd w:val="clear" w:color="auto" w:fill="0000EE"/>
          </w:tcPr>
          <w:p>
            <w:pPr>
              <w:spacing w:after="0" w:line="20" w:lineRule="exact"/>
              <w:rPr>
                <w:sz w:val="1"/>
                <w:szCs w:val="1"/>
                <w:color w:val="auto"/>
              </w:rPr>
            </w:pPr>
          </w:p>
        </w:tc>
        <w:tc>
          <w:tcPr>
            <w:tcW w:w="920" w:type="dxa"/>
            <w:vAlign w:val="bottom"/>
            <w:tcBorders>
              <w:right w:val="single" w:sz="8" w:color="0000EE"/>
            </w:tcBorders>
            <w:gridSpan w:val="3"/>
            <w:shd w:val="clear" w:color="auto" w:fill="0000EE"/>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89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Section 1350 Certification of Chief Financial Officer (furnished herewith).</w:t>
            </w:r>
            <w:r>
              <w:rPr>
                <w:rFonts w:ascii="Times New Roman" w:cs="Times New Roman" w:eastAsia="Times New Roman" w:hAnsi="Times New Roman"/>
                <w:sz w:val="18"/>
                <w:szCs w:val="18"/>
                <w:color w:val="000000"/>
              </w:rPr>
              <w:t>**</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54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Iovance Biotherapeutics, Inc. Dodd-Frank Clawback Policy.**</w:t>
            </w:r>
          </w:p>
        </w:tc>
        <w:tc>
          <w:tcPr>
            <w:tcW w:w="3480" w:type="dxa"/>
            <w:vAlign w:val="bottom"/>
            <w:gridSpan w:val="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1000" w:right="20" w:hanging="992"/>
        <w:spacing w:after="0" w:line="261"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Annual Report on Form 10-K of Iovance Biotherapeutics, Inc. for the year ended December 31, 2023, formatted inline XBRL (eXtensible Business Reporting Language): (1) Balance Sheets as of</w:t>
      </w:r>
    </w:p>
    <w:p>
      <w:pPr>
        <w:jc w:val="both"/>
        <w:ind w:left="1000" w:right="20"/>
        <w:spacing w:after="0" w:line="250" w:lineRule="auto"/>
        <w:rPr>
          <w:sz w:val="20"/>
          <w:szCs w:val="20"/>
          <w:color w:val="auto"/>
        </w:rPr>
      </w:pPr>
      <w:r>
        <w:rPr>
          <w:rFonts w:ascii="Times New Roman" w:cs="Times New Roman" w:eastAsia="Times New Roman" w:hAnsi="Times New Roman"/>
          <w:sz w:val="18"/>
          <w:szCs w:val="18"/>
          <w:color w:val="auto"/>
        </w:rPr>
        <w:t>December 31, 2023 and 2022 (2) Statements of Operations for the years ended December 31, 2023, 2022, and 2021; (3) Statements of Stockholders’ Equity for the years ended December 31, 2023, 2022, and 2021; (4) Statements of Cash Flows for the years ended December 31, 2023, 2022, and 2021; and (5) Notes to Financial Statements.</w:t>
      </w:r>
    </w:p>
    <w:p>
      <w:pPr>
        <w:spacing w:after="0" w:line="1" w:lineRule="exact"/>
        <w:rPr>
          <w:sz w:val="20"/>
          <w:szCs w:val="20"/>
          <w:color w:val="auto"/>
        </w:rPr>
      </w:pPr>
    </w:p>
    <w:p>
      <w:pPr>
        <w:ind w:left="1000" w:right="20" w:hanging="992"/>
        <w:spacing w:after="0" w:line="260"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date file does not appear in the Interactive Date File because its XBRL tags are embedded within the Inline XBRL document.</w:t>
      </w:r>
    </w:p>
    <w:p>
      <w:pPr>
        <w:spacing w:after="0" w:line="181" w:lineRule="exact"/>
        <w:rPr>
          <w:sz w:val="20"/>
          <w:szCs w:val="20"/>
          <w:color w:val="auto"/>
        </w:rPr>
      </w:pPr>
    </w:p>
    <w:p>
      <w:pPr>
        <w:ind w:left="340" w:hanging="332"/>
        <w:spacing w:after="0" w:line="261"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have been omitted based upon a request for confidential treatment filed by us with the Commission. The omitted portions of the Exhibit have been separately filed by us with the Commission.</w:t>
      </w: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9"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have been redacted pursuant to Item 601(b)(10)(iv) of Regulation S-K.</w:t>
      </w:r>
    </w:p>
    <w:p>
      <w:pPr>
        <w:spacing w:after="0" w:line="2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firstLine="492"/>
        <w:spacing w:after="0" w:line="282" w:lineRule="auto"/>
        <w:rPr>
          <w:sz w:val="20"/>
          <w:szCs w:val="20"/>
          <w:color w:val="auto"/>
        </w:rPr>
      </w:pPr>
      <w:r>
        <w:rPr>
          <w:rFonts w:ascii="Times New Roman" w:cs="Times New Roman" w:eastAsia="Times New Roman" w:hAnsi="Times New Roman"/>
          <w:sz w:val="18"/>
          <w:szCs w:val="18"/>
          <w:color w:val="auto"/>
        </w:rPr>
        <w:t>We may voluntarily include a summary of information required by Form 10-K under this Item 16. We have elected not to include such summary information.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706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tc>
      </w:tr>
      <w:tr>
        <w:trPr>
          <w:trHeight w:val="432"/>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70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Frederick G. Vogt</w:t>
            </w:r>
          </w:p>
        </w:tc>
      </w:tr>
      <w:tr>
        <w:trPr>
          <w:trHeight w:val="191"/>
        </w:trPr>
        <w:tc>
          <w:tcPr>
            <w:tcW w:w="28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Frederick G. Vogt, Ph.D., J.D.</w:t>
            </w:r>
          </w:p>
        </w:tc>
      </w:tr>
      <w:tr>
        <w:trPr>
          <w:trHeight w:val="216"/>
        </w:trPr>
        <w:tc>
          <w:tcPr>
            <w:tcW w:w="2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Title:  Interim Chief Executive Officer and President, and</w:t>
            </w:r>
          </w:p>
        </w:tc>
      </w:tr>
      <w:tr>
        <w:trPr>
          <w:trHeight w:val="234"/>
        </w:trPr>
        <w:tc>
          <w:tcPr>
            <w:tcW w:w="2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432"/>
        </w:trPr>
        <w:tc>
          <w:tcPr>
            <w:tcW w:w="2860" w:type="dxa"/>
            <w:vAlign w:val="bottom"/>
          </w:tcPr>
          <w:p>
            <w:pPr>
              <w:spacing w:after="0"/>
              <w:rPr>
                <w:sz w:val="24"/>
                <w:szCs w:val="24"/>
                <w:color w:val="auto"/>
              </w:rPr>
            </w:pPr>
          </w:p>
        </w:tc>
        <w:tc>
          <w:tcPr>
            <w:tcW w:w="70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POWER OF ATTORNEY</w:t>
            </w:r>
          </w:p>
        </w:tc>
      </w:tr>
    </w:tbl>
    <w:p>
      <w:pPr>
        <w:spacing w:after="0" w:line="198"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Frederick G. Vogt, and Jean-Marc Bellemin, and each of them, as his or her true and lawful attorneys-in-fact and agents,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that all said attorneys-in-fact and agents, or any of them or their or his or her substitute or substituted, may lawfully do or cause to be done by virtue thereof.</w:t>
      </w:r>
    </w:p>
    <w:p>
      <w:pPr>
        <w:spacing w:after="0" w:line="192"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Title</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0"/>
        </w:trPr>
        <w:tc>
          <w:tcPr>
            <w:tcW w:w="3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r>
      <w:tr>
        <w:trPr>
          <w:trHeight w:val="425"/>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Frederick G. Vogt</w:t>
            </w:r>
          </w:p>
        </w:tc>
        <w:tc>
          <w:tcPr>
            <w:tcW w:w="4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Interim Chief Executive Officer and President, and</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Frederick G. Vogt, Ph.D., J.D.</w:t>
            </w:r>
          </w:p>
        </w:tc>
        <w:tc>
          <w:tcPr>
            <w:tcW w:w="4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General Counsel (Principal Executive Officer)</w:t>
            </w:r>
          </w:p>
        </w:tc>
        <w:tc>
          <w:tcPr>
            <w:tcW w:w="2400" w:type="dxa"/>
            <w:vAlign w:val="bottom"/>
          </w:tcPr>
          <w:p>
            <w:pPr>
              <w:spacing w:after="0"/>
              <w:rPr>
                <w:sz w:val="19"/>
                <w:szCs w:val="19"/>
                <w:color w:val="auto"/>
              </w:rPr>
            </w:pPr>
          </w:p>
        </w:tc>
      </w:tr>
      <w:tr>
        <w:trPr>
          <w:trHeight w:val="414"/>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Jean-Marc Bellemin</w:t>
            </w:r>
          </w:p>
        </w:tc>
        <w:tc>
          <w:tcPr>
            <w:tcW w:w="4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Jean-Marc Bellemin</w:t>
            </w:r>
          </w:p>
        </w:tc>
        <w:tc>
          <w:tcPr>
            <w:tcW w:w="4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c>
          <w:tcPr>
            <w:tcW w:w="2400" w:type="dxa"/>
            <w:vAlign w:val="bottom"/>
          </w:tcPr>
          <w:p>
            <w:pPr>
              <w:spacing w:after="0"/>
              <w:rPr>
                <w:sz w:val="19"/>
                <w:szCs w:val="19"/>
                <w:color w:val="auto"/>
              </w:rPr>
            </w:pPr>
          </w:p>
        </w:tc>
      </w:tr>
      <w:tr>
        <w:trPr>
          <w:trHeight w:val="414"/>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Merrill A. McPeak</w:t>
            </w:r>
          </w:p>
        </w:tc>
        <w:tc>
          <w:tcPr>
            <w:tcW w:w="4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Merrill A. McPeak</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4"/>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Weiser</w:t>
            </w:r>
          </w:p>
        </w:tc>
        <w:tc>
          <w:tcPr>
            <w:tcW w:w="4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Michael Weiser, M.D., Ph.D.</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4"/>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D. Maynard</w:t>
            </w:r>
          </w:p>
        </w:tc>
        <w:tc>
          <w:tcPr>
            <w:tcW w:w="4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Ryan D. Maynard</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4"/>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Iain Dukes</w:t>
            </w:r>
          </w:p>
        </w:tc>
        <w:tc>
          <w:tcPr>
            <w:tcW w:w="4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Iain Dukes, D.Phil.</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4"/>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Wayne Rothbaum</w:t>
            </w:r>
          </w:p>
        </w:tc>
        <w:tc>
          <w:tcPr>
            <w:tcW w:w="4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Wayne Rothbaum</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4"/>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Athena Countouriotis</w:t>
            </w:r>
          </w:p>
        </w:tc>
        <w:tc>
          <w:tcPr>
            <w:tcW w:w="4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191"/>
        </w:trPr>
        <w:tc>
          <w:tcPr>
            <w:tcW w:w="3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Athena Countouriotis, M.D.</w:t>
            </w:r>
          </w:p>
        </w:tc>
        <w:tc>
          <w:tcPr>
            <w:tcW w:w="2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34"/>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Wendy L. Yarno</w:t>
            </w:r>
          </w:p>
        </w:tc>
        <w:tc>
          <w:tcPr>
            <w:tcW w:w="4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Wendy L. Yarno</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89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0" w:type="dxa"/>
            <w:vAlign w:val="bottom"/>
            <w:gridSpan w:val="4"/>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w w:val="99"/>
              </w:rPr>
              <w:t>IOVANCE BIOTHERAPEUTICS, INC.</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2"/>
          </w:tcPr>
          <w:p>
            <w:pPr>
              <w:jc w:val="center"/>
              <w:ind w:right="265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20" w:type="dxa"/>
            <w:vAlign w:val="bottom"/>
          </w:tcPr>
          <w:p>
            <w:pPr>
              <w:jc w:val="center"/>
              <w:ind w:right="3150"/>
              <w:spacing w:after="0"/>
              <w:rPr>
                <w:sz w:val="20"/>
                <w:szCs w:val="20"/>
                <w:color w:val="auto"/>
              </w:rPr>
            </w:pPr>
            <w:r>
              <w:rPr>
                <w:rFonts w:ascii="Times New Roman" w:cs="Times New Roman" w:eastAsia="Times New Roman" w:hAnsi="Times New Roman"/>
                <w:sz w:val="18"/>
                <w:szCs w:val="18"/>
                <w:b w:val="1"/>
                <w:bCs w:val="1"/>
                <w:color w:val="auto"/>
                <w:w w:val="98"/>
              </w:rPr>
              <w:t>Contents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F-10</w:t>
            </w:r>
          </w:p>
        </w:tc>
        <w:tc>
          <w:tcPr>
            <w:tcW w:w="0" w:type="dxa"/>
            <w:vAlign w:val="bottom"/>
          </w:tcPr>
          <w:p>
            <w:pPr>
              <w:spacing w:after="0"/>
              <w:rPr>
                <w:sz w:val="1"/>
                <w:szCs w:val="1"/>
                <w:color w:val="auto"/>
              </w:rPr>
            </w:pPr>
          </w:p>
        </w:tc>
      </w:tr>
      <w:tr>
        <w:trPr>
          <w:trHeight w:val="1438"/>
        </w:trPr>
        <w:tc>
          <w:tcPr>
            <w:tcW w:w="20" w:type="dxa"/>
            <w:vAlign w:val="bottom"/>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47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8"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Iovance Biotherapeutics,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Iovance Biotherapeutics, Inc. (the Company) as of December 31, 2023 and 2022, the related consolidated statements of operations, comprehensive loss,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8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28,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clinical development costs</w:t>
      </w:r>
    </w:p>
    <w:p>
      <w:pPr>
        <w:spacing w:after="0" w:line="241" w:lineRule="exact"/>
        <w:rPr>
          <w:sz w:val="20"/>
          <w:szCs w:val="20"/>
          <w:color w:val="auto"/>
        </w:rPr>
      </w:pPr>
    </w:p>
    <w:p>
      <w:pPr>
        <w:ind w:left="100"/>
        <w:spacing w:after="0"/>
        <w:tabs>
          <w:tab w:leader="none" w:pos="18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During 2023, the Company incurred $344.1 million of research and development expenses and accrued $10.9</w:t>
      </w:r>
    </w:p>
    <w:p>
      <w:pPr>
        <w:spacing w:after="0" w:line="29" w:lineRule="exact"/>
        <w:rPr>
          <w:sz w:val="20"/>
          <w:szCs w:val="20"/>
          <w:color w:val="auto"/>
        </w:rPr>
      </w:pPr>
    </w:p>
    <w:p>
      <w:pPr>
        <w:jc w:val="both"/>
        <w:ind w:left="1820" w:hanging="1719"/>
        <w:spacing w:after="0" w:line="251" w:lineRule="auto"/>
        <w:tabs>
          <w:tab w:leader="none" w:pos="180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million of clinical development costs as of December 31, 2023. As described in Note 2 to the Financial Statements, the Company determines accruals for clinical development costs based on the various clinical trial activities performed pursuant to contracts with third-party contract research organizations (“CROs”), which comprise a significant component of the Company’s research and development expenses. Clinical development costs are accrued and expensed based on the percentage of work completed in accordance with agreements established with CROs. The timing and amount of payments required under each individual arrangement are often different from the pattern of costs actually incurred. The Company accrues clinical development costs under its contracts with third-party service providers based on the progress or stage of completion of trials or services completed by vendors over the life of the individual trial, number of subjects enrolled, and number of sites activated.</w:t>
      </w:r>
    </w:p>
    <w:p>
      <w:pPr>
        <w:spacing w:after="0" w:line="233" w:lineRule="exact"/>
        <w:rPr>
          <w:sz w:val="20"/>
          <w:szCs w:val="20"/>
          <w:color w:val="auto"/>
        </w:rPr>
      </w:pPr>
    </w:p>
    <w:p>
      <w:pPr>
        <w:jc w:val="both"/>
        <w:ind w:left="1820"/>
        <w:spacing w:after="0" w:line="255" w:lineRule="auto"/>
        <w:rPr>
          <w:sz w:val="20"/>
          <w:szCs w:val="20"/>
          <w:color w:val="auto"/>
        </w:rPr>
      </w:pPr>
      <w:r>
        <w:rPr>
          <w:rFonts w:ascii="Times New Roman" w:cs="Times New Roman" w:eastAsia="Times New Roman" w:hAnsi="Times New Roman"/>
          <w:sz w:val="18"/>
          <w:szCs w:val="18"/>
          <w:color w:val="auto"/>
        </w:rPr>
        <w:t>Auditing management’s accounting for accrued clinical development costs is especially challenging because the evaluation is dependent on a high volume of data exchanged between third-party service providers, internal clinical personnel, and the Company’s finance team. Determining accrued amounts is based on an evaluation of the unique terms and conditions set in each respective CRO agreement. Additionally, due to the duration of clinical trial activities and the timing of invoices received from third parties, the determination of the accrual for services incurred requires management to ensure they have complete and accurate information from vendors.</w:t>
      </w:r>
    </w:p>
    <w:p>
      <w:pPr>
        <w:spacing w:after="0" w:line="200" w:lineRule="exact"/>
        <w:rPr>
          <w:sz w:val="20"/>
          <w:szCs w:val="20"/>
          <w:color w:val="auto"/>
        </w:rPr>
      </w:pPr>
    </w:p>
    <w:p>
      <w:pPr>
        <w:ind w:left="100"/>
        <w:spacing w:after="0"/>
        <w:tabs>
          <w:tab w:leader="none" w:pos="1800" w:val="left"/>
        </w:tabs>
        <w:rPr>
          <w:sz w:val="20"/>
          <w:szCs w:val="20"/>
          <w:color w:val="auto"/>
        </w:rPr>
      </w:pPr>
      <w:r>
        <w:rPr>
          <w:rFonts w:ascii="Times New Roman" w:cs="Times New Roman" w:eastAsia="Times New Roman" w:hAnsi="Times New Roman"/>
          <w:sz w:val="18"/>
          <w:szCs w:val="18"/>
          <w:i w:val="1"/>
          <w:iCs w:val="1"/>
          <w:color w:val="auto"/>
        </w:rPr>
        <w:t>How We Addressed</w:t>
      </w:r>
      <w:r>
        <w:rPr>
          <w:sz w:val="20"/>
          <w:szCs w:val="20"/>
          <w:color w:val="auto"/>
        </w:rPr>
        <w:tab/>
      </w:r>
      <w:r>
        <w:rPr>
          <w:rFonts w:ascii="Times New Roman" w:cs="Times New Roman" w:eastAsia="Times New Roman" w:hAnsi="Times New Roman"/>
          <w:sz w:val="18"/>
          <w:szCs w:val="18"/>
          <w:color w:val="auto"/>
        </w:rPr>
        <w:t>We evaluated the design and tested the operating effectiveness of the Company’s internal control related to the</w:t>
      </w:r>
    </w:p>
    <w:p>
      <w:pPr>
        <w:spacing w:after="0" w:line="29" w:lineRule="exact"/>
        <w:rPr>
          <w:sz w:val="20"/>
          <w:szCs w:val="20"/>
          <w:color w:val="auto"/>
        </w:rPr>
      </w:pPr>
    </w:p>
    <w:p>
      <w:pPr>
        <w:ind w:left="100"/>
        <w:spacing w:after="0"/>
        <w:tabs>
          <w:tab w:leader="none" w:pos="1800" w:val="left"/>
        </w:tabs>
        <w:rPr>
          <w:sz w:val="20"/>
          <w:szCs w:val="20"/>
          <w:color w:val="auto"/>
        </w:rPr>
      </w:pPr>
      <w:r>
        <w:rPr>
          <w:rFonts w:ascii="Times New Roman" w:cs="Times New Roman" w:eastAsia="Times New Roman" w:hAnsi="Times New Roman"/>
          <w:sz w:val="18"/>
          <w:szCs w:val="18"/>
          <w:i w:val="1"/>
          <w:iCs w:val="1"/>
          <w:color w:val="auto"/>
        </w:rPr>
        <w:t>the Matter in Our</w:t>
      </w:r>
      <w:r>
        <w:rPr>
          <w:sz w:val="20"/>
          <w:szCs w:val="20"/>
          <w:color w:val="auto"/>
        </w:rPr>
        <w:tab/>
      </w:r>
      <w:r>
        <w:rPr>
          <w:rFonts w:ascii="Times New Roman" w:cs="Times New Roman" w:eastAsia="Times New Roman" w:hAnsi="Times New Roman"/>
          <w:sz w:val="17"/>
          <w:szCs w:val="17"/>
          <w:color w:val="auto"/>
        </w:rPr>
        <w:t>Company’s accrued clinical development costs processes.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9" w:lineRule="exact"/>
        <w:rPr>
          <w:sz w:val="20"/>
          <w:szCs w:val="20"/>
          <w:color w:val="auto"/>
        </w:rPr>
      </w:pPr>
    </w:p>
    <w:p>
      <w:pPr>
        <w:jc w:val="both"/>
        <w:ind w:left="1820"/>
        <w:spacing w:after="0" w:line="253" w:lineRule="auto"/>
        <w:rPr>
          <w:sz w:val="20"/>
          <w:szCs w:val="20"/>
          <w:color w:val="auto"/>
        </w:rPr>
      </w:pPr>
      <w:r>
        <w:rPr>
          <w:rFonts w:ascii="Times New Roman" w:cs="Times New Roman" w:eastAsia="Times New Roman" w:hAnsi="Times New Roman"/>
          <w:sz w:val="18"/>
          <w:szCs w:val="18"/>
          <w:color w:val="auto"/>
        </w:rPr>
        <w:t>To test accrued clinical development costs, our audit procedures included, among others, testing the accuracy and completeness of the inputs used in management’s analysis to determine costs incurred. We also inspected terms and conditions for selected CRO contracts and change orders and compared these to the cost models management used in tracking the progress of service agreements. We met with internal clinical personnel to understand the status of significant clinical activities. We evaluated services provided by third parties by understanding the terms and timeline of significant projects, evaluated management’s determination of work performed, subjects enrolled, sites activated and costs incurred, and obtained external confirmation of direct costs incurred, and contracts and change orders executed by the Company for selected CROs as well as key terms and conditions of those contracts. Further, we inspected selected invoices received from third parties after the balance sheet date and evaluated whether services performed prior to the balance sheet date had been properly included in costs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 accounting</w:t>
      </w:r>
    </w:p>
    <w:p>
      <w:pPr>
        <w:spacing w:after="0" w:line="24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described in Note 4 to the Financial Statements, on May 18, 2023, the Company acquired the worldwide</w:t>
            </w:r>
          </w:p>
        </w:tc>
      </w:tr>
      <w:tr>
        <w:trPr>
          <w:trHeight w:val="218"/>
        </w:trPr>
        <w:tc>
          <w:tcPr>
            <w:tcW w:w="1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rights  for  the  manufacturing,  supply,  commercialization  and  sale  of  Proleukin®  (aldesleukin)  (the</w:t>
            </w:r>
          </w:p>
        </w:tc>
      </w:tr>
      <w:tr>
        <w:trPr>
          <w:trHeight w:val="208"/>
        </w:trPr>
        <w:tc>
          <w:tcPr>
            <w:tcW w:w="156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The Company determined substantially all the fair value of the acquired assets was</w:t>
            </w:r>
          </w:p>
        </w:tc>
      </w:tr>
      <w:tr>
        <w:trPr>
          <w:trHeight w:val="224"/>
        </w:trPr>
        <w:tc>
          <w:tcPr>
            <w:tcW w:w="1560" w:type="dxa"/>
            <w:vAlign w:val="bottom"/>
          </w:tcPr>
          <w:p>
            <w:pPr>
              <w:spacing w:after="0"/>
              <w:rPr>
                <w:sz w:val="19"/>
                <w:szCs w:val="19"/>
                <w:color w:val="auto"/>
              </w:rPr>
            </w:pPr>
          </w:p>
        </w:tc>
        <w:tc>
          <w:tcPr>
            <w:tcW w:w="8160" w:type="dxa"/>
            <w:vAlign w:val="bottom"/>
          </w:tcPr>
          <w:p>
            <w:pPr>
              <w:ind w:left="160"/>
              <w:spacing w:after="0" w:line="223" w:lineRule="exact"/>
              <w:rPr>
                <w:sz w:val="20"/>
                <w:szCs w:val="20"/>
                <w:color w:val="auto"/>
              </w:rPr>
            </w:pPr>
            <w:r>
              <w:rPr>
                <w:rFonts w:ascii="Times New Roman" w:cs="Times New Roman" w:eastAsia="Times New Roman" w:hAnsi="Times New Roman"/>
                <w:sz w:val="17"/>
                <w:szCs w:val="17"/>
                <w:color w:val="auto"/>
              </w:rPr>
              <w:t>concentrated in the acquired developed technology related to the intellectual property rights of Proleukin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w:t>
            </w:r>
          </w:p>
        </w:tc>
      </w:tr>
      <w:tr>
        <w:trPr>
          <w:trHeight w:val="216"/>
        </w:trPr>
        <w:tc>
          <w:tcPr>
            <w:tcW w:w="156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Therefore, the Company concluded the Acquisition did not meet the definition of a business in accordance</w:t>
            </w:r>
          </w:p>
        </w:tc>
      </w:tr>
      <w:tr>
        <w:trPr>
          <w:trHeight w:val="216"/>
        </w:trPr>
        <w:tc>
          <w:tcPr>
            <w:tcW w:w="156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 ASC 805 and was accounted for as an asset acquisition. Total Acquisition consideration was $222.7</w:t>
            </w:r>
          </w:p>
        </w:tc>
      </w:tr>
      <w:tr>
        <w:trPr>
          <w:trHeight w:val="216"/>
        </w:trPr>
        <w:tc>
          <w:tcPr>
            <w:tcW w:w="156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million, which was allocated among the liabilities assumed and assets acquired, including $232.7 million of</w:t>
            </w:r>
          </w:p>
        </w:tc>
      </w:tr>
      <w:tr>
        <w:trPr>
          <w:trHeight w:val="234"/>
        </w:trPr>
        <w:tc>
          <w:tcPr>
            <w:tcW w:w="1560" w:type="dxa"/>
            <w:vAlign w:val="bottom"/>
          </w:tcPr>
          <w:p>
            <w:pPr>
              <w:spacing w:after="0"/>
              <w:rPr>
                <w:sz w:val="20"/>
                <w:szCs w:val="20"/>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acquired developed technology intangible asset.</w:t>
            </w:r>
          </w:p>
        </w:tc>
      </w:tr>
      <w:tr>
        <w:trPr>
          <w:trHeight w:val="454"/>
        </w:trPr>
        <w:tc>
          <w:tcPr>
            <w:tcW w:w="1560" w:type="dxa"/>
            <w:vAlign w:val="bottom"/>
          </w:tcPr>
          <w:p>
            <w:pPr>
              <w:spacing w:after="0"/>
              <w:rPr>
                <w:sz w:val="24"/>
                <w:szCs w:val="24"/>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prospective financial information used in the fair value of the acquired developed technology intangible</w:t>
            </w:r>
          </w:p>
        </w:tc>
      </w:tr>
      <w:tr>
        <w:trPr>
          <w:trHeight w:val="216"/>
        </w:trPr>
        <w:tc>
          <w:tcPr>
            <w:tcW w:w="156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 was derived using internal management estimates. The Company’s most significant assumptions related</w:t>
            </w:r>
          </w:p>
        </w:tc>
      </w:tr>
      <w:tr>
        <w:trPr>
          <w:trHeight w:val="234"/>
        </w:trPr>
        <w:tc>
          <w:tcPr>
            <w:tcW w:w="1560" w:type="dxa"/>
            <w:vAlign w:val="bottom"/>
          </w:tcPr>
          <w:p>
            <w:pPr>
              <w:spacing w:after="0"/>
              <w:rPr>
                <w:sz w:val="20"/>
                <w:szCs w:val="20"/>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projected revenues.</w:t>
            </w:r>
          </w:p>
        </w:tc>
      </w:tr>
      <w:tr>
        <w:trPr>
          <w:trHeight w:val="433"/>
        </w:trPr>
        <w:tc>
          <w:tcPr>
            <w:tcW w:w="1560" w:type="dxa"/>
            <w:vAlign w:val="bottom"/>
          </w:tcPr>
          <w:p>
            <w:pPr>
              <w:spacing w:after="0"/>
              <w:rPr>
                <w:sz w:val="24"/>
                <w:szCs w:val="24"/>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Auditing management’s accounting for the Acquisition was especially challenging because of the judgement</w:t>
            </w:r>
          </w:p>
        </w:tc>
      </w:tr>
      <w:tr>
        <w:trPr>
          <w:trHeight w:val="224"/>
        </w:trPr>
        <w:tc>
          <w:tcPr>
            <w:tcW w:w="1560" w:type="dxa"/>
            <w:vAlign w:val="bottom"/>
          </w:tcPr>
          <w:p>
            <w:pPr>
              <w:spacing w:after="0"/>
              <w:rPr>
                <w:sz w:val="19"/>
                <w:szCs w:val="19"/>
                <w:color w:val="auto"/>
              </w:rPr>
            </w:pPr>
          </w:p>
        </w:tc>
        <w:tc>
          <w:tcPr>
            <w:tcW w:w="8160" w:type="dxa"/>
            <w:vAlign w:val="bottom"/>
          </w:tcPr>
          <w:p>
            <w:pPr>
              <w:ind w:left="160"/>
              <w:spacing w:after="0" w:line="223" w:lineRule="exact"/>
              <w:rPr>
                <w:sz w:val="20"/>
                <w:szCs w:val="20"/>
                <w:color w:val="auto"/>
              </w:rPr>
            </w:pPr>
            <w:r>
              <w:rPr>
                <w:rFonts w:ascii="Times New Roman" w:cs="Times New Roman" w:eastAsia="Times New Roman" w:hAnsi="Times New Roman"/>
                <w:sz w:val="17"/>
                <w:szCs w:val="17"/>
                <w:color w:val="auto"/>
              </w:rPr>
              <w:t>involved in developing the prospective financial information used to estimate the fair value of the Proleukin</w:t>
            </w:r>
            <w:r>
              <w:rPr>
                <w:rFonts w:ascii="Times New Roman" w:cs="Times New Roman" w:eastAsia="Times New Roman" w:hAnsi="Times New Roman"/>
                <w:sz w:val="25"/>
                <w:szCs w:val="25"/>
                <w:color w:val="auto"/>
                <w:vertAlign w:val="superscript"/>
              </w:rPr>
              <w:t>®</w:t>
            </w:r>
          </w:p>
        </w:tc>
      </w:tr>
      <w:tr>
        <w:trPr>
          <w:trHeight w:val="234"/>
        </w:trPr>
        <w:tc>
          <w:tcPr>
            <w:tcW w:w="1560" w:type="dxa"/>
            <w:vAlign w:val="bottom"/>
          </w:tcPr>
          <w:p>
            <w:pPr>
              <w:spacing w:after="0"/>
              <w:rPr>
                <w:sz w:val="20"/>
                <w:szCs w:val="20"/>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acquired intangible asset, which required the use of subjective inputs.</w:t>
            </w:r>
          </w:p>
        </w:tc>
      </w:tr>
      <w:tr>
        <w:trPr>
          <w:trHeight w:val="454"/>
        </w:trPr>
        <w:tc>
          <w:tcPr>
            <w:tcW w:w="1560" w:type="dxa"/>
            <w:vAlign w:val="bottom"/>
          </w:tcPr>
          <w:p>
            <w:pPr>
              <w:spacing w:after="0"/>
              <w:rPr>
                <w:sz w:val="24"/>
                <w:szCs w:val="24"/>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considerations included assessing whether substantially all the fair value of the gross assets acquired was</w:t>
            </w:r>
          </w:p>
        </w:tc>
      </w:tr>
      <w:tr>
        <w:trPr>
          <w:trHeight w:val="216"/>
        </w:trPr>
        <w:tc>
          <w:tcPr>
            <w:tcW w:w="156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concentrated in a single identifiable asset or group of similar identifiable assets. In particular, the fair value of</w:t>
            </w:r>
          </w:p>
        </w:tc>
      </w:tr>
      <w:tr>
        <w:trPr>
          <w:trHeight w:val="216"/>
        </w:trPr>
        <w:tc>
          <w:tcPr>
            <w:tcW w:w="156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acquired developed technology intangible asset. This required a high degree of auditor judgement,</w:t>
            </w:r>
          </w:p>
        </w:tc>
      </w:tr>
      <w:tr>
        <w:trPr>
          <w:trHeight w:val="216"/>
        </w:trPr>
        <w:tc>
          <w:tcPr>
            <w:tcW w:w="156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subjectivity, and effort, including the use of professionals with specialized skill and knowledge, in performing</w:t>
            </w:r>
          </w:p>
        </w:tc>
      </w:tr>
      <w:tr>
        <w:trPr>
          <w:trHeight w:val="216"/>
        </w:trPr>
        <w:tc>
          <w:tcPr>
            <w:tcW w:w="156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procedures to assess the reasonableness of management’s assumptions of projected revenues used in</w:t>
            </w:r>
          </w:p>
        </w:tc>
      </w:tr>
      <w:tr>
        <w:trPr>
          <w:trHeight w:val="234"/>
        </w:trPr>
        <w:tc>
          <w:tcPr>
            <w:tcW w:w="1560" w:type="dxa"/>
            <w:vAlign w:val="bottom"/>
          </w:tcPr>
          <w:p>
            <w:pPr>
              <w:spacing w:after="0"/>
              <w:rPr>
                <w:sz w:val="20"/>
                <w:szCs w:val="20"/>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estimating the fair value of the acquired developed technology intangible asset.</w:t>
            </w:r>
          </w:p>
        </w:tc>
      </w:tr>
      <w:tr>
        <w:trPr>
          <w:trHeight w:val="425"/>
        </w:trPr>
        <w:tc>
          <w:tcPr>
            <w:tcW w:w="1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 Addressed</w:t>
            </w: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We obtained an understanding, evaluated the design, and tested the operating effectiveness of controls over the</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 Matter in Our</w:t>
            </w: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Company’s processes for estimating the prospective financial information used in determining the fair value of</w:t>
            </w:r>
          </w:p>
        </w:tc>
      </w:tr>
      <w:tr>
        <w:trPr>
          <w:trHeight w:val="236"/>
        </w:trPr>
        <w:tc>
          <w:tcPr>
            <w:tcW w:w="1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acquired developed technology intangible asset.</w:t>
            </w:r>
          </w:p>
        </w:tc>
      </w:tr>
      <w:tr>
        <w:trPr>
          <w:trHeight w:val="427"/>
        </w:trPr>
        <w:tc>
          <w:tcPr>
            <w:tcW w:w="1560" w:type="dxa"/>
            <w:vAlign w:val="bottom"/>
          </w:tcPr>
          <w:p>
            <w:pPr>
              <w:spacing w:after="0"/>
              <w:rPr>
                <w:sz w:val="24"/>
                <w:szCs w:val="24"/>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audit procedures also included, but was not limited to, evaluating the methodology used and significant</w:t>
            </w:r>
          </w:p>
        </w:tc>
      </w:tr>
      <w:tr>
        <w:trPr>
          <w:trHeight w:val="216"/>
        </w:trPr>
        <w:tc>
          <w:tcPr>
            <w:tcW w:w="156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assumptions discussed above, and testing the completeness and accuracy of the underlying data used by the</w:t>
            </w:r>
          </w:p>
        </w:tc>
      </w:tr>
      <w:tr>
        <w:trPr>
          <w:trHeight w:val="216"/>
        </w:trPr>
        <w:tc>
          <w:tcPr>
            <w:tcW w:w="156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We involved our strategy and valuation specialists to assist in assessing the reasonableness of the</w:t>
            </w:r>
          </w:p>
        </w:tc>
      </w:tr>
      <w:tr>
        <w:trPr>
          <w:trHeight w:val="216"/>
        </w:trPr>
        <w:tc>
          <w:tcPr>
            <w:tcW w:w="156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methodologies used by management and certain significant assumptions related to projected revenue.</w:t>
            </w:r>
          </w:p>
        </w:tc>
      </w:tr>
      <w:tr>
        <w:trPr>
          <w:trHeight w:val="216"/>
        </w:trPr>
        <w:tc>
          <w:tcPr>
            <w:tcW w:w="156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Evaluating the reasonableness of management’s assumptions included, among others, consideration of (i)</w:t>
            </w:r>
          </w:p>
        </w:tc>
      </w:tr>
      <w:tr>
        <w:trPr>
          <w:trHeight w:val="216"/>
        </w:trPr>
        <w:tc>
          <w:tcPr>
            <w:tcW w:w="156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relevant industry forecasts, (ii) consistency with external market research and industry data, and (iii) inquiries</w:t>
            </w:r>
          </w:p>
        </w:tc>
      </w:tr>
      <w:tr>
        <w:trPr>
          <w:trHeight w:val="216"/>
        </w:trPr>
        <w:tc>
          <w:tcPr>
            <w:tcW w:w="156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individuals outside the finance function who are knowledgeable about the revenue forecast. Our procedures</w:t>
            </w:r>
          </w:p>
        </w:tc>
      </w:tr>
      <w:tr>
        <w:trPr>
          <w:trHeight w:val="234"/>
        </w:trPr>
        <w:tc>
          <w:tcPr>
            <w:tcW w:w="1560" w:type="dxa"/>
            <w:vAlign w:val="bottom"/>
          </w:tcPr>
          <w:p>
            <w:pPr>
              <w:spacing w:after="0"/>
              <w:rPr>
                <w:sz w:val="20"/>
                <w:szCs w:val="20"/>
                <w:color w:val="auto"/>
              </w:rPr>
            </w:pP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also included testing the completeness and accuracy of the data underlying these estimates and projections.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Iovance Biotherapeutics,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audited Iovance Biotherapeutics, Inc.’s internal control over financial reporting as of December 31, 2023, based on criteria established in Internal Control—Integrated Framework issued by the Committee of Sponsoring Organizations of the Treadway Commission (2013 framework) (the COSO criteria). In our opinion, Iovance Biotherapeutics, Inc. (the Company) maintained, in all material respects, effective internal control over financial reporting as of December 31, 2023, based on the COSO criteria.</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loss, stockholders’ equity and cash flows for each of the three years in the period ended December 31, 2023, and the related notes and our report dated February 28, 2024 expressed an unqualified opinion thereon.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1"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114,888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17,458</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307,848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114,030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229,258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Long-term assets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780,351</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663,982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69,406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7,777</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110,306</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91,485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Long-term note payable</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85,432</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195,738</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164,344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Series A Convertible Preferred stock, $0.001 par value; 17,000 shares designated, 194 shares issued and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outstanding as of December 31, 2023 and December 31, 2022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Series B Convertible Preferred stock, $0.001 par value; 11,500,000 shares designated, 2,842,158 shares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issued and outstanding as of December 31, 2023 and December 31, 2022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$0.000041666 par value; 500,000,000, and 300,000,000 shares authorized, 256,135,715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187,812,072 shares issued and outstanding as of December 31, 2023 and December 31, 2022,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2,594,448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(2,012,375)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(1,568,338)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584,613</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499,638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780,351</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7"/>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Product revenue</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10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294,781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104,097</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398,878</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(460,559)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(398,878)</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(395,893)</w:t>
            </w:r>
          </w:p>
        </w:tc>
        <w:tc>
          <w:tcPr>
            <w:tcW w:w="2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(395,893)</w:t>
            </w:r>
          </w:p>
        </w:tc>
        <w:tc>
          <w:tcPr>
            <w:tcW w:w="2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of Common Stock, Basic and Diluted</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of Common Stock Outstanding, Basic and Diluted</w:t>
            </w: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235,131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159,259</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153,406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Borders>
              <w:bottom w:val="single" w:sz="8" w:color="auto"/>
            </w:tcBorders>
          </w:tcPr>
          <w:p>
            <w:pPr>
              <w:spacing w:after="0"/>
              <w:rPr>
                <w:sz w:val="15"/>
                <w:szCs w:val="15"/>
                <w:color w:val="auto"/>
              </w:rPr>
            </w:pPr>
          </w:p>
        </w:tc>
      </w:tr>
      <w:tr>
        <w:trPr>
          <w:trHeight w:val="142"/>
        </w:trPr>
        <w:tc>
          <w:tcPr>
            <w:tcW w:w="6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(395,893)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(342,252)</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gain/(loss) on investments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(440,609)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(396,194)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(342,872)</w:t>
            </w:r>
          </w:p>
        </w:tc>
      </w:tr>
      <w:tr>
        <w:trPr>
          <w:trHeight w:val="20"/>
        </w:trPr>
        <w:tc>
          <w:tcPr>
            <w:tcW w:w="6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information)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740" w:type="dxa"/>
            <w:vAlign w:val="bottom"/>
            <w:gridSpan w:val="4"/>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7"/>
              </w:rPr>
              <w:t>Series B</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5"/>
        </w:trPr>
        <w:tc>
          <w:tcPr>
            <w:tcW w:w="2540" w:type="dxa"/>
            <w:vAlign w:val="bottom"/>
          </w:tcPr>
          <w:p>
            <w:pPr>
              <w:spacing w:after="0"/>
              <w:rPr>
                <w:sz w:val="11"/>
                <w:szCs w:val="11"/>
                <w:color w:val="auto"/>
              </w:rPr>
            </w:pPr>
          </w:p>
        </w:tc>
        <w:tc>
          <w:tcPr>
            <w:tcW w:w="1080" w:type="dxa"/>
            <w:vAlign w:val="bottom"/>
            <w:gridSpan w:val="6"/>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960" w:type="dxa"/>
            <w:vAlign w:val="bottom"/>
            <w:gridSpan w:val="4"/>
          </w:tcPr>
          <w:p>
            <w:pPr>
              <w:jc w:val="center"/>
              <w:ind w:lef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Accumulated other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55"/>
        </w:trPr>
        <w:tc>
          <w:tcPr>
            <w:tcW w:w="2540" w:type="dxa"/>
            <w:vAlign w:val="bottom"/>
          </w:tcPr>
          <w:p>
            <w:pPr>
              <w:spacing w:after="0"/>
              <w:rPr>
                <w:sz w:val="13"/>
                <w:szCs w:val="13"/>
                <w:color w:val="auto"/>
              </w:rPr>
            </w:pPr>
          </w:p>
        </w:tc>
        <w:tc>
          <w:tcPr>
            <w:tcW w:w="108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Preferred Sock</w:t>
            </w:r>
          </w:p>
        </w:tc>
        <w:tc>
          <w:tcPr>
            <w:tcW w:w="130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080" w:type="dxa"/>
            <w:vAlign w:val="bottom"/>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3"/>
                <w:szCs w:val="13"/>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9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28"/>
        </w:trPr>
        <w:tc>
          <w:tcPr>
            <w:tcW w:w="2540" w:type="dxa"/>
            <w:vAlign w:val="bottom"/>
          </w:tcPr>
          <w:p>
            <w:pPr>
              <w:spacing w:after="0"/>
              <w:rPr>
                <w:sz w:val="11"/>
                <w:szCs w:val="11"/>
                <w:color w:val="auto"/>
              </w:rPr>
            </w:pPr>
          </w:p>
        </w:tc>
        <w:tc>
          <w:tcPr>
            <w:tcW w:w="50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1"/>
                <w:szCs w:val="11"/>
                <w:color w:val="auto"/>
              </w:rPr>
            </w:pPr>
          </w:p>
        </w:tc>
        <w:tc>
          <w:tcPr>
            <w:tcW w:w="72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1"/>
                <w:szCs w:val="11"/>
                <w:color w:val="auto"/>
              </w:rPr>
            </w:pPr>
          </w:p>
        </w:tc>
        <w:tc>
          <w:tcPr>
            <w:tcW w:w="840" w:type="dxa"/>
            <w:vAlign w:val="bottom"/>
            <w:tcBorders>
              <w:top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1"/>
                <w:szCs w:val="11"/>
                <w:color w:val="auto"/>
              </w:rPr>
            </w:pPr>
          </w:p>
        </w:tc>
        <w:tc>
          <w:tcPr>
            <w:tcW w:w="940" w:type="dxa"/>
            <w:vAlign w:val="bottom"/>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1"/>
                <w:szCs w:val="11"/>
                <w:color w:val="auto"/>
              </w:rPr>
            </w:pPr>
          </w:p>
        </w:tc>
        <w:tc>
          <w:tcPr>
            <w:tcW w:w="680" w:type="dxa"/>
            <w:vAlign w:val="bottom"/>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28"/>
        </w:trPr>
        <w:tc>
          <w:tcPr>
            <w:tcW w:w="25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 January 1, 2021</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3,581,119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146,874,917</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$ 1,486,662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(830,193)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656,498</w:t>
            </w:r>
          </w:p>
        </w:tc>
      </w:tr>
      <w:tr>
        <w:trPr>
          <w:trHeight w:val="135"/>
        </w:trPr>
        <w:tc>
          <w:tcPr>
            <w:tcW w:w="2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69,765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69,765</w:t>
            </w:r>
          </w:p>
        </w:tc>
      </w:tr>
      <w:tr>
        <w:trPr>
          <w:trHeight w:val="117"/>
        </w:trPr>
        <w:tc>
          <w:tcPr>
            <w:tcW w:w="2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upon purchase through</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53"/>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94,148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1,586</w:t>
            </w:r>
          </w:p>
        </w:tc>
      </w:tr>
      <w:tr>
        <w:trPr>
          <w:trHeight w:val="117"/>
        </w:trPr>
        <w:tc>
          <w:tcPr>
            <w:tcW w:w="2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upon exercise of stock</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options</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2,822,617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33,526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33,526</w:t>
            </w:r>
          </w:p>
        </w:tc>
      </w:tr>
      <w:tr>
        <w:trPr>
          <w:trHeight w:val="117"/>
        </w:trPr>
        <w:tc>
          <w:tcPr>
            <w:tcW w:w="2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Common stock sold in public offering, net of</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53"/>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offering costs</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6,474,099</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203,155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203,155</w:t>
            </w:r>
          </w:p>
        </w:tc>
      </w:tr>
      <w:tr>
        <w:trPr>
          <w:trHeight w:val="117"/>
        </w:trPr>
        <w:tc>
          <w:tcPr>
            <w:tcW w:w="2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from preferred stock</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conversion</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(738,961)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738,961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35"/>
        </w:trPr>
        <w:tc>
          <w:tcPr>
            <w:tcW w:w="2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(620)</w:t>
            </w:r>
          </w:p>
        </w:tc>
      </w:tr>
      <w:tr>
        <w:trPr>
          <w:trHeight w:val="135"/>
        </w:trPr>
        <w:tc>
          <w:tcPr>
            <w:tcW w:w="2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(342,252)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(342,252)</w:t>
            </w:r>
          </w:p>
        </w:tc>
      </w:tr>
      <w:tr>
        <w:trPr>
          <w:trHeight w:val="128"/>
        </w:trPr>
        <w:tc>
          <w:tcPr>
            <w:tcW w:w="25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 December 31, 2021</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2,842,158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157,004,742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1,794,695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(601)</w:t>
            </w:r>
          </w:p>
        </w:tc>
        <w:tc>
          <w:tcPr>
            <w:tcW w:w="220" w:type="dxa"/>
            <w:vAlign w:val="bottom"/>
            <w:tcBorders>
              <w:top w:val="single" w:sz="8" w:color="CCEEFF"/>
            </w:tcBorders>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(1,172,445)</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621,659</w:t>
            </w:r>
          </w:p>
        </w:tc>
      </w:tr>
      <w:tr>
        <w:trPr>
          <w:trHeight w:val="135"/>
        </w:trPr>
        <w:tc>
          <w:tcPr>
            <w:tcW w:w="2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84,022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84,022</w:t>
            </w:r>
          </w:p>
        </w:tc>
      </w:tr>
      <w:tr>
        <w:trPr>
          <w:trHeight w:val="117"/>
        </w:trPr>
        <w:tc>
          <w:tcPr>
            <w:tcW w:w="2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upon purchase through</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53"/>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262,701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w:t>
            </w:r>
          </w:p>
        </w:tc>
      </w:tr>
      <w:tr>
        <w:trPr>
          <w:trHeight w:val="135"/>
        </w:trPr>
        <w:tc>
          <w:tcPr>
            <w:tcW w:w="2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Vesting of restricted shares issued for services</w:t>
            </w: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894,760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Tax payments related to shares retired for</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53"/>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 restricted stock units</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(342,703)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(2,649)</w:t>
            </w:r>
          </w:p>
        </w:tc>
      </w:tr>
      <w:tr>
        <w:trPr>
          <w:trHeight w:val="117"/>
        </w:trPr>
        <w:tc>
          <w:tcPr>
            <w:tcW w:w="2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upon exercise of stock</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options</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203,579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w:t>
            </w:r>
          </w:p>
        </w:tc>
      </w:tr>
      <w:tr>
        <w:trPr>
          <w:trHeight w:val="135"/>
        </w:trPr>
        <w:tc>
          <w:tcPr>
            <w:tcW w:w="2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(301)</w:t>
            </w:r>
          </w:p>
        </w:tc>
      </w:tr>
      <w:tr>
        <w:trPr>
          <w:trHeight w:val="117"/>
        </w:trPr>
        <w:tc>
          <w:tcPr>
            <w:tcW w:w="2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Common stock sold in public offering, net of</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offering costs</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29,788,993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189,501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189,502</w:t>
            </w:r>
          </w:p>
        </w:tc>
      </w:tr>
      <w:tr>
        <w:trPr>
          <w:trHeight w:val="135"/>
        </w:trPr>
        <w:tc>
          <w:tcPr>
            <w:tcW w:w="2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(395,893)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(395,893)</w:t>
            </w:r>
          </w:p>
        </w:tc>
      </w:tr>
      <w:tr>
        <w:trPr>
          <w:trHeight w:val="128"/>
        </w:trPr>
        <w:tc>
          <w:tcPr>
            <w:tcW w:w="25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 December 31, 2022</w:t>
            </w: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194</w:t>
            </w:r>
          </w:p>
        </w:tc>
        <w:tc>
          <w:tcPr>
            <w:tcW w:w="120" w:type="dxa"/>
            <w:vAlign w:val="bottom"/>
          </w:tcPr>
          <w:p>
            <w:pPr>
              <w:spacing w:after="0"/>
              <w:rPr>
                <w:sz w:val="11"/>
                <w:szCs w:val="11"/>
                <w:color w:val="auto"/>
              </w:rPr>
            </w:pPr>
          </w:p>
        </w:tc>
        <w:tc>
          <w:tcPr>
            <w:tcW w:w="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2,842,158</w:t>
            </w:r>
          </w:p>
        </w:tc>
        <w:tc>
          <w:tcPr>
            <w:tcW w:w="140" w:type="dxa"/>
            <w:vAlign w:val="bottom"/>
          </w:tcPr>
          <w:p>
            <w:pPr>
              <w:spacing w:after="0"/>
              <w:rPr>
                <w:sz w:val="11"/>
                <w:szCs w:val="11"/>
                <w:color w:val="auto"/>
              </w:rPr>
            </w:pPr>
          </w:p>
        </w:tc>
        <w:tc>
          <w:tcPr>
            <w:tcW w:w="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187,812,072</w:t>
            </w:r>
          </w:p>
        </w:tc>
        <w:tc>
          <w:tcPr>
            <w:tcW w:w="1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2,068,867</w:t>
            </w:r>
          </w:p>
        </w:tc>
        <w:tc>
          <w:tcPr>
            <w:tcW w:w="140" w:type="dxa"/>
            <w:vAlign w:val="bottom"/>
          </w:tcPr>
          <w:p>
            <w:pPr>
              <w:spacing w:after="0"/>
              <w:rPr>
                <w:sz w:val="11"/>
                <w:szCs w:val="11"/>
                <w:color w:val="auto"/>
              </w:rPr>
            </w:pPr>
          </w:p>
        </w:tc>
        <w:tc>
          <w:tcPr>
            <w:tcW w:w="1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(902)</w:t>
            </w:r>
          </w:p>
        </w:tc>
        <w:tc>
          <w:tcPr>
            <w:tcW w:w="22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(1,568,338)</w:t>
            </w:r>
          </w:p>
        </w:tc>
        <w:tc>
          <w:tcPr>
            <w:tcW w:w="120" w:type="dxa"/>
            <w:vAlign w:val="bottom"/>
          </w:tcPr>
          <w:p>
            <w:pPr>
              <w:spacing w:after="0"/>
              <w:rPr>
                <w:sz w:val="11"/>
                <w:szCs w:val="11"/>
                <w:color w:val="auto"/>
              </w:rPr>
            </w:pPr>
          </w:p>
        </w:tc>
        <w:tc>
          <w:tcPr>
            <w:tcW w:w="1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499,638</w:t>
            </w:r>
          </w:p>
        </w:tc>
      </w:tr>
      <w:tr>
        <w:trPr>
          <w:trHeight w:val="135"/>
        </w:trPr>
        <w:tc>
          <w:tcPr>
            <w:tcW w:w="2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62,625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62,625</w:t>
            </w:r>
          </w:p>
        </w:tc>
      </w:tr>
      <w:tr>
        <w:trPr>
          <w:trHeight w:val="117"/>
        </w:trPr>
        <w:tc>
          <w:tcPr>
            <w:tcW w:w="2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upon purchase through</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435,459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2,410</w:t>
            </w:r>
          </w:p>
        </w:tc>
      </w:tr>
      <w:tr>
        <w:trPr>
          <w:trHeight w:val="135"/>
        </w:trPr>
        <w:tc>
          <w:tcPr>
            <w:tcW w:w="2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Vesting of restricted shares issued for services</w:t>
            </w: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1,253,465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Tax payments related to shares retired for</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vested restricted stock units</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(454,367)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(2,795)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(2,795)</w:t>
            </w:r>
          </w:p>
        </w:tc>
      </w:tr>
      <w:tr>
        <w:trPr>
          <w:trHeight w:val="117"/>
        </w:trPr>
        <w:tc>
          <w:tcPr>
            <w:tcW w:w="2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Common stock sold in public and/or at the</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53"/>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 offerings, net of offering costs</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67,080,226</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463,278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463,281</w:t>
            </w:r>
          </w:p>
        </w:tc>
      </w:tr>
      <w:tr>
        <w:trPr>
          <w:trHeight w:val="117"/>
        </w:trPr>
        <w:tc>
          <w:tcPr>
            <w:tcW w:w="2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upon exercise of stock</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options</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35"/>
        </w:trPr>
        <w:tc>
          <w:tcPr>
            <w:tcW w:w="2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940</w:t>
            </w:r>
          </w:p>
        </w:tc>
      </w:tr>
      <w:tr>
        <w:trPr>
          <w:trHeight w:val="117"/>
        </w:trPr>
        <w:tc>
          <w:tcPr>
            <w:tcW w:w="2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Foreign currency cumulative translation</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adjustments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2,488</w:t>
            </w:r>
          </w:p>
        </w:tc>
      </w:tr>
      <w:tr>
        <w:trPr>
          <w:trHeight w:val="135"/>
        </w:trPr>
        <w:tc>
          <w:tcPr>
            <w:tcW w:w="2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(444,037)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(444,037)</w:t>
            </w:r>
          </w:p>
        </w:tc>
      </w:tr>
      <w:tr>
        <w:trPr>
          <w:trHeight w:val="128"/>
        </w:trPr>
        <w:tc>
          <w:tcPr>
            <w:tcW w:w="25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 December 31, 2023</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194</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2,842,158</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256,135,715</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140" w:type="dxa"/>
            <w:vAlign w:val="bottom"/>
          </w:tcPr>
          <w:p>
            <w:pPr>
              <w:spacing w:after="0"/>
              <w:rPr>
                <w:sz w:val="11"/>
                <w:szCs w:val="11"/>
                <w:color w:val="auto"/>
              </w:rPr>
            </w:pP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$ 2,594,448</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2,526</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(2,012,375)</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584,613</w:t>
            </w:r>
          </w:p>
        </w:tc>
      </w:tr>
      <w:tr>
        <w:trPr>
          <w:trHeight w:val="20"/>
        </w:trPr>
        <w:tc>
          <w:tcPr>
            <w:tcW w:w="2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ind w:left="3440"/>
        <w:spacing w:after="0" w:line="210"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(444,037)</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(395,893)</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Unrealized exchange gains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benefit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discounts and premiums on investments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write-off of fixed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other assets and long-term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(361,820)</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(292,757)</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285,583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522,696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investments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(205,902)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(245,816)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paid for acquisition, net of cash acquired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(212,633)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(22,290)</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 (used in) investing activities</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(155,242)</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256,455</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payments related to shares withheld for vested restricted stock units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under employee stock purchase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the issuance of common stock upon exercise of options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the issuance of common stock,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463,281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the issuance of debt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462,959</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190,150</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238,161</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84,313</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72,854</w:t>
            </w:r>
          </w:p>
        </w:tc>
        <w:tc>
          <w:tcPr>
            <w:tcW w:w="0" w:type="dxa"/>
            <w:vAlign w:val="bottom"/>
          </w:tcPr>
          <w:p>
            <w:pPr>
              <w:spacing w:after="0"/>
              <w:rPr>
                <w:sz w:val="1"/>
                <w:szCs w:val="1"/>
                <w:color w:val="auto"/>
              </w:rPr>
            </w:pPr>
          </w:p>
        </w:tc>
      </w:tr>
      <w:tr>
        <w:trPr>
          <w:trHeight w:val="25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181,318</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238,161</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222,637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unrealized gain (loss) on investments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Acquisition of property and equipment included in accounts payable and</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convertible preferred stock to common stock</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 from new leases</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Lease liabilities arising from obtaining right-of-use asset from lease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modifications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bl>
    <w:p>
      <w:pPr>
        <w:ind w:left="270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ectPr>
          <w:pgSz w:w="11900" w:h="16838" w:orient="portrait"/>
          <w:cols w:equalWidth="0" w:num="1">
            <w:col w:w="9920"/>
          </w:cols>
          <w:pgMar w:left="980" w:top="634"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34" w:right="9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7" w:lineRule="exact"/>
        <w:rPr>
          <w:sz w:val="20"/>
          <w:szCs w:val="20"/>
          <w:color w:val="auto"/>
        </w:rPr>
      </w:pPr>
    </w:p>
    <w:p>
      <w:pPr>
        <w:ind w:right="4380"/>
        <w:spacing w:after="0" w:line="464"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1. GENERAL ORGANIZATION, BUSINESS AND LIQUIDITY </w:t>
      </w:r>
      <w:r>
        <w:rPr>
          <w:rFonts w:ascii="Times New Roman" w:cs="Times New Roman" w:eastAsia="Times New Roman" w:hAnsi="Times New Roman"/>
          <w:sz w:val="18"/>
          <w:szCs w:val="18"/>
          <w:b w:val="1"/>
          <w:bCs w:val="1"/>
          <w:i w:val="1"/>
          <w:iCs w:val="1"/>
          <w:color w:val="auto"/>
        </w:rPr>
        <w:t>General Organization and Business</w:t>
      </w:r>
    </w:p>
    <w:p>
      <w:pPr>
        <w:jc w:val="both"/>
        <w:ind w:firstLine="492"/>
        <w:spacing w:after="0" w:line="245" w:lineRule="auto"/>
        <w:rPr>
          <w:sz w:val="20"/>
          <w:szCs w:val="20"/>
          <w:color w:val="auto"/>
        </w:rPr>
      </w:pPr>
      <w:r>
        <w:rPr>
          <w:rFonts w:ascii="Times New Roman" w:cs="Times New Roman" w:eastAsia="Times New Roman" w:hAnsi="Times New Roman"/>
          <w:sz w:val="18"/>
          <w:szCs w:val="18"/>
          <w:color w:val="auto"/>
        </w:rPr>
        <w:t>Iovance Biotherapeutics, Inc. (the “Company”) is a commercial-stage biopharmaceutical company pioneering a transformational approach to treating cancer by harnessing the human immune system’s ability to recognize and destroy diverse cancer cells using therapies personalized for each patient. The Company’s mission is to be the global leader in innovating, developing and delivering tumor infiltrating lymphocyte (“TIL”) cell therapies for patients with solid tumor cancers. With the recent approval of the biologics license application (the “BLA”), the Company is executing the U.S. launch of Amtagvi™ (lifileucel), the first product within its autologous TIL cell therapy platform, and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(aldesleukin), an interleukin-2 (“IL-2”) product used in the Amtagvi™ treatment regimen. Amtagvi™ is a tumor-derived autologous T cell immunotherapy indicated for the treatment of adult patients with unresectable or metastatic melanoma previously treated with a PD-1 blocking antibody, and if BRAF V600 mutation positive, a BRAF inhibitor with or without a MEK inhibitor. This indication is approved under accelerated approval based on overall response rate (“ORR”). Continued approval for this indication may be contingent upon verification and description of clinical benefit in future confirmatory trials. Amtagvi™ is the first and the only one-time, individualized T cell therapy to receive FDA approval for a solid tumor cancer. Amtagvi™ and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part of a treatment regimen that includes lymphodepletion.</w:t>
      </w:r>
    </w:p>
    <w:p>
      <w:pPr>
        <w:spacing w:after="0" w:line="44"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Company was founded to build upon the promise of TIL cell therapy that was previously demonstrated in single-center clinical trials at academic centers, including the National Cancer Institute (“NCI”). The Company’s multi-center trials, novel TIL products, manufacturing processes, facilities, and bioanalytical platforms have transformed TIL cell therapy into a commercially viable treatment which many more patients with cancer can access.</w:t>
      </w:r>
    </w:p>
    <w:p>
      <w:pPr>
        <w:spacing w:after="0" w:line="13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Company manufactures Amtagvi™ and its investigational TIL cell therapies using a centralized, scalable and proprietary 22-day manufacturing process which rejuvenates and multiplies polyclonal T cells unique to each patient into the billions and yields a cryopreserved, individualized therapy.</w:t>
      </w:r>
    </w:p>
    <w:p>
      <w:pPr>
        <w:spacing w:after="0" w:line="14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Company’s development pipeline includes multicenter trials of TIL cell therapies in additional treatment settings for solid tumor cancers. The Company is investigating TIL monotherapies for patients with later stage disease who were previously treated with standard of care therapies and TIL combinations with standard of care therapies to potentially improve outcomes in patients who are earlier in their disease. These trials two ongoing registrational trials to support a supplementary BLA (“sBLA”), of its TIL cell therapies in frontline advanced melanoma and in advanced non-small cell lung cancer following standard of care chemo-immunotherapy. The Company is also developing next generation therapies using TIL, such as genetically modified TIL cell therapy.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9" w:lineRule="exact"/>
        <w:rPr>
          <w:sz w:val="20"/>
          <w:szCs w:val="20"/>
          <w:color w:val="auto"/>
        </w:rPr>
      </w:pPr>
    </w:p>
    <w:p>
      <w:pPr>
        <w:jc w:val="both"/>
        <w:ind w:firstLine="492"/>
        <w:spacing w:after="0" w:line="220" w:lineRule="auto"/>
        <w:rPr>
          <w:sz w:val="20"/>
          <w:szCs w:val="20"/>
          <w:color w:val="auto"/>
        </w:rPr>
      </w:pPr>
      <w:r>
        <w:rPr>
          <w:rFonts w:ascii="Times New Roman" w:cs="Times New Roman" w:eastAsia="Times New Roman" w:hAnsi="Times New Roman"/>
          <w:sz w:val="18"/>
          <w:szCs w:val="18"/>
          <w:color w:val="auto"/>
        </w:rPr>
        <w:t>The Company is currently engaged in the development of therapeutics to fight cancer, specifically solid tumors. With the recent approval of the BLA, the Company expects to generate revenue from the sale of its product Amtagvi™. Furthermore, following the acquisition of the worldwide rights to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discussed below in Note 4 -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Acquisition) in the second quarter of 2023, the Company began to generate revenue from the sales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during the year ended December 31, 2023. However, such revenues for Amtagvi™ and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may not be material during the 12 months from the date the consolidated financial statements are issued and this Annual Report on Form 10-K is filed. The Company has incurred a net loss of $444.0 million for the year ended December 31, 2023 and used $361.8 million of cash in its operating activities during the year ended December 31, 2023. As of December 31, 2023, the Company had $346.3 million in cash, cash equivalents, investments, and restricted cash ($114.9 million of cash and cash equivalents, $165.0 million in short-term investments and $66.4 million in restricted cash).</w:t>
      </w:r>
    </w:p>
    <w:p>
      <w:pPr>
        <w:spacing w:after="0" w:line="17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Company expects to continue to incur significant expenses to support its execution of the commercial launch of Amtagvi™, fund ongoing clinical programs, including its NSCLC registration study, IOV-LUN-202, and its frontline advanced melanoma Phase 3 confirmatory trial, TILVANCE-301, continue the development of its pipeline candidates, and for other general corporate purposes. Based on the funds the Company has available as of the date these consolidated financial statements are issued, which include estimated net proceeds (after deducting underwriting and other offering expenses) of approximately $197.1 million from the public offering of its common stock completed on February 22, 2024, the Company believes that it has sufficient capital to fund its anticipated operating expenses and capital expenditures as planned for at least the next twelve months from the date these consolidated financial statements are issued.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8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Company is subject to credit risk from its portfolio of cash, cash equivalents, trade accounts receivable and investments. Under its investment policy, the Company limits amounts invested in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are safety and preservation of principal, diversification of risk, and liquidity of investments sufficient to meet cash flow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PRACTICES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18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The Company’s cash and cash equivalents include short-term investments with original maturities of three months or less when purchased. The Company's investments are classified as “available-for-sale.” The Company includes these investments in current assets or non-current assets in the Consolidated Balance Sheets based on the length of maturity from the reporting date and carries them at fair value. Unrealized gains and losses on available-for-sale securities are recorded in accumulated other comprehensive loss. Impairment losses related to credit losses (if any) are recorded as an allowance for credit losses with an offsetting entry to Interest income, net. No impairment losses related to credit losses were recognized for the years ended December 31, 2023, 2022 and 2021. The cost of debt securities is adjusted for the amortization of premiums and accretion of discounts to maturity. Such amortization and accretion are included in Interest income, net in the consolidated statements of operations. Gains and losses on securities sold are recorded based on the specific identification method and are included in Interest income, net in the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commercial paper, and places restrictions on maturities and concentration by type and issuer, except for securities issued by the U.S. government.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02" w:lineRule="exact"/>
        <w:rPr>
          <w:sz w:val="20"/>
          <w:szCs w:val="20"/>
          <w:color w:val="auto"/>
        </w:rPr>
      </w:pPr>
    </w:p>
    <w:p>
      <w:pPr>
        <w:jc w:val="both"/>
        <w:ind w:firstLine="492"/>
        <w:spacing w:after="0" w:line="245" w:lineRule="auto"/>
        <w:rPr>
          <w:sz w:val="20"/>
          <w:szCs w:val="20"/>
          <w:color w:val="auto"/>
        </w:rPr>
      </w:pPr>
      <w:r>
        <w:rPr>
          <w:rFonts w:ascii="Times New Roman" w:cs="Times New Roman" w:eastAsia="Times New Roman" w:hAnsi="Times New Roman"/>
          <w:sz w:val="18"/>
          <w:szCs w:val="18"/>
          <w:color w:val="auto"/>
        </w:rPr>
        <w:t>The Company maintains a required minimum balance in a segregated bank account in connection with its letters of credit for which amounts are restricted as to their use by the Company. Currently, the Company’s letters of credit are primarily comprised of one for the benefit of the landlord for the Iovance Cell Therapy Center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used as a security deposit for the lease in the amount $5.45 million (See Note 14 - Leases) and a letter of credit for $0.6 million for the benefit of the landlord for the Company’s current headquarters’ lease (See Note 14 - Leases), as well as a letter of credit for $60.0 million, for the future milestone payment as required by the terms of the Option Agreement for the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acquisition (See Note 4 –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Acquisition). This letter of credit expires on May 5, 2024, however, it will be automatically extended, without written agreement, for one-year periods to May in each succeeding calendar year and the final expiration date will be July 20, 2026. Furthermore, the letter of credit will not be automatically extended if a thirty-day written notice is provided prior to the annual extension. The letter of credit for $5.45 million originally expired on May 28, 2020, however, it automatically extends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 million with a minimum security deposit of $1.5 million maintained through the end of the lease term. The letter of credit with the landlord for the Company’s current headquarters’ lease expires on February 1, 2032, however, it will be automatically extended, without written agreement, for one-year periods to February in each succeeding calendar year. As of December 31, 2023 and December 31, 2022, Restricted cash totaled $66.4 million and $6.4 million, respectively. This amount has been classified as a non-current asset in the Company’s consolidated balance sheets.</w:t>
      </w:r>
    </w:p>
    <w:p>
      <w:pPr>
        <w:spacing w:after="0" w:line="157"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42"/>
        </w:trPr>
        <w:tc>
          <w:tcPr>
            <w:tcW w:w="6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231,731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78,229</w:t>
            </w:r>
          </w:p>
        </w:tc>
      </w:tr>
      <w:tr>
        <w:trPr>
          <w:trHeight w:val="216"/>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w:t>
            </w:r>
          </w:p>
        </w:tc>
      </w:tr>
      <w:tr>
        <w:trPr>
          <w:trHeight w:val="210"/>
        </w:trPr>
        <w:tc>
          <w:tcPr>
            <w:tcW w:w="6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181,318</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238,161</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84,313</w:t>
            </w:r>
          </w:p>
        </w:tc>
      </w:tr>
      <w:tr>
        <w:trPr>
          <w:trHeight w:val="20"/>
        </w:trPr>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22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Company evaluates acquisitions of assets using the guidance in Accounting Standard Codification (“ASC”) Topic 805, Business Combinations (“ASC 805”), to determine whether the transaction should be accounted for as a business combination or asset acquisition by first applying a screen test to assess if substantially all of the fair value of the gross assets acquired is concentrated in a single identifiable asset or group of assets. If the screen test is met, the transaction is accounted for as an asset acquisition. If the screen test is not met, further assessment is required to determine whether the Company has acquired inputs and processes that have the ability to create outputs, which would meet the requirements of a business.</w:t>
      </w:r>
    </w:p>
    <w:p>
      <w:pPr>
        <w:spacing w:after="0" w:line="147"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If the assets acquired do not constitute a business, the Company accounts for asset acquisitions using the cost accumulation and allocation method. Under this method, the cost of the acquisition, including direct acquisition-related costs, is allocated to the assets acquired on a relative fair value basis. Goodwill is not recognized in an asset acquisition and any difference between consideration transferred and the fair value of the net assets acquired is allocated to the identifiable assets acquired based on their relative fair values.</w:t>
      </w:r>
    </w:p>
    <w:p>
      <w:pPr>
        <w:spacing w:after="0" w:line="15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Deferred tax liabilities arising from basis differences in assets acquired are calculated using the simultaneous equations method under ASC Topic 740, Income Taxes (“ASC 740”), and based on the effective tax rate. The resulting deferred tax liability is recorded in the consolidated balance sheet as of December 31, 2023.</w:t>
      </w:r>
    </w:p>
    <w:p>
      <w:pPr>
        <w:spacing w:after="0" w:line="13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Contingent consideration in the scope of ASC Topic 815, Derivatives and Hedging (“ASC 815”), is included in the cost of the asset acquisition at its acquisition date fair value. Contingent consideration in the scope of ASC Topic 450, Contingencies (“ASC 450”), is recognized when it is both probable and reasonably estimable.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and Cost of Sales</w:t>
      </w:r>
    </w:p>
    <w:p>
      <w:pPr>
        <w:spacing w:after="0" w:line="229" w:lineRule="exact"/>
        <w:rPr>
          <w:sz w:val="20"/>
          <w:szCs w:val="20"/>
          <w:color w:val="auto"/>
        </w:rPr>
      </w:pPr>
    </w:p>
    <w:p>
      <w:pPr>
        <w:jc w:val="both"/>
        <w:ind w:firstLine="492"/>
        <w:spacing w:after="0" w:line="227"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on a first-in, first-out basis. Cost includes amounts related to materials, labor and overhead. Net realizable value is the estimated selling price in the ordinary course of business less reasonably predictable costs of completion, disposal and transportation. Inventories presented in the consolidated balance sheet as of December 31, 2023 pertain solely to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include a step-up of the fair value of inventories as a result of the acquisition of the worldwide rights to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Inventoriable costs incurred such as manufacturing costs for the Company’s product candidates, including Amtagvi™, are expensed as incurred as research and development expenses prior to regulatory approval. When regulatory approval of a product is obtained and the approved product is commercially launched, the Company will begin capitalizing manufacturing costs related to the approved product into inventory.</w:t>
      </w:r>
    </w:p>
    <w:p>
      <w:pPr>
        <w:spacing w:after="0" w:line="169" w:lineRule="exact"/>
        <w:rPr>
          <w:sz w:val="20"/>
          <w:szCs w:val="20"/>
          <w:color w:val="auto"/>
        </w:rPr>
      </w:pPr>
    </w:p>
    <w:p>
      <w:pPr>
        <w:jc w:val="both"/>
        <w:ind w:firstLine="492"/>
        <w:spacing w:after="0" w:line="201" w:lineRule="auto"/>
        <w:rPr>
          <w:sz w:val="20"/>
          <w:szCs w:val="20"/>
          <w:color w:val="auto"/>
        </w:rPr>
      </w:pPr>
      <w:r>
        <w:rPr>
          <w:rFonts w:ascii="Times New Roman" w:cs="Times New Roman" w:eastAsia="Times New Roman" w:hAnsi="Times New Roman"/>
          <w:sz w:val="18"/>
          <w:szCs w:val="18"/>
          <w:color w:val="auto"/>
        </w:rPr>
        <w:t>Cost of sales includes the cost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inventories and other costs that are directly associated with the purchase and sales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addition, amortization expense for the fair value step up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inventories and the acquired intangible assets related to the developed technology are included in cost of sales in the Company’s consolidated statement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w:t>
      </w:r>
    </w:p>
    <w:p>
      <w:pPr>
        <w:spacing w:after="0" w:line="2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Trade accounts receivable are recorded net of allowances for product returns and estimated credit losses. The estimate of allowance for credit losses considers factors, including existing contractual payment and the aging of receivable from its customers. To date, the Company has determined that an allowance for doubtful accounts is not required.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Company’s intangible assets are initially measured based on an allocation of the cost of the acquisition to the assets acquired on a relative fair value basis and are recorded net of accumulated amortization. The Company amortizes the intangible assets on a straight-line basis over their estimated useful lives.</w:t>
      </w:r>
    </w:p>
    <w:p>
      <w:pPr>
        <w:spacing w:after="0" w:line="14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When contingent consideration is a component of the cost of an asset acquisition, the Company capitalizes the amount of incremental cost from the contingent consideration related to the intangible asset acquired in the period the underlying contingency is resolved. When this occurs, the Company will recognize amortization expense on the incremental cost prospectively from the date the incremental costs are capitalized.</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1"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Company reviews intangible assets for impairment at least annually and whenever events or changes in circumstances have occurred which could indicate that the carrying value of the assets are not recoverable. If such indicators are present, the Company assesses the recoverability of affected assets by determining if the carrying value of the assets is less than the sum of the undiscounted future cash flows of the assets. If the assets are found to not be recoverable, the Company measures the amount of impairment by comparing the carrying value of the assets to their fair values. The Company determined that no indicators of impairment existed as of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and thereafter, if modified. Operating leases are included in its consolidated balance sheets as Operating lease right-of-use assets and Operating lease liabilities as of December 31, 2023 and 2022.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or modification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or modification date.</w:t>
      </w:r>
    </w:p>
    <w:p>
      <w:pPr>
        <w:spacing w:after="0" w:line="148"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and recorded in costs and expenses in the consolidated statements of operations. The Company has elected not to apply the recognition requirements of Accounting Standards Update (“ASU”) No. 2016-02 and No. 2018-10 (together “Topic 842”) for short-term leases.</w:t>
      </w:r>
    </w:p>
    <w:p>
      <w:pPr>
        <w:spacing w:after="0" w:line="143"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For lease agreements entered into by the Company that include lease and non-lease components, such components are generally accounted for separately.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The cost of property and equipment is depreciated or amortized on the straight-line method over the following estimated useful lives. The depreciation or amortization of capitalized construction in progress costs, a component of property and equipment, net, begins once the underlying asset is placed into service and is recognized over the estimated useful lives: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 years</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6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Lab, process, and validation equipment</w:t>
            </w: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6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 – 7 years</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Utility equipment</w:t>
            </w: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Lesser of the remaining economic life of the asset or the lease-term</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Lesser of the remaining economic life of the asset or the lease-term</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Expenditures for maintenance and repairs are charged to operations as incurred while renewals and betterments are capitalized.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and losses on disposals are included within operating expenses in the consolidated statements of operations.</w:t>
      </w:r>
    </w:p>
    <w:p>
      <w:pPr>
        <w:spacing w:after="0" w:line="166"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Management assesses the carrying value of property and equipment whenever events or changes in circumstances indicate that the carrying value may not be recoverable. If there is an indication of impairment, management prepares an estimate of future undiscounted cash flows expected to result from the use of the asset and its eventual disposition. If these cash flows are less than the carrying amount of the asset, an impairment loss is recognized to write down the asset to its estimated fair value. For the years ended December 31, 2023, 2022, and 2021, the Company did not recognize any impairments for its property and equipment.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Under ASC Topic 820, Fair Value Measurements and Disclosures (“ASC 820”), fair value is defined as the price at which an asset could be exchanged, or a liability transferred in a transaction between knowledgeable, willing parties in the principal or most</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62"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Assets and liabilities recorded at fair value in the Company’s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35" w:lineRule="exact"/>
        <w:rPr>
          <w:sz w:val="20"/>
          <w:szCs w:val="20"/>
          <w:color w:val="auto"/>
        </w:rPr>
      </w:pPr>
    </w:p>
    <w:p>
      <w:pPr>
        <w:ind w:left="680" w:right="20" w:hanging="159"/>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1—These are investments where values are based on unadjusted quoted prices for identical assets in an active market that the Company has the ability to access.</w:t>
      </w:r>
    </w:p>
    <w:p>
      <w:pPr>
        <w:spacing w:after="0" w:line="134" w:lineRule="exact"/>
        <w:rPr>
          <w:rFonts w:ascii="Times New Roman" w:cs="Times New Roman" w:eastAsia="Times New Roman" w:hAnsi="Times New Roman"/>
          <w:sz w:val="18"/>
          <w:szCs w:val="18"/>
          <w:color w:val="auto"/>
        </w:rPr>
      </w:pPr>
    </w:p>
    <w:p>
      <w:pPr>
        <w:ind w:left="680" w:right="20" w:hanging="159"/>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2—These are investments where values are based on quoted market prices in markets that are not active or model derived valuations in which all significant inputs are observable in active markets.</w:t>
      </w:r>
    </w:p>
    <w:p>
      <w:pPr>
        <w:spacing w:after="0" w:line="121" w:lineRule="exact"/>
        <w:rPr>
          <w:rFonts w:ascii="Times New Roman" w:cs="Times New Roman" w:eastAsia="Times New Roman" w:hAnsi="Times New Roman"/>
          <w:sz w:val="18"/>
          <w:szCs w:val="18"/>
          <w:color w:val="auto"/>
        </w:rPr>
      </w:pPr>
    </w:p>
    <w:p>
      <w:pPr>
        <w:ind w:left="680" w:hanging="159"/>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3—These are financial instruments where values are derived from techniques in which one or more significant inputs are unobservable.</w:t>
      </w:r>
    </w:p>
    <w:p>
      <w:pPr>
        <w:spacing w:after="0" w:line="121"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cash equivalents, short-term investments, and long-term notes payable, all of which are reported at their respective fair value or approximate fair value on its consolidated balance sheets.</w:t>
      </w:r>
    </w:p>
    <w:p>
      <w:pPr>
        <w:spacing w:after="0" w:line="135"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w:t>
      </w:r>
    </w:p>
    <w:p>
      <w:pPr>
        <w:spacing w:after="0" w:line="16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When quoted market prices are not available for a specific security, the Company estimates the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interest rate curves, reported trades, broker/dealer quotes, and market reference data. Level 2 assets consist of commercial paper, corporate securities and government agency securities. Level 2 inputs for the valuations are limited to quoted prices for similar assets or liabilities in active markets and inputs other than quoted prices that are observable for the asset.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product sales in accordance with ASC Topic 606, Revenue from Contracts with Customers (“ASC 606”). Under ASC 606, revenue is recognized when a customer obtains control of promised goods or services in an amount that reflects the consideration which the entity expects to receive in exchange for those goods or services. To the extent the transaction price includes variable consideration, the Company estimates the amount of variable consideration that should be included in the transaction price using the most likely method based on historical experience as well as applicable information currently available.</w:t>
      </w:r>
    </w:p>
    <w:p>
      <w:pPr>
        <w:spacing w:after="0" w:line="143"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Indirect taxes collected from customers and remitted to government authorities that are related to sales of the Company’s products, primarily in Europe, are excluded from revenues.</w:t>
      </w:r>
    </w:p>
    <w:p>
      <w:pPr>
        <w:spacing w:after="0" w:line="127" w:lineRule="exact"/>
        <w:rPr>
          <w:sz w:val="20"/>
          <w:szCs w:val="20"/>
          <w:color w:val="auto"/>
        </w:rPr>
      </w:pPr>
    </w:p>
    <w:p>
      <w:pPr>
        <w:jc w:val="both"/>
        <w:ind w:firstLine="492"/>
        <w:spacing w:after="0" w:line="201" w:lineRule="auto"/>
        <w:rPr>
          <w:sz w:val="20"/>
          <w:szCs w:val="20"/>
          <w:color w:val="auto"/>
        </w:rPr>
      </w:pPr>
      <w:r>
        <w:rPr>
          <w:rFonts w:ascii="Times New Roman" w:cs="Times New Roman" w:eastAsia="Times New Roman" w:hAnsi="Times New Roman"/>
          <w:sz w:val="18"/>
          <w:szCs w:val="18"/>
          <w:color w:val="auto"/>
        </w:rPr>
        <w:t>Subsequent to the closing of the acquisition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May 2023, the Company began to sell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licensed markets outside of the U.S. To date, there have been no product sales from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U.S. market. Revenue recognized for the year ended December 31, 2023 was not material to the Company’s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Company periodically grants stock options to employees and non-employees as compensation for services rendered. The Company accounts for all stock-based payment awards made to employees, including the employee stock purchase plans, and non-employees in accordance with the authoritative guidance provided by the Financial Accounting Standards Board (“FASB”) where the value of the award is measured on the date of grant and recognized over the vesting period. Forfeitures are recognized in the period in which they occur. The Company accounts for stock option grants to non-employees in a similar manner as stock option grants to employees except for the term used in the grant date fair value, therefore no longer requiring a re-measurement at the then-current fair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values at each reporting date until the shares underlying the options have vested. The non-employee awards that contain a performance condition that affects the quantity or other terms of the award are measured based on the outcome that is probable.</w:t>
      </w:r>
    </w:p>
    <w:p>
      <w:pPr>
        <w:spacing w:after="0" w:line="12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fair value of the Company's common stock option grants is estimated using a Black-Scholes option pricing model, which uses certain assumptions related to risk-free interest rates, expected volatility, expected term of the common stock options, and future dividends. The stock-based compensation expense is recorded based upon the value derived from the Black-Scholes option pricing model. The assumptions used in the Black-Scholes option pricing model could affect compensation expense recorded in future periods.</w:t>
      </w:r>
    </w:p>
    <w:p>
      <w:pPr>
        <w:spacing w:after="0" w:line="153"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Company issues restricted stock units (“RSUs”) from time to time as part of its equity incentive plans. The Company measures the compensation cost with respect to RSUs issued to employees based upon the estimated fair value of the equity instruments at the date of the grant, which is recognized as an expense over the period during which an employee is required to provide services in exchange for the awards. The fair value of RSUs is based on the closing price of the Company’s common stock on the grant date. In addition to RSUs that have time-based vesting requirements, from time to time the Company may issue RSUs that include certain performance vesting criteria based upon the satisfaction of stated objectives (“PRSUs”). The Company measures the compensation cost with respect to PRSUs issued to employees based upon the estimated fair value of the equity instruments at the date of grant, which is recognized as an expense over the period that achievement is determined to be probable through the stated service period associated with the award.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18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expensed as incurred. Clinical development costs compose a significant component of research and development costs. The Company has a history of contracting with third parties, including contract research organizations (“CROs”), independent clinical investigators, and contract manufacturing organizations (“CMOs”) that perform various clinical trial activities on the Company’s behalf in connection with the ongoing development of the Company’s product candidates. The financial terms of these contracts are subject to negotiations and may vary from contract to contract and may result in uneven payment flow. The Company accrues and expenses costs for clinical trial activities performed by third parties based upon the work completed to date for each clinical trial in accordance with agreements established with CROs, hospitals, and clinical investigators. Accruals for CROs and CMOs are recorded based on services received and efforts expended pursuant to agreements established with CROs, CMOs and other outside service providers. The Company determines its costs through discussions with internal clinical stakeholders and outside service providers as to the progress or stage of completion of clinical trials or services and the contracted fee to be paid for such services.</w:t>
      </w:r>
    </w:p>
    <w:p>
      <w:pPr>
        <w:spacing w:after="0" w:line="194"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Included in the Company’s clinical development costs are investigator costs, which are costs associated with treatments administered at clinical sites as required under each clinical trial protocol. The Company’s determination of clinical investigator costs and related timing of expense recognition will depend on a number of factors that include, but are not limited to, (i) the overall number of patients that enroll in the trial at each individual site, (ii) the length of clinical trial enrollment period, (iii) discontinuation and completion rates of patients, (iv) duration of patient safety follow-ups, (v) the number of sites included in the clinical trial, and (vi) the contracted fee of each participating site for patient treatment while on clinical trial, which can vary greatly for several reasons including, but not limited to, geographic region, medical center or physician costs, and overhead costs. In addition, the Company’s estimates for per patient trial costs will vary based on a number of factors that include, but are not limited to, the extent of additional procedures that may be administered by investigators as a result of patient health status, recoverability of patient costs through insurance carriers of patients, and unanticipated cost of injuries incurred as a result of the clinical trial treatment. The Company accrues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makes judgements and estimates in determining the accrual balance in each reporting period.</w:t>
      </w:r>
    </w:p>
    <w:p>
      <w:pPr>
        <w:spacing w:after="0" w:line="225"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the event advance payments are made to a CRO, CMO or other outside service provider, the payments are recorded within prepaid expenses and other current assets in the Consolidated Balance Sheets and subsequently recognized as research and development expense in the consolidated statements of operations when the associated services have been performed. As actual costs become known, the Company adjusts its estimates, liabilities and assets. Inputs used in the determination of estimates discussed above may vary from actual, which will result in adjustments to research and development expense in future periods.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other related costs, including stock-based compensation, for personnel in executive, finance, procurement, legal, investor relations, facilities, business development, marketing, commercial, information technology and human resources functions. Other significant costs include facility costs not otherwise included in research and development expenses. Selling, general and administrative costs are expensed as incurred, and the Company accrues for services provided by third parties related to such expenses by monitoring the status of services provided and receiving estimates from its service providers and adjusting its accruals as actual costs become known.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or all of the deferred tax assets will not be realized. Deferred tax assets and liabilities are adjusted for the effects of changes in tax laws and rates on the date of enactment.</w:t>
      </w:r>
    </w:p>
    <w:p>
      <w:pPr>
        <w:spacing w:after="0" w:line="183"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ASC Topic 740, Income Taxes (“ASC 740”), clarifies the accounting for uncertainty in income taxes recognized in an enterprise’s financial statements and prescribes a recognition threshold and measurement attribute for the financial statement recognition and measurement of a tax position taken or expected to be taken in a tax return. ASC 740 provides guidance on de-recognition, classification, interest and penalties, accounting in interim periods, disclosure, and transition. The Company will classify as income tax expense any interest and penalties. The Company has no material uncertain tax positions for any of the reporting periods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02"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 average number of common shares outstanding during the period.</w:t>
      </w:r>
    </w:p>
    <w:p>
      <w:pPr>
        <w:spacing w:after="0" w:line="121"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Diluted net loss per share is computed by dividing the net loss by the sum of the weighted average number of shares of common stock outstanding and the dilutive common stock equivalent outstanding during the period. The Company’s potentially dilutive common stock equivalent shares, which include incremental common shares issuable upon (i) the exercise of outstanding stock options, (ii) purchases though the 2020 Employee Stock Purchase Plan (the “2020 ESPP”), (iii) vesting of restricted stock units, and (vi) conversion of preferred stock, are only included in the calculation of diluted net loss per share when their effect is dilutive.</w:t>
      </w:r>
    </w:p>
    <w:p>
      <w:pPr>
        <w:spacing w:after="0" w:line="143"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As of December 31, 2023, 2022, and 2021, the following outstanding common stock equivalents have been excluded from the calculation of net loss per share because their impact would be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20" w:type="dxa"/>
            <w:vAlign w:val="bottom"/>
            <w:tcBorders>
              <w:bottom w:val="single" w:sz="8" w:color="auto"/>
            </w:tcBorders>
          </w:tcPr>
          <w:p>
            <w:pPr>
              <w:spacing w:after="0"/>
              <w:rPr>
                <w:sz w:val="15"/>
                <w:szCs w:val="15"/>
                <w:color w:val="auto"/>
              </w:rPr>
            </w:pPr>
          </w:p>
        </w:tc>
      </w:tr>
      <w:tr>
        <w:trPr>
          <w:trHeight w:val="142"/>
        </w:trPr>
        <w:tc>
          <w:tcPr>
            <w:tcW w:w="248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18,899,849</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15,240,197</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12,520,865</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296,751</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260,859</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85,227</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3,453,901</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2,436,764</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1,110,010</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2,842,158</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2,842,158</w:t>
            </w:r>
          </w:p>
        </w:tc>
        <w:tc>
          <w:tcPr>
            <w:tcW w:w="24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2,842,158</w:t>
            </w:r>
          </w:p>
        </w:tc>
      </w:tr>
      <w:tr>
        <w:trPr>
          <w:trHeight w:val="209"/>
        </w:trPr>
        <w:tc>
          <w:tcPr>
            <w:tcW w:w="2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25,589,659</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20,876,978</w:t>
            </w:r>
          </w:p>
        </w:tc>
        <w:tc>
          <w:tcPr>
            <w:tcW w:w="24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16,655,260</w:t>
            </w:r>
          </w:p>
        </w:tc>
      </w:tr>
      <w:tr>
        <w:trPr>
          <w:trHeight w:val="20"/>
        </w:trPr>
        <w:tc>
          <w:tcPr>
            <w:tcW w:w="24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 an as-converted basis</w:t>
      </w:r>
    </w:p>
    <w:p>
      <w:pPr>
        <w:spacing w:after="0" w:line="200"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92"/>
        <w:spacing w:after="0" w:line="23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Significant items subject to such estimates and assumptions include assumptions made in the fair value of intangible assets, inventories acquired as part of the acquisition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equity awards and related stock-based compensation, assumptions used in measuring operating right-of-use assets and operating lease liabilities, accounting for potential liabilities, including estimates inherent in accruals related to clinical trials, and the realizability of the Company’s deferred tax assets.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0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Iovance Biotherapeutics, Inc. and its wholly-owned subsidiaries, Iovance Biotherapeutics Manufacturing LLC, Iovance Biotherapeutics GmbH, and Iovance Biotherapeutics B.V., Iovance Biotherapeutics UK Ltd and Iovance Biotherapeutics UK SP Ltd (together, the “UK subsidiaries”), and Iovance Biotherapeutics Canada, Inc. All intercompany accounts and transactions have been eliminated.</w:t>
      </w:r>
    </w:p>
    <w:p>
      <w:pPr>
        <w:spacing w:after="0" w:line="13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Certain prior year amounts in the notes to these consolidated financial statements have been reclassified for consistency with the current year presentation. These reclassifications had no effect on the previously reported consolidated balance sheets, consolidated statements of operations, consolidated statements of other comprehensive loss, consolidated statements of stockholder’s equity or consolidated statements of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8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assets and liabilities of the Company’s subsidiaries whose functional currencies are not in U.S. dollars are translated into U.S. dollars at the related period-end exchange rate. The U.S. dollar effects that arise from translation of net assets of these subsidiaries at changing rates are recognized in Accumulated Other Comprehensive Income (Loss) in the consolidated balance sheets. The subsidiaries’ net loss is translated into U.S. dollars by using the average exchange rate for the applicable period. The consolidated financial statements are presented in U.S. dollars, which is the Company’s reporting currency.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8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Company operates in one segment, focused on developing and commercializing therapies using autologous TIL for the treatment of metastatic melanoma and other solid tumor cancers.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02"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The Company is subject to credit risk from its portfolio of cash, cash equivalents and investments. Under its investment policy, the Company limits amounts invested in such securities by credit rating, maturity, industry group, investment type and issuer, except for securities issued by the U.S. government. The Company does not believe it is exposed to any significant concentrations of credit risk from these financial instruments. The Company maintains cash, cash equivalents and investment balances at four financial institutions. Management believes that the financial institutions which hold its cash are financially sound and, accordingly, minimal credit risk exists. As of December 31, 2023 and 2022, respectively, the Company’s cash balances were in excess of insured limits maintained at the financial institutions.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 Issued But Not Yet Adopted</w:t>
      </w:r>
    </w:p>
    <w:p>
      <w:pPr>
        <w:spacing w:after="0" w:line="18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enhances the disclosures of income taxes. ASU 2023-09 is effective for the Company in its annual reporting for fiscal 2025 on a prospective basis. Early adoption and retrospective reporting are permitted. The Company is currently evaluating the impact of ASU 2023-09 on its consolidated financial statements.</w:t>
      </w:r>
    </w:p>
    <w:p>
      <w:pPr>
        <w:spacing w:after="0" w:line="15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enhances the disclosures required for operating segments in annual and interim consolidated financial statements. ASC 2023-07 is effective for the Company in its annual reporting for fiscal year 2024 and for interim period reporting beginning in</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fiscal year 2025 on a retrospective basis. Early adoption is permitted. The Company is currently evaluating the impact of ASC 2023-07 on its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CASH EQUIVALENTS AND INVESTMENTS</w:t>
      </w:r>
    </w:p>
    <w:p>
      <w:pPr>
        <w:spacing w:after="0" w:line="202"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cash equivalents and investments as of December 31, 2023 and December 31, 2022 were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0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164,979</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investments</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198,993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199,032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0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88,001</w:t>
            </w:r>
          </w:p>
        </w:tc>
        <w:tc>
          <w:tcPr>
            <w:tcW w:w="0" w:type="dxa"/>
            <w:vAlign w:val="bottom"/>
          </w:tcPr>
          <w:p>
            <w:pPr>
              <w:spacing w:after="0"/>
              <w:rPr>
                <w:sz w:val="1"/>
                <w:szCs w:val="1"/>
                <w:color w:val="auto"/>
              </w:rPr>
            </w:pPr>
          </w:p>
        </w:tc>
      </w:tr>
      <w:tr>
        <w:trPr>
          <w:trHeight w:val="210"/>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investments</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373,372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4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372,470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fair value of cash equivalents and investments as of December 31, 2023 and December 31, 2022 are classified as follows in the Company’s consolidated balance sheets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Classified as:</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778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132,356</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164,979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240,114</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199,032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372,470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Cash equivalents in the tables above exclude cash demand deposits of $80.8 million and $99.4 million as of December 31, 2023 and 2022, respectively. Unrealized gains and losses are included in accumulated other comprehensive (loss) income, and as of December 31, 2023 and 2022 no unrealized losses on available-for-sale securities have resulted from credit risk. All available-for-sale securities held as of December 31, 2023 and December 31, 2022 had contractual maturities of less than one year. No significant available-for-sale securities held as of the periods presented have been in a continuous unrealized loss position for more than 12 months. To date, the Company has not recorded any impairment charges on its investments.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fair value of the Company’s financial assets that are measured at fair value on a recurring basis, which consist of cash equivalents and short-term and long-term investments classified as available-for-sale securities, are categorized in the table below based upon the lowest level of significant input to the valuations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10"/>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2023</w:t>
            </w:r>
          </w:p>
        </w:tc>
        <w:tc>
          <w:tcPr>
            <w:tcW w:w="780" w:type="dxa"/>
            <w:vAlign w:val="bottom"/>
            <w:tcBorders>
              <w:bottom w:val="single" w:sz="8" w:color="auto"/>
            </w:tcBorders>
          </w:tcPr>
          <w:p>
            <w:pPr>
              <w:spacing w:after="0"/>
              <w:rPr>
                <w:sz w:val="15"/>
                <w:szCs w:val="15"/>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164,979</w:t>
            </w:r>
          </w:p>
        </w:tc>
      </w:tr>
      <w:tr>
        <w:trPr>
          <w:trHeight w:val="216"/>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34,053</w:t>
            </w:r>
          </w:p>
        </w:tc>
      </w:tr>
      <w:tr>
        <w:trPr>
          <w:trHeight w:val="209"/>
        </w:trPr>
        <w:tc>
          <w:tcPr>
            <w:tcW w:w="5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199,032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199,032</w:t>
            </w: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59"/>
        </w:trPr>
        <w:tc>
          <w:tcPr>
            <w:tcW w:w="5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0"/>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2022</w:t>
            </w:r>
          </w:p>
        </w:tc>
        <w:tc>
          <w:tcPr>
            <w:tcW w:w="780" w:type="dxa"/>
            <w:vAlign w:val="bottom"/>
            <w:tcBorders>
              <w:bottom w:val="single" w:sz="8" w:color="auto"/>
            </w:tcBorders>
          </w:tcPr>
          <w:p>
            <w:pPr>
              <w:spacing w:after="0"/>
              <w:rPr>
                <w:sz w:val="24"/>
                <w:szCs w:val="24"/>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148,254</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88,001</w:t>
            </w:r>
          </w:p>
        </w:tc>
      </w:tr>
      <w:tr>
        <w:trPr>
          <w:trHeight w:val="209"/>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205,721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166,749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372,470</w:t>
            </w:r>
          </w:p>
        </w:tc>
      </w:tr>
      <w:tr>
        <w:trPr>
          <w:trHeight w:val="20"/>
        </w:trPr>
        <w:tc>
          <w:tcPr>
            <w:tcW w:w="5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Level 2 assets consist of commercial paper and government agency securities. Level 2 inputs for the valuations are limited to quoted prices for similar assets or liabilities in active markets and inputs other than quoted prices that are observable for the asset.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PROLEUKIN</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ACQUISITION</w:t>
      </w:r>
    </w:p>
    <w:p>
      <w:pPr>
        <w:spacing w:after="0" w:line="104" w:lineRule="exact"/>
        <w:rPr>
          <w:sz w:val="20"/>
          <w:szCs w:val="20"/>
          <w:color w:val="auto"/>
        </w:rPr>
      </w:pPr>
    </w:p>
    <w:p>
      <w:pPr>
        <w:jc w:val="both"/>
        <w:ind w:firstLine="492"/>
        <w:spacing w:after="0" w:line="265" w:lineRule="auto"/>
        <w:rPr>
          <w:sz w:val="20"/>
          <w:szCs w:val="20"/>
          <w:color w:val="auto"/>
        </w:rPr>
      </w:pPr>
      <w:r>
        <w:rPr>
          <w:rFonts w:ascii="Times New Roman" w:cs="Times New Roman" w:eastAsia="Times New Roman" w:hAnsi="Times New Roman"/>
          <w:sz w:val="18"/>
          <w:szCs w:val="18"/>
          <w:color w:val="auto"/>
        </w:rPr>
        <w:t>On January 23, 2023, the Company and its newly formed, wholly owned subsidiary, Iovance Biotherapeutics UK Ltd (the “Purchaser”) entered into an Option Agreement (the “Option Agreement”) with Clinigen Holdings Limited, Clinigen Healthcare Limited, and Clinigen, Inc. (collectively “Clinigen”), a global pharmaceutical services company, pursuant to which the Purchaser would acquire the worldwide rights for the manufacturing, supply, commercialization and sale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(aldesleukin) (the “Acquisition”).</w:t>
      </w:r>
    </w:p>
    <w:p>
      <w:pPr>
        <w:spacing w:after="0" w:line="64" w:lineRule="exact"/>
        <w:rPr>
          <w:sz w:val="20"/>
          <w:szCs w:val="20"/>
          <w:color w:val="auto"/>
        </w:rPr>
      </w:pPr>
    </w:p>
    <w:p>
      <w:pPr>
        <w:jc w:val="both"/>
        <w:ind w:firstLine="492"/>
        <w:spacing w:after="0" w:line="238" w:lineRule="auto"/>
        <w:rPr>
          <w:sz w:val="20"/>
          <w:szCs w:val="20"/>
          <w:color w:val="auto"/>
        </w:rPr>
      </w:pPr>
      <w:r>
        <w:rPr>
          <w:rFonts w:ascii="Times New Roman" w:cs="Times New Roman" w:eastAsia="Times New Roman" w:hAnsi="Times New Roman"/>
          <w:sz w:val="18"/>
          <w:szCs w:val="18"/>
          <w:color w:val="auto"/>
        </w:rPr>
        <w:t>On May 18, 2023, the Company completed the Acquisition and specifically acquired (i) all issued and outstanding shares of Clinigen SP Limited (the “Target”), (ii) the business of the Target and Clinigen (the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Business”) comprising the manufacturing, supply, commercialization and the generation of income from the Product rights and the undertaking of an active role in the development, maintenance and exploitation of those rights, and (iii) certain specified assets identified in the Option Agreement. Pursuant to the Option Agreement, the Company paid to Clinigen (i) an upfront payment of £166.9 million (or approximately $207.2 million), including the applicable stamp-tax payment, and (ii) a payment for certain inventory of £2.4 million (or approximately $3.0 million) using existing cash on hand. The Option Agreement includes potential future contingent payments, as discussed below.</w:t>
      </w:r>
    </w:p>
    <w:p>
      <w:pPr>
        <w:spacing w:after="0" w:line="200" w:lineRule="exact"/>
        <w:rPr>
          <w:sz w:val="20"/>
          <w:szCs w:val="20"/>
          <w:color w:val="auto"/>
        </w:rPr>
      </w:pPr>
    </w:p>
    <w:p>
      <w:pPr>
        <w:jc w:val="both"/>
        <w:ind w:firstLine="492"/>
        <w:spacing w:after="0" w:line="209" w:lineRule="auto"/>
        <w:rPr>
          <w:sz w:val="20"/>
          <w:szCs w:val="20"/>
          <w:color w:val="auto"/>
        </w:rPr>
      </w:pPr>
      <w:r>
        <w:rPr>
          <w:rFonts w:ascii="Times New Roman" w:cs="Times New Roman" w:eastAsia="Times New Roman" w:hAnsi="Times New Roman"/>
          <w:sz w:val="18"/>
          <w:szCs w:val="18"/>
          <w:color w:val="auto"/>
        </w:rPr>
        <w:t>The Acquisition was accounted for as an asset acquisition because substantially all of the fair value of the acquired assets was concentrated in the acquired developed technology related to the intellectual property rights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therefore the Acquisition does not meet the definition of a business in accordance with ASC 805. The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Business operations have been included in the Company’s consolidated financial statements commencing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1"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cash consideration and allocated acquisition date fair values of assets acquired and liabilities assumed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tcBorders>
              <w:bottom w:val="single" w:sz="8" w:color="auto"/>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3320" w:type="dxa"/>
            <w:vAlign w:val="bottom"/>
            <w:tcBorders>
              <w:bottom w:val="single" w:sz="8" w:color="auto"/>
            </w:tcBorders>
          </w:tcPr>
          <w:p>
            <w:pPr>
              <w:jc w:val="right"/>
              <w:ind w:right="1293"/>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60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600" w:type="dxa"/>
            <w:vAlign w:val="bottom"/>
            <w:shd w:val="clear" w:color="auto" w:fill="CCEEFF"/>
          </w:tcPr>
          <w:p>
            <w:pPr>
              <w:spacing w:after="0"/>
              <w:rPr>
                <w:sz w:val="18"/>
                <w:szCs w:val="18"/>
                <w:color w:val="auto"/>
              </w:rPr>
            </w:pP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232,665</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Assembled workforce</w:t>
            </w:r>
          </w:p>
        </w:tc>
        <w:tc>
          <w:tcPr>
            <w:tcW w:w="60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600" w:type="dxa"/>
            <w:vAlign w:val="bottom"/>
            <w:shd w:val="clear" w:color="auto" w:fill="CCEEFF"/>
          </w:tcPr>
          <w:p>
            <w:pPr>
              <w:spacing w:after="0"/>
              <w:rPr>
                <w:sz w:val="18"/>
                <w:szCs w:val="18"/>
                <w:color w:val="auto"/>
              </w:rPr>
            </w:pPr>
          </w:p>
        </w:tc>
        <w:tc>
          <w:tcPr>
            <w:tcW w:w="3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(20,352)</w:t>
            </w:r>
          </w:p>
        </w:tc>
      </w:tr>
      <w:tr>
        <w:trPr>
          <w:trHeight w:val="209"/>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 of acquisition</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222,672</w:t>
            </w:r>
          </w:p>
        </w:tc>
      </w:tr>
      <w:tr>
        <w:trPr>
          <w:trHeight w:val="20"/>
        </w:trPr>
        <w:tc>
          <w:tcPr>
            <w:tcW w:w="6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$222.7 million of total cost of the Acquisition consisted of (i) a $210.2 million of cash payment to Clinigen and (ii) $12.5 million of direct transaction costs incurred by the Company. The Option Agreement additionally provides for contingent cash payments consisting of (i) a milestone payment of £41.7 million, or approximately $50.0 million, upon first approval of lifileucel in advanced melanoma, (ii) deferred consideration based on double digit rates on global net sales (as defined in the Option Agreement) payable from the Company to the sellers following the completion of the Acquisition over a deferred consideration term of twelve years, and (iii) after the deferred consideration term, earnout payments payable from the Company to sellers following the completion of the transaction if deferred consideration payments are equal or greater than the deferred consideration amount provided for in the Option Agreement. These contingent payments were determined to be within the scope of ASC 450 and will be recognized when they are both probable and estimable. The recognition criteria have not been met as of the acquisition date or as of December 31, 2023.</w:t>
      </w:r>
    </w:p>
    <w:p>
      <w:pPr>
        <w:spacing w:after="0" w:line="188"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net assets acquired in the Acquisition were recorded by allocating the total cost of the Acquisition to the assets acquired on a relative fair value basis based on their estimated fair values as of May 18, 2023, which is the date that the Acquisition was completed.</w:t>
      </w:r>
    </w:p>
    <w:p>
      <w:pPr>
        <w:spacing w:after="0" w:line="16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fair value of the developed technology was estimated using a multi-period excess earnings income approach that discounts expected cash flows to present value by applying a discount rate that represents the estimated rate that market participants would use to value the intangible assets. The fair value of the developed technology is being amortized over an expected useful life of 15 years and is recorded as Cost of Sales in the Company’s consolidated statement of operations.</w:t>
      </w:r>
    </w:p>
    <w:p>
      <w:pPr>
        <w:spacing w:after="0" w:line="180"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fair value of the assembled workforce was estimated using a replacement cost less depreciation method. The fair value of the assembled workforce is being amortized over an expected useful life of 3 years and is recorded as Selling, General and Administrative expense in the Company’s consolidated statement of operations.</w:t>
      </w:r>
    </w:p>
    <w:p>
      <w:pPr>
        <w:spacing w:after="0" w:line="176"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fair value of the acquired inventory was determined using the comparative sales method of the market approach, which uses historical and expected average selling prices of inventory as the base amount to which adjustment for costs to complete for work-in-process, cost of disposal and reasonable profit allowance are applied. The inventory fair value adjustment is being amortized as cost of sales as the acquired inventories are sold.</w:t>
      </w:r>
    </w:p>
    <w:p>
      <w:pPr>
        <w:spacing w:after="0" w:line="180"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A deferred tax liability was recognized on the temporary differences related to the book and tax basis of the acquired intangible assets. The deferred tax liability and resulting adjustment to the carrying amount of the acquired intangibles was calculated using the simultaneous equations method under ASC 740. The tax rate used is based on the estimated statutory rates in the United Kingdom as this is where the intangible assets are domiciled.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INTANGIBLE ASSETS, NET</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gross carrying amounts and net book value of intangible assets as of December 31, 2023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0" w:type="dxa"/>
            <w:vAlign w:val="bottom"/>
          </w:tcPr>
          <w:p>
            <w:pPr>
              <w:spacing w:after="0"/>
              <w:rPr>
                <w:sz w:val="10"/>
                <w:szCs w:val="10"/>
                <w:color w:val="auto"/>
              </w:rPr>
            </w:pPr>
          </w:p>
        </w:tc>
        <w:tc>
          <w:tcPr>
            <w:tcW w:w="1240" w:type="dxa"/>
            <w:vAlign w:val="bottom"/>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40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Intangible assets, net</w:t>
            </w:r>
          </w:p>
        </w:tc>
        <w:tc>
          <w:tcPr>
            <w:tcW w:w="0" w:type="dxa"/>
            <w:vAlign w:val="bottom"/>
          </w:tcPr>
          <w:p>
            <w:pPr>
              <w:spacing w:after="0"/>
              <w:rPr>
                <w:sz w:val="1"/>
                <w:szCs w:val="1"/>
                <w:color w:val="auto"/>
              </w:rPr>
            </w:pPr>
          </w:p>
        </w:tc>
      </w:tr>
      <w:tr>
        <w:trPr>
          <w:trHeight w:val="173"/>
        </w:trPr>
        <w:tc>
          <w:tcPr>
            <w:tcW w:w="5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228,741</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Assembled workforce</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09"/>
        </w:trPr>
        <w:tc>
          <w:tcPr>
            <w:tcW w:w="56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239,264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229,258</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Amounts are translated using the foreign exchange rate as of 12/31/2023.</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Company recognized amortization expense of $9.9 million during the year ended December 31, 2023. Amortization expense for the developed technology and assembled workforce is recorded in Cost of sales and Selling, general and administrative expense, respectively, in the consolidated statement of operations for the year ended December 31, 2023. There was no such expense recorded in the year ended December 31, 2022.</w:t>
      </w:r>
    </w:p>
    <w:p>
      <w:pPr>
        <w:spacing w:after="0" w:line="180"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total estimated amortization of the Company’s intangible assets the years ending December 31, 2024, 2025, 2026, 2027 and 2028 are $16.1 million, $16.1 million, $16.0 million, $15.9 million, and $15.9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INVENTORY</w:t>
      </w:r>
    </w:p>
    <w:p>
      <w:pPr>
        <w:spacing w:after="0" w:line="194" w:lineRule="exact"/>
        <w:rPr>
          <w:sz w:val="20"/>
          <w:szCs w:val="20"/>
          <w:color w:val="auto"/>
        </w:rPr>
      </w:pPr>
    </w:p>
    <w:p>
      <w:pPr>
        <w:jc w:val="both"/>
        <w:ind w:firstLine="492"/>
        <w:spacing w:after="0" w:line="229" w:lineRule="auto"/>
        <w:rPr>
          <w:sz w:val="20"/>
          <w:szCs w:val="20"/>
          <w:color w:val="auto"/>
        </w:rPr>
      </w:pPr>
      <w:r>
        <w:rPr>
          <w:rFonts w:ascii="Times New Roman" w:cs="Times New Roman" w:eastAsia="Times New Roman" w:hAnsi="Times New Roman"/>
          <w:sz w:val="18"/>
          <w:szCs w:val="18"/>
          <w:color w:val="auto"/>
        </w:rPr>
        <w:t>Inventory presented in the consolidated balance sheet as of December 31, 2023 pertains solely to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Inventory classified as work in process are unlabeled vials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and December 31, 2022, inventory consists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4360" w:type="dxa"/>
            <w:vAlign w:val="bottom"/>
            <w:tcBorders>
              <w:bottom w:val="single" w:sz="8" w:color="auto"/>
            </w:tcBorders>
          </w:tcPr>
          <w:p>
            <w:pPr>
              <w:spacing w:after="0"/>
              <w:rPr>
                <w:sz w:val="17"/>
                <w:szCs w:val="17"/>
                <w:color w:val="auto"/>
              </w:rPr>
            </w:pPr>
          </w:p>
        </w:tc>
        <w:tc>
          <w:tcPr>
            <w:tcW w:w="16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inventory</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REVENUE</w:t>
      </w:r>
    </w:p>
    <w:p>
      <w:pPr>
        <w:spacing w:after="0" w:line="181" w:lineRule="exact"/>
        <w:rPr>
          <w:sz w:val="20"/>
          <w:szCs w:val="20"/>
          <w:color w:val="auto"/>
        </w:rPr>
      </w:pPr>
    </w:p>
    <w:p>
      <w:pPr>
        <w:jc w:val="both"/>
        <w:ind w:right="20" w:firstLine="492"/>
        <w:spacing w:after="0" w:line="229" w:lineRule="auto"/>
        <w:rPr>
          <w:sz w:val="20"/>
          <w:szCs w:val="20"/>
          <w:color w:val="auto"/>
        </w:rPr>
      </w:pPr>
      <w:r>
        <w:rPr>
          <w:rFonts w:ascii="Times New Roman" w:cs="Times New Roman" w:eastAsia="Times New Roman" w:hAnsi="Times New Roman"/>
          <w:sz w:val="18"/>
          <w:szCs w:val="18"/>
          <w:color w:val="auto"/>
        </w:rPr>
        <w:t>Product sales for the year ended December 31, 2023 was $1.2 million and represented sales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made primarily in licensed markets outside of the U.S. To date, there have been no product sales from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U.S. market.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PROPERTY AND EQUIPMENT, NET</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74,305</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Lab, process, and validation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22,136</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Utility equipment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24,101</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9,118</w:t>
            </w:r>
          </w:p>
        </w:tc>
      </w:tr>
      <w:tr>
        <w:trPr>
          <w:trHeight w:val="209"/>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cost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121,950</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(27,913)</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(16,718)</w:t>
            </w:r>
          </w:p>
        </w:tc>
      </w:tr>
      <w:tr>
        <w:trPr>
          <w:trHeight w:val="209"/>
        </w:trPr>
        <w:tc>
          <w:tcPr>
            <w:tcW w:w="7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105,232</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 xml:space="preserve">Depreciation expense for the years ended December 31, 2023, 2022, and 2021 was approximately $11.6 million, $9.3 million and $3.1 million, respectively. During the years ended December 31, 2023 and 2022, the Company placed $2.6 million and $27.2 million of assets related to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in service, respectively, and initiated depreciation of these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ACCRUED EXPENSES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and consultant related expenses</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Clinical related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14,812</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related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Facilities related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related services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Inventory related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r>
      <w:tr>
        <w:trPr>
          <w:trHeight w:val="210"/>
        </w:trPr>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69,406</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52,295</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as amended, authorizes the issuance of up to 500,000,000 shares of the Company’s common stock, par value $0.000041666. As of December 31, 2023, 256,135,715 shares of the Company’s common stock were issued and outstanding.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w:t>
      </w:r>
    </w:p>
    <w:p>
      <w:pPr>
        <w:spacing w:after="0" w:line="18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On July 13, 2023, the Company closed an underwritten public offering of 23,000,000 shares of the Company’s common stock, which included 3,000,000 shares of common stock issued pursuant to the exercise of the option granted to the underwriters, at a public offering price of $7.50 per share, before underwriting discounts and commissions. The total net proceeds to the Company from the offering, including the exercise of the option by the underwriters, were $161.5 million after deducting underwriting discounts and commissions and offering expenses payable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 Program</w:t>
      </w:r>
    </w:p>
    <w:p>
      <w:pPr>
        <w:spacing w:after="0" w:line="18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On November 18, 2022, the Company entered into an Open Market Sale Agreement (the “2022 Sale Agreement”) with Jefferies LLC (“Jefferies”). Under the terms of the 2022 Sale Agreement, the Company was able to, from time to time, at its sole discretion, issue and sell through Jefferies, acting as a sales agent, up to $500.0 million of shares of the Company’s common stock. On June 16, 2023, the Company entered into a new Open Market Sale Agreement (the “2023 Sale Agreement”), which superseded and replaced in its entirety the 2022 Sale Agreement, which was terminated by the Company. Under the terms of the 2023 Sale Agreement, the Company may, from time to time, in its sole discretion, issue and sell through Jefferies, acting as a sales agent, up to $450.0 million of shares of the Company’s common stock. The issuance and sale, if any, of the shares of common stock by the Company under the 2023 Sale Agreement was or will be made pursuant to a prospectus supplement dated June 16, 2023 to the Company’s Registration Statement on Form S-3ASR, which became effective immediately upon filing with the SEC on June 16, 2023.</w:t>
      </w:r>
    </w:p>
    <w:p>
      <w:pPr>
        <w:spacing w:after="0" w:line="161"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Pursuant to the 2023 Sale Agreement, Jefferies may sell the Common Shares by any method permitted by law deemed to be an “at the market” offering as defined in Rule 415 of the Securities Act of 1933, as amended. Jefferies will use commercially reasonable efforts consistent with its normal trading and sales practices to sell the Common Shares from time to time, based upon instructions from the Company (including any price or size limits or other customary parameters or conditions the Company may impose). The Company will pay Jefferies a commission of up to 3.0% of the gross sales proceeds of any Common Shares sold through Jefferies under the 2023 Sale Agreement.</w:t>
      </w:r>
    </w:p>
    <w:p>
      <w:pPr>
        <w:spacing w:after="0" w:line="147"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Company is not obligated to make any sales of Common Shares under the 2023 Sale Agreement. The offering of Common Shares pursuant to the 2023 Sale Agreement will terminate upon the earlier to occur of (i) the issuance and sale, through Jefferies, of all Common Shares subject to the 2023 Sale Agreement and (ii) termination of the 2023 Sale Agreement in accordance with its terms.</w:t>
      </w:r>
    </w:p>
    <w:p>
      <w:pPr>
        <w:spacing w:after="0" w:line="13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received $301.7 million and $189.5 million in net proceeds, net of offering costs, through the sale of 44,080,226 shares and 29,788,993 shares of its common stock through the 2023 Sale Agreement and/or the 2022 Sale Agreement at a weighted average price per share of $6.99 and $6.52,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8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authorizes the issuance of up to 50,000,000 shares of “blank check” preferred stock. As of December 31, 2023, 17,000 shares were designated as Series A Convertible Preferred Stock and 11,500,000 shares were designated as Series B Convertible Preferred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20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spacing w:after="0" w:line="139"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w:t>
      </w:r>
    </w:p>
    <w:p>
      <w:pPr>
        <w:spacing w:after="0" w:line="148"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No shares of Series A Convertible Preferred Stock were converted to common stock during the year ended December 31, 2023 and 2022. As of December 31, 2023, and 2022, 194 shares of Series A Convertible Preferred Stock (that are convertible into 97,000 shares of common stock) remained outstanding.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Convertible Preferred Stock</w:t>
      </w:r>
    </w:p>
    <w:p>
      <w:pPr>
        <w:spacing w:after="0" w:line="22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spacing w:after="0" w:line="13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Series B Convertible Preferred Stock may, at the option of each investor, be converted into fully paid and non-assessable shares of common stock. The holders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pacing w:after="0" w:line="16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No shares of Series B Convertible Preferred Stock were converted to common stock during the year ended December 31, 2023 and 2022. At December 31, 2023 and 2022, 2,842,158 shares of Series B Preferred Stock (that are convertible into 2,842,158 shares of common stock) remained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89"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The Company has multiple equity incentive plans under which it grants awards. As of December 31, 2023, there are 275,625 shares available to grant under the 2014 Equity Incentive Plan (the “2014 Plan”).</w:t>
      </w:r>
    </w:p>
    <w:p>
      <w:pPr>
        <w:spacing w:after="0" w:line="135"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On April 22, 2018, the Company’s Board of Directors (the “Board”) adopted the Iovance Biotherapeutics, Inc. 2018 Equity Incentive Plan (the “2018 Plan”), which was approved by the Company’s stockholders in June 2018. The 2018 Plan as approved initially authorized the issuance up to an aggregate of 6,000,000 shares of common stock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upon the exercise of stock options under the 2018 Plan from 6,000,000 to 14,000,000 shares, which became effective immediately. Additionally, on June 10, 2022, the Company’s stockholders approved an amendment to the 2018 Plan to increase the number of shares available for issuance upon the exercise of stock options under the 2018 Plan from 14,000,000 to 20,700,000 shares, which became effective immediately. On June 6, 2023, the Company’s stockholders approved an amendment to the 2018 Plan to increase the number of shares available for issuance under the 2018 Plan from 20,700,000 to 29,700,000, which became effective immediately. As of December 31, 2023, 9,906,666 shares of common stock were available for grant under the Company’s 2018 Plan.</w:t>
      </w:r>
    </w:p>
    <w:p>
      <w:pPr>
        <w:spacing w:after="0" w:line="14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September 22, 2021, the Board adopted the Iovance Biotherapeutics, Inc. 2021 Inducement Plan (the “2021 Inducement Plan”). The 2021 Inducement Plan provides for the grant of non-qualified options, common stock, stock appreciation rights, restricted stock awards, restricted stock units, other stock-based awards, other cash-based awards, or any combination of the foregoing. The 2021 Inducement Plan was recommended for approval by the Compensation Committee of the Board (the “Compensation Committee”), and subsequently approved and adopted by the Board without stockholder approval pursuant to Rule 5635(c)(4) of the rules and regulations of The Nasdaq Stock Market LLC (the “Nasdaq Listing Rules”).</w:t>
      </w:r>
    </w:p>
    <w:p>
      <w:pPr>
        <w:spacing w:after="0" w:line="14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Board initially reserved 1,000,000 shares of the Company’s common stock for issuance pursuant to equity awards granted under the 2021 Inducement Plan, and the 2021 Inducement Plan is administered by the Compensation Committee. On January 12, 2022, the Compensation Committee approved an amendment to the 2021 Inducement Plan solely to increase the number of shares reserved for issuance under the 2021 Inducement Plan from 1,000,000 shares of the Company’s common stock to 1,750,000 shares of the Company’s common stock without stockholder approval pursuant to Rule 5635(c)(4) of the Nasdaq Listing Rules.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1"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On March 13, 2023, the Compensation Committee approved an additional amendment to the 2021 Inducement Plan solely to increase the number of shares reserved for issuance under the 2021 Inducement Plan from 1,750,000 shares of the Company’s common stock to 2,250,000 shares of the Company’s common stock without stockholder approval pursuant to Rule 5635(c)(4) of the Nasdaq Listing Rules. In accordance with Rule 5635(c)(4) of the Nasdaq Listing Rules, equity awards under the 2021 Inducement Plan may only be made to an employee if such employee is granted such equity awards in connection with his or her commencement of employment with the Company or a subsidiary and such grant is an inducement material to his or her entering into employment with the Company or such subsidiary. In addition, awards under the 2021 Inducement Plan may only be made to employees who have not previously been an employee or member of the Board (or any parent or subsidiary of the Company) or following a bona fide period of non-employment of the employee by the Company (or a parent or subsidiary of the Company). As of December 31, 2023, 349,428 shares of common stock were available for grant under the Inducement Plan.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02"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A summary of the status of stock options as of December 31, 2023, and the changes during the three years then ended, is presented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15,240,197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5,379,670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Expired/Cancelled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(1,711,158)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18,899,849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 vested and expected to vest at December 31, 2023</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18,899,849</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18.57</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6.75</w:t>
            </w:r>
          </w:p>
        </w:tc>
        <w:tc>
          <w:tcPr>
            <w:tcW w:w="2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7,065</w:t>
            </w:r>
          </w:p>
        </w:tc>
        <w:tc>
          <w:tcPr>
            <w:tcW w:w="0" w:type="dxa"/>
            <w:vAlign w:val="bottom"/>
          </w:tcPr>
          <w:p>
            <w:pPr>
              <w:spacing w:after="0"/>
              <w:rPr>
                <w:sz w:val="1"/>
                <w:szCs w:val="1"/>
                <w:color w:val="auto"/>
              </w:rPr>
            </w:pPr>
          </w:p>
        </w:tc>
      </w:tr>
      <w:tr>
        <w:trPr>
          <w:trHeight w:val="197"/>
        </w:trPr>
        <w:tc>
          <w:tcPr>
            <w:tcW w:w="48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December 31, 2023</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12,160,135</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23.40</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5.54</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$31.7 million of total unrecognized compensation expense related to unvested employee stock options, which the Company expects to recognize over a remaining weighted average period of 1.84 years.</w:t>
      </w:r>
    </w:p>
    <w:p>
      <w:pPr>
        <w:spacing w:after="0" w:line="121"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for employee options granted under the Company's stock option plans during the years ended December 31, 2023, 2022, and 2021 was $4.91, $8.29, and $22.28 per option, respectively.</w:t>
      </w:r>
    </w:p>
    <w:p>
      <w:pPr>
        <w:spacing w:after="0" w:line="121"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aggregate intrinsic value in the table above reflects the total pre-tax intrinsic value (the difference between the Company’s closing stock price on the last trading day of the year ended December 31, 2023 and the exercise price of the options, multiplied by the number of in-the-money stock options) that would have been received by the option holders had all option holders exercised their options on December 31, 2023. The intrinsic value of the Company’s stock options changes based on the closing price of the Company’s common stock.</w:t>
      </w:r>
    </w:p>
    <w:p>
      <w:pPr>
        <w:spacing w:after="0" w:line="156"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year ended December 31, 2023, 2022, and 2021 were $0.01 million, $0.04 million, and $21.3 million,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8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June 2020, the Company adopted the 2020 ESPP upon its approval by the Company’s shareholders at its Annual Stockholders Meeting on June 8, 2020. The Company reserved 500,000 shares of its common stock for issuance under the 2020 ESPP. On June 6, 2023, the Company's stockholders approved an amendment to the 2020 ESPP to increase the number of shares reserved for issuance under the 2020 ESPP from 500,000 shares of the Company’s common stock to 1,400,000 shares of the Company’s common stock, which became effective immediately.</w:t>
      </w:r>
    </w:p>
    <w:p>
      <w:pPr>
        <w:spacing w:after="0" w:line="183"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Under the 2020 ESPP, employees of the Company can purchase shares of our common stock based on a percentage of their compensation subject to certain limits. The purchase price per share is equal to the lower of 85% of the fair market value of its common</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on the offering date or the purchase date with a six-month look-back feature. The 2020 ESPP purchases are settled with common stock from the 2020 ESPP’s previously authorized and available pool of shares.</w:t>
      </w:r>
    </w:p>
    <w:p>
      <w:pPr>
        <w:spacing w:after="0" w:line="121"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compensation expense related to the 2020 ESPP for the years ended December 31, 2023, 2022 and 2021 was $1.2 million, $1.3 million and $1.2 million, respectively. Under the 2020 ESPP, for the years ended December 31, 2023 and 2022, the Company received proceeds of $2.4 million for the issuance of 435,459 shares and $1.7 million for the issuance of 262,701 shares, respectively. As of December 31, 2023, there was $0.6 million of unrecognized compensation cost associated with the 2020 ESPP, which is expected to be recognized over 5.4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Restricted Stock Units</w:t>
      </w:r>
    </w:p>
    <w:p>
      <w:pPr>
        <w:spacing w:after="0" w:line="22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addition to RSUs that have time-based vesting requirements, from time to time the Company may issue RSUs that include certain performance vesting criteria based upon the satisfaction of stated objectives (“PRSUs”). Compensation expense related to PRSUs is based on the grant date fair value of the award and recorded from the period that achievement is determined to be probable through the stated service period associated with the award.</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Activity for RSUs and PRSUs during the years ended December 31, 2023 and 2022 is presented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3"/>
                <w:szCs w:val="13"/>
                <w:color w:val="auto"/>
              </w:rPr>
            </w:pPr>
          </w:p>
        </w:tc>
        <w:tc>
          <w:tcPr>
            <w:tcW w:w="16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40" w:type="dxa"/>
            <w:vAlign w:val="bottom"/>
          </w:tcPr>
          <w:p>
            <w:pPr>
              <w:spacing w:after="0"/>
              <w:rPr>
                <w:sz w:val="12"/>
                <w:szCs w:val="12"/>
                <w:color w:val="auto"/>
              </w:rPr>
            </w:pPr>
          </w:p>
        </w:tc>
        <w:tc>
          <w:tcPr>
            <w:tcW w:w="16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RSUs and PRSUs</w:t>
            </w:r>
          </w:p>
        </w:tc>
        <w:tc>
          <w:tcPr>
            <w:tcW w:w="340" w:type="dxa"/>
            <w:vAlign w:val="bottom"/>
          </w:tcPr>
          <w:p>
            <w:pPr>
              <w:spacing w:after="0"/>
              <w:rPr>
                <w:sz w:val="15"/>
                <w:szCs w:val="15"/>
                <w:color w:val="auto"/>
              </w:rPr>
            </w:pPr>
          </w:p>
        </w:tc>
        <w:tc>
          <w:tcPr>
            <w:tcW w:w="16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non-vested as of December 31, 2022</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2,436,764</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2,729,348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Vested/Released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(1,253,465)</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Canceled/Forfeited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(458,746)</w:t>
            </w:r>
          </w:p>
        </w:tc>
        <w:tc>
          <w:tcPr>
            <w:tcW w:w="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3,453,901</w:t>
            </w:r>
          </w:p>
        </w:tc>
        <w:tc>
          <w:tcPr>
            <w:tcW w:w="3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 vested and expected to vest at December 31, 2023</w:t>
            </w: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vMerge w:val="continue"/>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3,453,901</w:t>
            </w:r>
          </w:p>
        </w:tc>
        <w:tc>
          <w:tcPr>
            <w:tcW w:w="300" w:type="dxa"/>
            <w:vAlign w:val="bottom"/>
          </w:tcPr>
          <w:p>
            <w:pPr>
              <w:spacing w:after="0"/>
              <w:rPr>
                <w:sz w:val="17"/>
                <w:szCs w:val="17"/>
                <w:color w:val="auto"/>
              </w:rPr>
            </w:pPr>
          </w:p>
        </w:tc>
        <w:tc>
          <w:tcPr>
            <w:tcW w:w="34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8.97</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there was $19.9 million and $20.6 million of unrecognized stock-based compensation expense associated with unvested RSUs, which the Company expects to recognize over a remaining weighted-average period of 1.65 and 1.72 years, respectively. The aggregate intrinsic value of the unvested RSUs and PRSUs outstanding as of December 31, 2023 and 2022, was $28.1 million and $14.5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related to the Company’s stock-based awards was recorded on the consolidated statements of operations as follows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Borders>
              <w:bottom w:val="single" w:sz="8" w:color="auto"/>
            </w:tcBorders>
          </w:tcPr>
          <w:p>
            <w:pPr>
              <w:spacing w:after="0"/>
              <w:rPr>
                <w:sz w:val="15"/>
                <w:szCs w:val="15"/>
                <w:color w:val="auto"/>
              </w:rPr>
            </w:pPr>
          </w:p>
        </w:tc>
      </w:tr>
      <w:tr>
        <w:trPr>
          <w:trHeight w:val="142"/>
        </w:trPr>
        <w:tc>
          <w:tcPr>
            <w:tcW w:w="394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40,833</w:t>
            </w:r>
          </w:p>
        </w:tc>
      </w:tr>
      <w:tr>
        <w:trPr>
          <w:trHeight w:val="216"/>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27,699</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33,780</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28,932</w:t>
            </w:r>
          </w:p>
        </w:tc>
      </w:tr>
      <w:tr>
        <w:trPr>
          <w:trHeight w:val="210"/>
        </w:trPr>
        <w:tc>
          <w:tcPr>
            <w:tcW w:w="3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62,625</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84,022</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69,765</w:t>
            </w:r>
          </w:p>
        </w:tc>
      </w:tr>
      <w:tr>
        <w:trPr>
          <w:trHeight w:val="20"/>
        </w:trPr>
        <w:tc>
          <w:tcPr>
            <w:tcW w:w="3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44"/>
        </w:trPr>
        <w:tc>
          <w:tcPr>
            <w:tcW w:w="3940" w:type="dxa"/>
            <w:vAlign w:val="bottom"/>
          </w:tcPr>
          <w:p>
            <w:pPr>
              <w:spacing w:after="0"/>
              <w:rPr>
                <w:sz w:val="24"/>
                <w:szCs w:val="24"/>
                <w:color w:val="auto"/>
              </w:rPr>
            </w:pPr>
          </w:p>
        </w:tc>
        <w:tc>
          <w:tcPr>
            <w:tcW w:w="2260" w:type="dxa"/>
            <w:vAlign w:val="bottom"/>
            <w:gridSpan w:val="2"/>
          </w:tcPr>
          <w:p>
            <w:pPr>
              <w:jc w:val="right"/>
              <w:ind w:right="976"/>
              <w:spacing w:after="0"/>
              <w:rPr>
                <w:sz w:val="20"/>
                <w:szCs w:val="20"/>
                <w:color w:val="auto"/>
              </w:rPr>
            </w:pPr>
            <w:r>
              <w:rPr>
                <w:rFonts w:ascii="Times New Roman" w:cs="Times New Roman" w:eastAsia="Times New Roman" w:hAnsi="Times New Roman"/>
                <w:sz w:val="18"/>
                <w:szCs w:val="18"/>
                <w:color w:val="auto"/>
              </w:rPr>
              <w:t>F-26</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60"/>
        </w:trPr>
        <w:tc>
          <w:tcPr>
            <w:tcW w:w="39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stock-based compensation expense by type of award was as follows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7"/>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Borders>
              <w:bottom w:val="single" w:sz="8" w:color="auto"/>
            </w:tcBorders>
          </w:tcPr>
          <w:p>
            <w:pPr>
              <w:spacing w:after="0"/>
              <w:rPr>
                <w:sz w:val="15"/>
                <w:szCs w:val="15"/>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expense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ESPP expense</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1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62,625</w:t>
            </w:r>
          </w:p>
        </w:tc>
        <w:tc>
          <w:tcPr>
            <w:tcW w:w="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84,022</w:t>
            </w:r>
          </w:p>
        </w:tc>
        <w:tc>
          <w:tcPr>
            <w:tcW w:w="22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69,765</w:t>
            </w: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relating to options granted pursuant to the Company’s equity incentive plans for the years ended December 31, 2023,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ESPP</w:t>
            </w: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480" w:type="dxa"/>
            <w:vAlign w:val="bottom"/>
          </w:tcPr>
          <w:p>
            <w:pPr>
              <w:spacing w:after="0"/>
              <w:rPr>
                <w:sz w:val="10"/>
                <w:szCs w:val="10"/>
                <w:color w:val="auto"/>
              </w:rPr>
            </w:pPr>
          </w:p>
        </w:tc>
        <w:tc>
          <w:tcPr>
            <w:tcW w:w="2340" w:type="dxa"/>
            <w:vAlign w:val="bottom"/>
            <w:gridSpan w:val="6"/>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4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2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auto"/>
            </w:tcBorders>
            <w:gridSpan w:val="2"/>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Expected term (years)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- 5.37</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- 5.12</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- 5.28</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0.50</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- 84.21%  73.73%</w:t>
            </w:r>
          </w:p>
        </w:tc>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- 83.90%</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70.35%</w:t>
            </w: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- 73.88%</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72.96%</w:t>
            </w: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- 83.36%  73.02% - 137.42%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- 94.56%</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- 4.60%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- 4.05%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- 0.97%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- 5.40%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1.98% - 4.78%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- 0.13%</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40" w:type="dxa"/>
            <w:vAlign w:val="bottom"/>
            <w:gridSpan w:val="2"/>
          </w:tcPr>
          <w:p>
            <w:pPr>
              <w:jc w:val="right"/>
              <w:ind w:right="349"/>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20"/>
                <w:szCs w:val="20"/>
                <w:color w:val="auto"/>
              </w:rPr>
            </w:pPr>
          </w:p>
        </w:tc>
        <w:tc>
          <w:tcPr>
            <w:tcW w:w="102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0%</w:t>
            </w:r>
          </w:p>
        </w:tc>
        <w:tc>
          <w:tcPr>
            <w:tcW w:w="160" w:type="dxa"/>
            <w:vAlign w:val="bottom"/>
          </w:tcPr>
          <w:p>
            <w:pPr>
              <w:spacing w:after="0"/>
              <w:rPr>
                <w:sz w:val="20"/>
                <w:szCs w:val="20"/>
                <w:color w:val="auto"/>
              </w:rPr>
            </w:pPr>
          </w:p>
        </w:tc>
        <w:tc>
          <w:tcPr>
            <w:tcW w:w="102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0%</w:t>
            </w:r>
          </w:p>
        </w:tc>
        <w:tc>
          <w:tcPr>
            <w:tcW w:w="14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0%</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760" w:hanging="239"/>
        <w:spacing w:after="0" w:line="284"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 (Years)</w:t>
      </w:r>
      <w:r>
        <w:rPr>
          <w:rFonts w:ascii="Times New Roman" w:cs="Times New Roman" w:eastAsia="Times New Roman" w:hAnsi="Times New Roman"/>
          <w:sz w:val="18"/>
          <w:szCs w:val="18"/>
          <w:color w:val="auto"/>
        </w:rPr>
        <w:t>—The expected term of the stock option grants was calculated based on historical exercises,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cancellations, and forfeitures of stock options and outstanding option shares.</w:t>
      </w:r>
    </w:p>
    <w:p>
      <w:pPr>
        <w:spacing w:after="0" w:line="131" w:lineRule="exact"/>
        <w:rPr>
          <w:rFonts w:ascii="Times New Roman" w:cs="Times New Roman" w:eastAsia="Times New Roman" w:hAnsi="Times New Roman"/>
          <w:sz w:val="18"/>
          <w:szCs w:val="18"/>
          <w:color w:val="auto"/>
        </w:rPr>
      </w:pPr>
    </w:p>
    <w:p>
      <w:pPr>
        <w:ind w:left="760" w:hanging="239"/>
        <w:spacing w:after="0" w:line="284"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is based on the historical volatility for the Company's stock over a period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expected terms of the options.</w:t>
      </w:r>
    </w:p>
    <w:p>
      <w:pPr>
        <w:spacing w:after="0" w:line="117" w:lineRule="exact"/>
        <w:rPr>
          <w:rFonts w:ascii="Times New Roman" w:cs="Times New Roman" w:eastAsia="Times New Roman" w:hAnsi="Times New Roman"/>
          <w:sz w:val="18"/>
          <w:szCs w:val="18"/>
          <w:color w:val="auto"/>
        </w:rPr>
      </w:pPr>
    </w:p>
    <w:p>
      <w:pPr>
        <w:ind w:left="760" w:hanging="239"/>
        <w:spacing w:after="0" w:line="284"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was based on the market yield currently available on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securities with maturities approximately equal to the option’s expected term.</w:t>
      </w:r>
    </w:p>
    <w:p>
      <w:pPr>
        <w:spacing w:after="0" w:line="117" w:lineRule="exact"/>
        <w:rPr>
          <w:rFonts w:ascii="Times New Roman" w:cs="Times New Roman" w:eastAsia="Times New Roman" w:hAnsi="Times New Roman"/>
          <w:sz w:val="18"/>
          <w:szCs w:val="18"/>
          <w:color w:val="auto"/>
        </w:rPr>
      </w:pPr>
    </w:p>
    <w:p>
      <w:pPr>
        <w:ind w:left="760" w:right="20" w:hanging="239"/>
        <w:spacing w:after="0" w:line="284"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has never paid dividends and does not expect to pay dividends in the foreseeable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w:t>
      </w:r>
    </w:p>
    <w:p>
      <w:pPr>
        <w:spacing w:after="0" w:line="131" w:lineRule="exact"/>
        <w:rPr>
          <w:rFonts w:ascii="Times New Roman" w:cs="Times New Roman" w:eastAsia="Times New Roman" w:hAnsi="Times New Roman"/>
          <w:sz w:val="18"/>
          <w:szCs w:val="18"/>
          <w:color w:val="auto"/>
        </w:rPr>
      </w:pPr>
    </w:p>
    <w:p>
      <w:pPr>
        <w:ind w:left="760" w:hanging="239"/>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Forfeiture Rate </w:t>
      </w:r>
      <w:r>
        <w:rPr>
          <w:rFonts w:ascii="Times New Roman" w:cs="Times New Roman" w:eastAsia="Times New Roman" w:hAnsi="Times New Roman"/>
          <w:sz w:val="18"/>
          <w:szCs w:val="18"/>
          <w:color w:val="auto"/>
        </w:rPr>
        <w:t>—The Company recognizes forfeitures as they occur.</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Each of the inputs discussed above is subjective and generally requires significant management judgment.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EMPLOYEE BENEFIT PLAN</w:t>
      </w:r>
    </w:p>
    <w:p>
      <w:pPr>
        <w:spacing w:after="0" w:line="18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Company maintains a defined contribution plan covering substantially all U.S. employees under Section 401(k) of the Internal Revenue Code of 1986, as amended (the “IRC”). The Company's matching contribution to the defined contribution plan was $4.1 million, $3.0 million, and $2.2 million for the years ended December 31, 2023,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INCOME TAXES</w:t>
      </w:r>
    </w:p>
    <w:p>
      <w:pPr>
        <w:spacing w:after="0" w:line="202"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Company recorded an income tax benefit of $3.5 million for the year ended December 31, 2023, but did not record a provision or benefit for income taxes for the years ended December 31, 2022 or 2021.</w:t>
      </w:r>
    </w:p>
    <w:p>
      <w:pPr>
        <w:spacing w:after="0" w:line="12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Upon the completion of the Acquisition on May 18, 2023, a deferred tax liability of $20.4 million was recognized on the temporary differences related to the book and tax basis of the acquired intangible assets. The deferred tax liability and resulting adjustment to the carrying amount of the acquired intangibles was calculated using the simultaneous equations method under ASC 740. The tax rate used is based on the estimated statutory rates in the United Kingdom as this is where the intangible assets are domiciled.</w:t>
      </w:r>
    </w:p>
    <w:p>
      <w:pPr>
        <w:spacing w:after="0" w:line="139"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The Company recorded a tax benefit of $3.5 million for the year ended December 21, 2023, which resulted in an effective tax rate of 0.78%. The effective tax rate is different from U.S. statutory rate of 21% due to the full valuation allowance against tax losses in</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The income tax benefit for the periods presented primarily relates to operations in the United Kingdom and the movement of deferred tax assets and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significant components of the Company’s net deferred tax assets and liabilities are summarized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5"/>
                <w:szCs w:val="15"/>
                <w:color w:val="auto"/>
              </w:rPr>
            </w:pPr>
          </w:p>
        </w:tc>
      </w:tr>
      <w:tr>
        <w:trPr>
          <w:trHeight w:val="142"/>
        </w:trPr>
        <w:tc>
          <w:tcPr>
            <w:tcW w:w="494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9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255,639</w:t>
            </w:r>
          </w:p>
        </w:tc>
        <w:tc>
          <w:tcPr>
            <w:tcW w:w="32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225,904</w:t>
            </w:r>
          </w:p>
        </w:tc>
      </w:tr>
      <w:tr>
        <w:trPr>
          <w:trHeight w:val="216"/>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28,609</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24,920</w:t>
            </w:r>
          </w:p>
        </w:tc>
      </w:tr>
      <w:tr>
        <w:trPr>
          <w:trHeight w:val="216"/>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58,565</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46,957</w:t>
            </w:r>
          </w:p>
        </w:tc>
      </w:tr>
      <w:tr>
        <w:trPr>
          <w:trHeight w:val="216"/>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liabilities</w:t>
            </w: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18,017</w:t>
            </w:r>
          </w:p>
        </w:tc>
      </w:tr>
      <w:tr>
        <w:trPr>
          <w:trHeight w:val="216"/>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Capitalized R&amp;D</w:t>
            </w: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99,107</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47,755</w:t>
            </w:r>
          </w:p>
        </w:tc>
      </w:tr>
      <w:tr>
        <w:trPr>
          <w:trHeight w:val="216"/>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Reserves and accruals</w:t>
            </w:r>
          </w:p>
        </w:tc>
        <w:tc>
          <w:tcPr>
            <w:tcW w:w="15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464,484</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367,550</w:t>
            </w:r>
          </w:p>
        </w:tc>
      </w:tr>
      <w:tr>
        <w:trPr>
          <w:trHeight w:val="216"/>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(446,853)</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(350,418)</w:t>
            </w:r>
          </w:p>
        </w:tc>
      </w:tr>
      <w:tr>
        <w:trPr>
          <w:trHeight w:val="209"/>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15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17,631</w:t>
            </w:r>
          </w:p>
        </w:tc>
        <w:tc>
          <w:tcPr>
            <w:tcW w:w="3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17,132</w:t>
            </w:r>
          </w:p>
        </w:tc>
      </w:tr>
      <w:tr>
        <w:trPr>
          <w:trHeight w:val="20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w:t>
            </w: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(13,381)</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(15,578)</w:t>
            </w:r>
          </w:p>
        </w:tc>
      </w:tr>
      <w:tr>
        <w:trPr>
          <w:trHeight w:val="216"/>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(21,597)</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15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3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reconciliation of the effective income tax rate to the U.S. statutory rate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4920" w:type="dxa"/>
            <w:vAlign w:val="bottom"/>
          </w:tcPr>
          <w:p>
            <w:pPr>
              <w:spacing w:after="0"/>
              <w:rPr>
                <w:sz w:val="12"/>
                <w:szCs w:val="12"/>
                <w:color w:val="auto"/>
              </w:rPr>
            </w:pPr>
          </w:p>
        </w:tc>
        <w:tc>
          <w:tcPr>
            <w:tcW w:w="1360" w:type="dxa"/>
            <w:vAlign w:val="bottom"/>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700" w:type="dxa"/>
            <w:vAlign w:val="bottom"/>
            <w:gridSpan w:val="2"/>
          </w:tcPr>
          <w:p>
            <w:pPr>
              <w:jc w:val="right"/>
              <w:ind w:right="4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2"/>
                <w:szCs w:val="12"/>
                <w:color w:val="auto"/>
              </w:rPr>
            </w:pPr>
          </w:p>
        </w:tc>
        <w:tc>
          <w:tcPr>
            <w:tcW w:w="1380" w:type="dxa"/>
            <w:vAlign w:val="bottom"/>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Orphan drug and research credits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and other differences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r>
      <w:tr>
        <w:trPr>
          <w:trHeight w:val="210"/>
        </w:trPr>
        <w:tc>
          <w:tcPr>
            <w:tcW w:w="49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Company had net operating loss carryforwards (“NOLs”) for federal and state income tax purposes of approximately $1.2 billion and $180 million, respectively, as of December 31, 2023. $142.4 million of federal NOLs will expire beginning in 2027, while $1.0 billion generated after the recently enacted tax reform will have an indefinite life under the Tax Cuts and Jobs Act of 2017 (the “Tax Act”). The state NOLs will expire if unused in years 2030 through 2043.</w:t>
      </w:r>
    </w:p>
    <w:p>
      <w:pPr>
        <w:spacing w:after="0" w:line="139"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The Company’s utilization of NOLs is subject to an annual limitation due to ownership changes that have occurred previously or that could occur in the future as provided in Section 382 of the Internal Revenue Code (“Section 382”), as well as similar state provisions. Section 382 limits the utilization of NOLs when there is a greater than 50% change of ownership as determined under the regulations. Since its formation, the Company has raised capital through the issuance of capital stock and various convertible instruments which, combined with the purchasing shareholders’ subsequent disposition of these shares, has resulted in multiple ownership changes as defined by Section 382, and could result in ownership change in the future upon subsequent disposition. The Company’s utilization of NOLs may also be adversely affected by future changes in federal and state tax laws and regulations.</w:t>
      </w:r>
    </w:p>
    <w:p>
      <w:pPr>
        <w:spacing w:after="0" w:line="148"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In assessing the realization of U.S. deferred tax assets, management considers whether it is more likely than not that some portion or all the deferred tax assets will not be realized. The ultimate realization of deferred tax assets is dependent upon future generation for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the information available, management continues to maintain a full valuation allowance against U.S. federal and state net deferred tax assets as it expected to be in a cumulative loss position and does not have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sufficient positive evidence to support the realizability of its U.S. net deferred tax assets For the years ended December 31, 2023, 2022 and 2021, the change in the valuation allowance was approximately $96.4 million, $82.9 million, and $78.1 million, respectively. For the year ended December 31, 2023, the Company recorded approximately $17.3 million of net deferred tax liability from its operation in the United Kingdom. The basis difference resulted from acquisition of Proleukin business.</w:t>
      </w:r>
    </w:p>
    <w:p>
      <w:pPr>
        <w:spacing w:after="0" w:line="13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Company evaluated the provisions of ASC 740 related to the accounting for uncertainty in income taxes recognized in an enterprise’s financial statements. ASC 740 prescribes a comprehensive model for how a company should recognize, present, and disclose uncertain positions that the Company has taken or expects to take in its tax return. For those benefits to be recognized, a tax position must be more-likely-than-not to be sustained upon examination by taxing authorities. Differences between tax positions taken or expected to be taken in a tax return and the net benefit recognized and measured pursuant to the interpretation are referred to as “unrecognized benefits.” A liability is recognized (or amount of net operating loss carry forward or amount of tax refundable is reduced) for unrecognized tax benefit because it represents an enterprise’s potential future obligation to the taxing authority for a tax position that was not recognized as a result of applying the provisions of ASC 740.</w:t>
      </w:r>
    </w:p>
    <w:p>
      <w:pPr>
        <w:spacing w:after="0" w:line="16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If applicable, interest costs related to the unrecognized tax benefits are required to be calculated and would be classified as income tax expenses in the consolidated statements of operations. Penalties would be recognized as a component of “General and Administrative Expenses” in the consolidated statements of operations.</w:t>
      </w:r>
    </w:p>
    <w:p>
      <w:pPr>
        <w:spacing w:after="0" w:line="135"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of the unrecognized tax benefits during the years ended December 31, 2023, 2022 and 2021 is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benefit - beginning of period</w:t>
            </w: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21,645</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14,432</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Gross decreases - prior period tax positions</w:t>
            </w: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increase current period tax positions</w:t>
            </w:r>
          </w:p>
        </w:tc>
        <w:tc>
          <w:tcPr>
            <w:tcW w:w="9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benefit - end of period</w:t>
            </w:r>
          </w:p>
        </w:tc>
        <w:tc>
          <w:tcPr>
            <w:tcW w:w="920" w:type="dxa"/>
            <w:vAlign w:val="bottom"/>
          </w:tcPr>
          <w:p>
            <w:pPr>
              <w:spacing w:after="0"/>
              <w:rPr>
                <w:sz w:val="18"/>
                <w:szCs w:val="18"/>
                <w:color w:val="auto"/>
              </w:rPr>
            </w:pPr>
          </w:p>
        </w:tc>
        <w:tc>
          <w:tcPr>
            <w:tcW w:w="88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26,107</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21,645</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18,171</w:t>
            </w:r>
          </w:p>
        </w:tc>
      </w:tr>
      <w:tr>
        <w:trPr>
          <w:trHeight w:val="20"/>
        </w:trPr>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No interest or penalties on unpaid tax were recorded during the years ended December 31, 2023, 2022, or 2021. The Company does not anticipate any significant changes within 12 months of this reporting date of its uncertain tax positions.</w:t>
      </w:r>
    </w:p>
    <w:p>
      <w:pPr>
        <w:spacing w:after="0" w:line="12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Company files tax returns in the U.S. federal and state jurisdictions. The U.S. federal and U.S. state taxing authorities may choose to audit tax returns for tax years beyond the statute of limitation period due to significant tax attribute carryforwards from prior years, making adjustments only to carryforward attributes. The Company is not currently under examination by income tax authorities in federal, state or other foreign jurisdictions.</w:t>
      </w:r>
    </w:p>
    <w:p>
      <w:pPr>
        <w:spacing w:after="0" w:line="180"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Inflation Reduction Act of 2022 (the “Act”), which includes certain new tax measures, was signed into law in August 2022. The Act contains two main tax provisions, a new corporate alternative minimum tax imposed on certain corporations meeting average annual financial statement income of more than $1 billion during a three-year tax period, and an excise tax imposed upon share repurchases by certain publicly traded corporations. The Act is effective for tax years beginning after December 31, 2022; however, the provisions of the Act will not have a material impact on the Company’s consolidated financial statements. The Company will continue to monitor the effect of the Act and its impact on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LICENSES AND AGREEMENTS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Institutes of Health (the “NIH”) and the National Cancer Institute (the “NCI”)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Cooperative Research and Development Agreement (the “CRADA”)</w:t>
      </w:r>
    </w:p>
    <w:p>
      <w:pPr>
        <w:spacing w:after="0" w:line="187" w:lineRule="exact"/>
        <w:rPr>
          <w:sz w:val="20"/>
          <w:szCs w:val="20"/>
          <w:color w:val="auto"/>
        </w:rPr>
      </w:pPr>
    </w:p>
    <w:p>
      <w:pPr>
        <w:jc w:val="both"/>
        <w:ind w:right="80" w:firstLine="510"/>
        <w:spacing w:after="0" w:line="270" w:lineRule="auto"/>
        <w:rPr>
          <w:sz w:val="20"/>
          <w:szCs w:val="20"/>
          <w:color w:val="auto"/>
        </w:rPr>
      </w:pPr>
      <w:r>
        <w:rPr>
          <w:rFonts w:ascii="Times New Roman" w:cs="Times New Roman" w:eastAsia="Times New Roman" w:hAnsi="Times New Roman"/>
          <w:sz w:val="18"/>
          <w:szCs w:val="18"/>
          <w:color w:val="auto"/>
        </w:rPr>
        <w:t>In August 2011, the Company signed a five-year CRADA with the NCI to work on the development of adoptive cell immunotherapies in multiple solid tumor types, including unmodified TIL as a stand-alone therapy or in combination, improved methods for the generation and selection of TIL cell therapy with anti-tumor reactivity, and strategies for more potent TILs that are designed to destroy metastatic melanoma cells. The CRADA was amended in 2015 and 2016 to, among other things, extend the term of the CRADA through August 2021, include new indications such as the development of TIL cell therapy for the treatment of patients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1"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8"/>
          <w:szCs w:val="18"/>
          <w:color w:val="auto"/>
        </w:rPr>
        <w:t>with bladder, lung, triple-negative breast, and Human Papilloma Virus (“HPV”)-associated cancers, and modify the focus on the development of unmodified TIL as a stand-alone therapy or in combination. The parties have continued the development of improved methods for the generation and selection of TIL with anti-tumor reactivity in metastatic melanoma, bladder, lung, breast, and HPV-associated cancers.</w:t>
      </w:r>
    </w:p>
    <w:p>
      <w:pPr>
        <w:spacing w:after="0" w:line="213"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August 2021, the NCI and the Company entered into a third amendment to the CRADA. The third amendment, among other things, extended the term of the CRADA by three years to August 2024. The research plan in this amendment includes the evaluation in clinical trials of strategies for development of more potent TILs, such as selection of CD39/69 double negative cells and the use of certain inhibitors or other reagents in TIL expansion cultures.</w:t>
      </w:r>
    </w:p>
    <w:p>
      <w:pPr>
        <w:spacing w:after="0" w:line="13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Pursuant to the terms of the CRADA, as amended, the Company is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Current Good Manufacturing Practice (“cGMP”) conditions, suitable for use in clinical trials. The extended CRADA has a three-year term expiring in August 2024. The Company or the NCI may unilaterally terminate the CRADA for any reason or for no reason at any time by providing written notice at least 60 days before the desired termination date. The Company recorded costs associated with the CRADA of $2.0 million for each of the years ended December 31, 2023, 2022 and 2021, respectively, as research and development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License Agreement Related to the Development and Manufacture of TIL Cell Therapies</w:t>
      </w:r>
    </w:p>
    <w:p>
      <w:pPr>
        <w:spacing w:after="0" w:line="187"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Company entered into an Exclusive Patent License Agreement (the “Patent License Agreement”) with the NIH, an agency of the U.S. Public Health Service within the Department of Health and Human Services, in 2011, as amended in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w:t>
      </w:r>
    </w:p>
    <w:p>
      <w:pPr>
        <w:spacing w:after="0" w:line="143"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Effective May 6, 2021, the Company entered into an Amended and Restated Patent License Agreement with NIH, which included the grant of additional exclusive, worldwide patent rights in the indications to interleukin-15 and interleukin-21 cytokine-tethered TIL technology, and expanded the non-exclusive, worldwide field of use to all cancers. Effective August 1, 2022, the Company entered into a Second Amended and Restated Patent License Agreement with NIH to include additional exclusive, worldwide patent rights to TIL products expressing interleukin-12, expanded rights to TIL selection technologies previously licensed under the Exclusive Patent License Agreement below, and additional non-exclusive, worldwide patent rights to certain technologies related to enhancing TIL potency.</w:t>
      </w:r>
    </w:p>
    <w:p>
      <w:pPr>
        <w:spacing w:after="0" w:line="160"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The Second Amended and Restated Patent License Agreement requires the Company to pay royalties based on a percentage of net sales in jurisdictions where patent rights exist, which percentage can fall into a tier that may be less than one percent to mid-single digits depending upon certain events, including the exclusivity of the rights, and the Company expects lower overall royalty payments as a result. The Company also agreed to potential milestone payments on the achievement of certain clinical, regulatory, and commercial sales milestones for each of the indications and other direct costs incurred by the NIH pursuant to the Second Amended and Restated Patent License Agreement. The Company anticipates making additional payments that could range from several hundred thousand dollars to the mid-single-digit millions of dollars in conjunction with certain development milestones, the approval of a BLA or its foreign equivalent, or the first U.S. and foreign commercial sales of any of our product candidates covered by the Second Amended and Restated Patent License Agreement. The term of the Second Amended and Restated Patent License Agreement continues until the expiry of the last-to-expire patent rights licensed thereunder, and the agreement contains standard termination provisions. The Company recorded milestone costs associated with the Second Amended and Restated Patent License Agreement, specifically for the completion of the first licensee-sponsored Phase 2 trial of $0.6 million for the year ended December 31, 2023. In addition, with the approval of Amtagvi™, we will be required to remit $1.5 million within 60 days of the approval date in accordance with the requirements of the Second Amended and Restated Patent License Agreement. No expenses were recorded for the years ended December 31, 2022 and 2021, respectively.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Patent License Agreement Related to TIL Selection</w:t>
      </w:r>
    </w:p>
    <w:p>
      <w:pPr>
        <w:spacing w:after="0" w:line="187"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On February 10, 2015, the Company entered into an exclusive patent license agreement (the “Exclusive Patent License Agreement”) with the NIH under which the Company received an exclusive, worldwide license under the selected TIL patents. This license was superseded and replaced by the Second Amended and Restated Patent License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Lee Moffitt Cancer Center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Collaboration and Clinical Grant Agreements with Moffitt</w:t>
      </w:r>
    </w:p>
    <w:p>
      <w:pPr>
        <w:spacing w:after="0" w:line="187"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In June 2020, the Company entered into a Sponsored Research Agreement (the “Research Agreement”) with the H. Lee Moffitt Cancer Center (“Moffitt”), with a term that ends either upon completion of the research thereunder or on July 1, 2022, whichever is sooner. In June 2022, this agreement was extended until the later of December 19, 2022 or a mutually acceptable completion of the Research Agreement, which was expected in mid-2023. In August 2023, this agreement was extended until September 2023, at which point it expired. In December 2023, this agreement was extended until the later of November 30, 2024 or a mutually agreed determination of the completion of the Research Agreement. The Company recorded research and development costs of $0.2 million, $0.6 million and $0.3 million for each of the years ended December 31, 2023, 2022 and 2021, respectively.</w:t>
      </w:r>
    </w:p>
    <w:p>
      <w:pPr>
        <w:spacing w:after="0" w:line="16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In December 2016, the Company entered into a clinical grant agreement with Moffitt to support an ongoing clinical trial at Moffitt that combines TIL cell therapy with nivolumab for the treatment of patients with metastatic melanoma. In June 2017, the Company entered into a second clinical grant agreement with Moffitt to support a new clinical trial at Moffitt that combines TIL cell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which are now closed. No expense was recorded for the years ended December 31, 2023, and for the year ended December 31, 2022 and 2021 the Company recorded $0.1 million of research and development costs, in connection with the research collaboration and clinical grant agreements with Moffitt.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Agreements with Moffitt</w:t>
      </w:r>
    </w:p>
    <w:p>
      <w:pPr>
        <w:spacing w:after="0" w:line="187"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Company entered into a license agreement with Moffitt (the “First Moffitt License”), effective as of June 28, 2014, under which the Company received a worldwide license to Moffitt’s rights to patent-pending and patented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56"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Pursuant to the First Moffitt License, the Company paid an upfront licensing fee in the amount of $0.1 million, which was recorded as research and development expense.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U.S., Europe and Japan and in other countries designated by the Company in agreement with Moffitt. No expenses were recorded for the First Moffitt License for the years ended December 31, 2023, 2022, and 2021.</w:t>
      </w:r>
    </w:p>
    <w:p>
      <w:pPr>
        <w:spacing w:after="0" w:line="154"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Company entered into a second license agreement with Moffitt effective as of May 7, 2018 (the “Second Moffitt License”), under which the Company received a license to Moffitt’s rights to patent-pending technologies related to the use of 4-1BB agonists in conjunction with TIL manufacturing processes and therapies. Pursuant to the Second Moffitt License, the Company paid an upfront licensing fee in the amount of $0.1 million in 2018. An annual license maintenance fee is also payable commencing on the first anniversary of the effective date. The Company agreed to pay an annual commercial use payment for each indication for which a first sale has occurred, which in the aggregate amounts to up to $0.4 million a year. The Company recorded $0.1 million, $0.2 million and $0.1 million for the years ended December 31, 2023, 2022 and 2021, respectively, as research and development expenses in connection with this agreement.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1" w:lineRule="exact"/>
        <w:rPr>
          <w:sz w:val="20"/>
          <w:szCs w:val="20"/>
          <w:color w:val="auto"/>
        </w:rPr>
      </w:pPr>
    </w:p>
    <w:p>
      <w:pPr>
        <w:jc w:val="both"/>
        <w:ind w:firstLine="492"/>
        <w:spacing w:after="0" w:line="257" w:lineRule="auto"/>
        <w:rPr>
          <w:sz w:val="20"/>
          <w:szCs w:val="20"/>
          <w:color w:val="auto"/>
        </w:rPr>
      </w:pPr>
      <w:r>
        <w:rPr>
          <w:rFonts w:ascii="Times New Roman" w:cs="Times New Roman" w:eastAsia="Times New Roman" w:hAnsi="Times New Roman"/>
          <w:sz w:val="18"/>
          <w:szCs w:val="18"/>
          <w:color w:val="auto"/>
        </w:rPr>
        <w:t>The Company subsequently exercised an option to exclusively license Moffitt’s rights to patent pending technologies related to the use of tumor digests in conjunction with TIL manufacturing processes and therapies and entered into an amended and restated Second Moffitt License in October 2021 (the “Amended &amp; Restated Second Moffit License”), to include these rights. Pursuant to the Amended</w:t>
      </w:r>
    </w:p>
    <w:p>
      <w:pPr>
        <w:spacing w:after="0" w:line="1" w:lineRule="exact"/>
        <w:rPr>
          <w:sz w:val="20"/>
          <w:szCs w:val="20"/>
          <w:color w:val="auto"/>
        </w:rPr>
      </w:pPr>
    </w:p>
    <w:p>
      <w:pPr>
        <w:jc w:val="both"/>
        <w:ind w:firstLine="8"/>
        <w:spacing w:after="0" w:line="253" w:lineRule="auto"/>
        <w:tabs>
          <w:tab w:leader="none" w:pos="21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Restated Second Moffitt License, the Company paid an upfront licensing fee in the amount of $0.2 million in 2021, which was recorded as research and development expense. In addition, the Company agreed to pay an annual commercial use payment for each indication for which a first sale has occurred for products relating to the use of 4-1BB agonists and for products relating to the use of tumor digests covered by the license.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University of Texas M.D. Anderson Cancer Center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Alliance Agreement</w:t>
      </w:r>
    </w:p>
    <w:p>
      <w:pPr>
        <w:spacing w:after="0" w:line="187"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On April 17, 2017, the Company entered into a Strategic Alliance Agreement (the “SAA”) with The University of Texas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of which approximately $5.3 million has been funded cumulatively through December 31, 2023 and has been recorded as research and development expense.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The Company recorded zero, $0.2 million and $0.5 million associated with the SAA for the years ended December 31, 2023, 2022 and 2021 as research and development expenses,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WuXi Advanced Therapies,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WuXi Manufacturing and Services Agreement</w:t>
      </w:r>
    </w:p>
    <w:p>
      <w:pPr>
        <w:spacing w:after="0" w:line="187"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November 2016, the Company entered into a three-year manufacturing and services agreement (the “First Wuxi MSA”) with WuXi Advanced Therapies, Inc. (“WuXi”) pursuant to which WuXi agreed to provide manufacturing and other services, which has since been amended and assigned to its subsidiary Iovance Biotherapeutics Manufacturing LLC. Under the First WuXi MSA, the Company entered into two statements of work for two cGMP manufacturing suites to be operated by WuXi for the Company. The terms of one of these statements of work expired in December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WuXi Manufacturing and Services Agreement</w:t>
      </w:r>
    </w:p>
    <w:p>
      <w:pPr>
        <w:spacing w:after="0" w:line="200"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In October 2022, the Company’s subsidiary Iovance Biotherapeutics Manufacturing LLC entered into an additional three-year manufacturing and services agreement (the “Second WuXi MSA”) with WuXi and its parent company WuXi Apptec, Co. Ltd pursuant to which WuXi agreed to provide commercial and clinical manufacturing services and related testing services. Under the Second WuXi MSA, the Company entered into a statement of work for the two cGMP manufacturing suites to be operated by WuXi for the Company. Both suites are expected to be capable of being used for the commercial and clinical manufacture of the Company’s products. The Second WuXi MSA and its related statement of work will supersede the statements of work under the First WuXi MSA with respect to commercial and clinical manufacturing and the two manufacturing suites. Certain other statements of work for related services will also be covered by the Second WuXi MSA. The First WuXi MSA addressed development services provided by WuXi to the Company. Prior to regulatory approval, or if the Company experiences a material adverse event, the Company may unilaterally terminate the statement of work for commercial and clinical manufacturing under the Second WuXi MSA at any time by providing written notice of at least 120 days. Post regulatory approval, the Company may unilaterally terminate the statement of work for commercial and clinical manufacturing with written notice of 15 month in year 1 of the term, written notice of 9 months in year 2 of the term, and written notice of 6 months in year 3 of the term. If WuXi fails a pre-licensing inspection and does not address any related issues within 90 days of receipt of the FDA response letter, the Company may either terminate the statement of work for commercial and clinical manufacturing under the Second WuXi MSA immediately or shorten the term of this statement of work to June 30, 2024. The Company recorded costs associated with agreements with WuXi of $17.3 million, $14.2 million, and $17.5 million for the years ended December 31, 2023, 2022, and 2021 respectively, as research and development expenses.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Cellectis S.A</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On December 31, 2019, the Company entered into a research collaboration and exclusive worldwide license agreement whereby the Company will license gene-editing technology from Cellectis S.A. (“Cellectis”), a clinical-stage biopharmaceutical company, to develop TIL cell therapies that have been genetically edited, including a PD-1 inactivated product that the Company refers to as IOV-4001. Financial terms of the license include annual license payments and development, regulatory and sales milestone payments from the Company to Cellectis, as well as royalty payments based on net sales of TALEN®-modified TIL products. The Company recorded costs associated with the license agreement with Cellectis of $0.4 million for each of the years ended December 31, 2023, 2022, and 2021 respectively as research and development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Novartis Pharma AG</w:t>
      </w:r>
    </w:p>
    <w:p>
      <w:pPr>
        <w:spacing w:after="0" w:line="229"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On January 9, 2020, the Company obtained a license from Novartis Pharma AG (“Novartis”) to develop and commercialize an antibody cytokine engrafted protein, which the Company refers to as IOV-3001. Under the agreement, the Company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 The Company recorded costs associated with the license agreement from Novartis of $10.0 million as research and development expenses for the year ended December 31, 2020. No expenses were recorded for the years ended December 31, 2023 and 2022.</w:t>
      </w:r>
    </w:p>
    <w:p>
      <w:pPr>
        <w:spacing w:after="0" w:line="18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On May 18, 2023, as part of the completion of the Acquisition, the Company inherited two historical asset purchase agreements, one historical master cell bank license and working cell bank transfer agreement and one historical license agreement from Clinigen with Novartis AG, Novartis Pharma AG and Novartis Vaccines and Diagnostics, Inc. pursuant to which, among other things, the Company may be required to make future milestone payments based on net sales (as defined in the relevant underlying agreements) in the United States and the rest of world, which includes any and all sales outside of the United States. The maximum amount of these milestone payments payable under these agreements is $30.0 million upon reaching several certain net sales amounts in the United States and $15.0 million upon reaching several certain net sales amounts in the rest of the world, of which 25% of each milestone payment will be reimbursed by Clinigen by deduction from the deferred consideration due under the Option Agreement in the period such milestone payment is made. To date, the net sales milestones have not been achieved, and, therefore, no payments were made under these agreements for the year ended December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Boehringer Ingelheim Biopharmaceuticals GmbH</w:t>
      </w:r>
    </w:p>
    <w:p>
      <w:pPr>
        <w:spacing w:after="0" w:line="189" w:lineRule="exact"/>
        <w:rPr>
          <w:sz w:val="20"/>
          <w:szCs w:val="20"/>
          <w:color w:val="auto"/>
        </w:rPr>
      </w:pPr>
    </w:p>
    <w:p>
      <w:pPr>
        <w:jc w:val="both"/>
        <w:ind w:firstLine="492"/>
        <w:spacing w:after="0" w:line="238" w:lineRule="auto"/>
        <w:rPr>
          <w:sz w:val="20"/>
          <w:szCs w:val="20"/>
          <w:color w:val="auto"/>
        </w:rPr>
      </w:pPr>
      <w:r>
        <w:rPr>
          <w:rFonts w:ascii="Times New Roman" w:cs="Times New Roman" w:eastAsia="Times New Roman" w:hAnsi="Times New Roman"/>
          <w:sz w:val="18"/>
          <w:szCs w:val="18"/>
          <w:color w:val="auto"/>
        </w:rPr>
        <w:t>On May 18, 2023 as part of the completion of the Acquisition, the Company inherited a manufacturing and supply agreement from Clinigen with Boehringer Ingelheim Biopharmaceuticals GmbH (“BI”) pursuant to which BI will carry out the processing, manufacturing and supply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unlabeled vials. The term of this agreement is through October 2025, with automatic renewals for a period of two years unless terminated as permitted by the contract. Under this agreement, the Company must purchase a minimum number of vials each year at fixed prices determined by vial batch size. The total estimated purchase obligations under this agreement for the years ending December 31, 2024, 2025, 2026 and 2027, are $8.2 million, $11.4 million, $7.3 million, and $7.3 million,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0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 xml:space="preserve">The Company leases corporate office space in California, including 49,918 square feet for its current corporate headquarters’ office space in San Carlos, California, manufacturing, research and development lab facilities and office space in Philadelphia, Pennsylvania, including 136,000 square feet of commercial manufacturing and lab space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and research and development lab facilities in Tampa, Florida. The determination if an arrangement is a lease occurs at inception, and for leases with terms greater than 12 months, the Company records a related right-of-use asset and lease liability at the present value of lease payments over the term. Many leases include fixed rental escalation clauses, renewal options and/or termination options that are factored into the determination of lease payments when appropriate. The Company’s leases do not provide an implicit rate, and thus the Company estimated the incremental borrowing rate in calculating the present value of the lease payments.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1"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Company’s leases have remaining lease terms that range from less than one year to approximately 20 years. Some of our leases include one or more options to renew with renewal terms that can extend the lease for additional years, or options to terminate the leases, both at the Company’s discretion. The Company’s leases may include options to extend or terminate the lease, which is considered in the lease term when it is reasonably certain that the Company will exercise any such options. Lease expense for minimum lease payments is recognized on a straight-line basis based on the fixed components of a lease arrangement.</w:t>
      </w:r>
    </w:p>
    <w:p>
      <w:pPr>
        <w:spacing w:after="0" w:line="143"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Variable lease cost is determined based on performance or usage in accordance with the contractual agreements, and not based on an index or rate. Such costs that are not fixed in nature are recognized as incurred.</w:t>
      </w:r>
    </w:p>
    <w:p>
      <w:pPr>
        <w:spacing w:after="0" w:line="13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Company also leases certain furniture and equipment that has a lease term of 12 months or less. Since the lease agreement do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Contracts</w:t>
      </w:r>
    </w:p>
    <w:p>
      <w:pPr>
        <w:spacing w:after="0" w:line="18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The contracts with CMOs generally contain embedded operating leases based on the fact that the suites are used for the Company’s production are implicitly identified, are used exclusively by the Company during the contractual term of the arrangements, and the CMOs have no substantive contractual rights to substitute the facilities used by the Company.</w:t>
      </w:r>
    </w:p>
    <w:p>
      <w:pPr>
        <w:spacing w:after="0" w:line="16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Further, the Company controls the use of the facilities by obtaining all of the economic benefits from the use of the facilities and direct the use of the facilities throughout the period of use. The terms of the CMO contracts include options to terminate the lease with advance notice of five to six months. The termination clauses and extension clauses are included in the calculation of the lease term for each of the CMOs when it is reasonably certain that it will not exercise such options.</w:t>
      </w:r>
    </w:p>
    <w:p>
      <w:pPr>
        <w:spacing w:after="0" w:line="13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For contracts with multiple deliverables, Topic 842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uses estimates and assumptions in determining relative standalone selling price of lease of a suite and labor service using information that includes market and other observable inputs to the extent possible.</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 sheet classification of the Company’s right-of-use asset and lease liabilities was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40" w:type="dxa"/>
            <w:vAlign w:val="bottom"/>
            <w:tcBorders>
              <w:bottom w:val="single" w:sz="8" w:color="CCEEFF"/>
            </w:tcBorders>
          </w:tcPr>
          <w:p>
            <w:pPr>
              <w:spacing w:after="0"/>
              <w:rPr>
                <w:sz w:val="15"/>
                <w:szCs w:val="15"/>
                <w:color w:val="auto"/>
              </w:rPr>
            </w:pPr>
          </w:p>
        </w:tc>
        <w:tc>
          <w:tcPr>
            <w:tcW w:w="27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included in current liabilities</w:t>
            </w:r>
          </w:p>
        </w:tc>
        <w:tc>
          <w:tcPr>
            <w:tcW w:w="2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portion included in non-current liabilities</w:t>
            </w:r>
          </w:p>
        </w:tc>
        <w:tc>
          <w:tcPr>
            <w:tcW w:w="2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71,859</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340" w:type="dxa"/>
            <w:vAlign w:val="bottom"/>
          </w:tcPr>
          <w:p>
            <w:pPr>
              <w:spacing w:after="0"/>
              <w:rPr>
                <w:sz w:val="24"/>
                <w:szCs w:val="24"/>
                <w:color w:val="auto"/>
              </w:rPr>
            </w:pPr>
          </w:p>
        </w:tc>
        <w:tc>
          <w:tcPr>
            <w:tcW w:w="2860" w:type="dxa"/>
            <w:vAlign w:val="bottom"/>
            <w:gridSpan w:val="2"/>
          </w:tcPr>
          <w:p>
            <w:pPr>
              <w:jc w:val="right"/>
              <w:ind w:right="1976"/>
              <w:spacing w:after="0"/>
              <w:rPr>
                <w:sz w:val="20"/>
                <w:szCs w:val="20"/>
                <w:color w:val="auto"/>
              </w:rPr>
            </w:pPr>
            <w:r>
              <w:rPr>
                <w:rFonts w:ascii="Times New Roman" w:cs="Times New Roman" w:eastAsia="Times New Roman" w:hAnsi="Times New Roman"/>
                <w:sz w:val="18"/>
                <w:szCs w:val="18"/>
                <w:color w:val="auto"/>
              </w:rPr>
              <w:t>F-34</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following table summarizes components of lease expenses, which were included in total expenses in the Company’s consolidated statements of operations, and other information related to our operating leases as follows (in thousands, except weighted-average remaining lease terms and discount rates):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For the Year</w:t>
            </w:r>
          </w:p>
        </w:tc>
        <w:tc>
          <w:tcPr>
            <w:tcW w:w="140" w:type="dxa"/>
            <w:vAlign w:val="bottom"/>
          </w:tcPr>
          <w:p>
            <w:pPr>
              <w:spacing w:after="0"/>
              <w:rPr>
                <w:sz w:val="13"/>
                <w:szCs w:val="13"/>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25,750</w:t>
            </w: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23,258</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information</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 included in</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14,209</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Tenant improvement allowance received for amounts included in the measurement of</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included in cash flows from operations</w:t>
            </w:r>
          </w:p>
        </w:tc>
        <w:tc>
          <w:tcPr>
            <w:tcW w:w="16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from entering new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right-of-use assets from lease modifications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terms (years)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rates</w:t>
            </w:r>
          </w:p>
        </w:tc>
        <w:tc>
          <w:tcPr>
            <w:tcW w:w="16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7.4 </w:t>
            </w:r>
            <w:r>
              <w:rPr>
                <w:rFonts w:ascii="Calibri" w:cs="Calibri" w:eastAsia="Calibri" w:hAnsi="Calibri"/>
                <w:sz w:val="18"/>
                <w:szCs w:val="18"/>
                <w:color w:val="auto"/>
              </w:rPr>
              <w:t>%</w:t>
            </w:r>
          </w:p>
        </w:tc>
        <w:tc>
          <w:tcPr>
            <w:tcW w:w="140" w:type="dxa"/>
            <w:vAlign w:val="bottom"/>
          </w:tcPr>
          <w:p>
            <w:pPr>
              <w:spacing w:after="0"/>
              <w:rPr>
                <w:sz w:val="20"/>
                <w:szCs w:val="20"/>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7.5 </w:t>
            </w:r>
            <w:r>
              <w:rPr>
                <w:rFonts w:ascii="Calibri" w:cs="Calibri" w:eastAsia="Calibri" w:hAnsi="Calibri"/>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maturities of the Company's operating lease liabilities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CMO</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embedded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18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7"/>
                <w:szCs w:val="17"/>
                <w:color w:val="auto"/>
              </w:rPr>
            </w:pP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75,438</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1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(46,392)</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For its corporate headquarters’ office, the lease agreement includes a tenant improvement allowance of $8.2 million. For the years ended December 31, 2023 and 2022, the Company has received reimbursements associated with this tenant improvement allowance of zero and $6.4 million, respectively. The Company does not expect to receive additional reimbursement associated with this tenant improvement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LEGAL PROCEEDINGS</w:t>
      </w:r>
    </w:p>
    <w:p>
      <w:pPr>
        <w:spacing w:after="0" w:line="202"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u w:val="single" w:color="auto"/>
          <w:color w:val="auto"/>
        </w:rPr>
        <w:t>Derivative Lawsuit.</w:t>
      </w:r>
      <w:r>
        <w:rPr>
          <w:rFonts w:ascii="Times New Roman" w:cs="Times New Roman" w:eastAsia="Times New Roman" w:hAnsi="Times New Roman"/>
          <w:sz w:val="18"/>
          <w:szCs w:val="18"/>
          <w:color w:val="auto"/>
        </w:rPr>
        <w:t xml:space="preserve"> On December 11, 2020, a purported stockholder derivative complaint was filed by plaintiff Leo Shumacher against the Company, as nominal defendant, and then current directors, as defendants, in the Court of Chancery in the State of Delaware (the “Court of Chancery”). The complaint alleges breach of fiduciary duty and a claim for unjust enrichment in connection with alleged excessive compensation of certain non-executive directors of the Company and seeks unspecified damages on behalf of the Company. The parties have agreed to a proposed settlement, which was submitted to the Court of Chancery on June 15, 2022. After a hearing on November 17, 2022, the Court of Chancery required the parties to take additional steps before it would approve the settlement. The Company, as nominal defendant, and its current directors, as defendants, answered the complaint on Feb. 3, 2023.</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u w:val="single" w:color="auto"/>
          <w:color w:val="auto"/>
        </w:rPr>
        <w:t>Solomon Capital, LLC.</w:t>
      </w:r>
      <w:r>
        <w:rPr>
          <w:rFonts w:ascii="Times New Roman" w:cs="Times New Roman" w:eastAsia="Times New Roman" w:hAnsi="Times New Roman"/>
          <w:sz w:val="18"/>
          <w:szCs w:val="18"/>
          <w:color w:val="auto"/>
        </w:rPr>
        <w:t xml:space="preserve"> On April 8, 2016, a lawsuit (“the First Solomon Suit”) titled </w:t>
      </w:r>
      <w:r>
        <w:rPr>
          <w:rFonts w:ascii="Times New Roman" w:cs="Times New Roman" w:eastAsia="Times New Roman" w:hAnsi="Times New Roman"/>
          <w:sz w:val="18"/>
          <w:szCs w:val="18"/>
          <w:i w:val="1"/>
          <w:iCs w:val="1"/>
          <w:color w:val="auto"/>
        </w:rPr>
        <w:t>Solomon Capital, LLC, Solomon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401(K) Trust, Solomon Sharbat and Shelhav Raff v. Lion Biotechnologies, Inc. </w:t>
      </w:r>
      <w:r>
        <w:rPr>
          <w:rFonts w:ascii="Times New Roman" w:cs="Times New Roman" w:eastAsia="Times New Roman" w:hAnsi="Times New Roman"/>
          <w:sz w:val="18"/>
          <w:szCs w:val="18"/>
          <w:color w:val="auto"/>
        </w:rPr>
        <w:t>was filed by Solomon Capital, LLC, Solomon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401(k) Trust, Solomon Sharbat and Shelhav Raff (“Solomon Plaintiffs”) against the Company in the Supreme Court of the State of New York, County of New York (index no. 651881/2016) (the “court”). The Solomon Plaintiffs allege that, between June and November 2012, they provided the Company $0.1 million and that they advanced and paid on behalf of the Company an additional $0.2 million.</w:t>
      </w:r>
    </w:p>
    <w:p>
      <w:pPr>
        <w:spacing w:after="0" w:line="145"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The complaint further alleges that the Company agreed to (i) provide them with promissory notes totaling $0.2 million, plus interest, (ii) issue a total of 1,110 shares to the Solomon Plaintiffs (after the 1-for-100 reverse split of the Company’s common stock effected in March 2013) (the “Equity Claim”), and (iii) allow the Solomon Plaintiffs to convert the foregoing funds into its securities in the next financing of the Company on the same terms offered to other investors, which Solomon Plaintiffs allege, should have given them the 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in the lawsuits.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w:t>
      </w:r>
    </w:p>
    <w:p>
      <w:pPr>
        <w:spacing w:after="0" w:line="165"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In its counterclaims, the Company is seeking damages in an amount exceeding $0.5 million and an order rescinding any and all agreements that the Solomon Plaintiffs contend entitled them to obtain shares of Company stock. On May 12, 2020, the court granted the Company’s motion for summary judgment limiting the Solomon Plaintiffs’ damages for the Equity Claim to $47,420. The Solomon Plaintiffs filed a notice of appeal of this summary judgment on June 9, 2020. On July 2, 2020, the court granted the Company’s motion to dismiss the First Solomon Suit for want of prosecution. On January 4, 2021, the court granted the Solomon Plaintiffs motion for reconsideration, and reinstituted the case. On January 15, 2021, the Company filed a notice of appeal of the court’s grant of the Solomon Plaintiffs motion for reconsideration. On May 11, 2021, the Appellate Division upheld the court’s grant of the Solomon Plaintiffs’ motion for reconsideration of the dismissal of the First Solomon Suit for want of prosecution.</w:t>
      </w:r>
    </w:p>
    <w:p>
      <w:pPr>
        <w:spacing w:after="0" w:line="151" w:lineRule="exact"/>
        <w:rPr>
          <w:sz w:val="20"/>
          <w:szCs w:val="20"/>
          <w:color w:val="auto"/>
        </w:rPr>
      </w:pPr>
    </w:p>
    <w:p>
      <w:pPr>
        <w:jc w:val="both"/>
        <w:ind w:firstLine="492"/>
        <w:spacing w:after="0" w:line="251" w:lineRule="auto"/>
        <w:rPr>
          <w:sz w:val="20"/>
          <w:szCs w:val="20"/>
          <w:color w:val="auto"/>
        </w:rPr>
      </w:pPr>
      <w:r>
        <w:rPr>
          <w:rFonts w:ascii="Times New Roman" w:cs="Times New Roman" w:eastAsia="Times New Roman" w:hAnsi="Times New Roman"/>
          <w:sz w:val="18"/>
          <w:szCs w:val="18"/>
          <w:color w:val="auto"/>
        </w:rPr>
        <w:t xml:space="preserve">On September 27, 2019, the Solomon Plaintiffs filed a new lawsuit (through new legal counsel) (“the Second Solomon Suit”) titled </w:t>
      </w:r>
      <w:r>
        <w:rPr>
          <w:rFonts w:ascii="Times New Roman" w:cs="Times New Roman" w:eastAsia="Times New Roman" w:hAnsi="Times New Roman"/>
          <w:sz w:val="18"/>
          <w:szCs w:val="18"/>
          <w:i w:val="1"/>
          <w:iCs w:val="1"/>
          <w:color w:val="auto"/>
        </w:rPr>
        <w:t>Solomon Capital, LLC, Solomon Capital 401(K) Trust, Solomon Sharbat and Shelhav Raff v. Iovance Biotherapeutics, Inc., f/k/a/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Lion Biotechnologies Inc. f/k/a/ Genesis Biopharma Inc., and Manish Singh </w:t>
      </w:r>
      <w:r>
        <w:rPr>
          <w:rFonts w:ascii="Times New Roman" w:cs="Times New Roman" w:eastAsia="Times New Roman" w:hAnsi="Times New Roman"/>
          <w:sz w:val="18"/>
          <w:szCs w:val="18"/>
          <w:color w:val="auto"/>
        </w:rPr>
        <w:t>in the Supreme Court of the State of New York, County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U.S. District Court for the Southern District of New York (the “District Court”), where the case has been assigned case no. 1:20-cv-1391. On May 22, 2020, the Company moved to dismiss the Second Solomon Suit for lack of personal jurisdiction. On March 26, 2021, the District Court denied the Company’s motion to dismiss for lack of personal jurisdiction. The Company filed a response to the complaint in the Second Solomon Suit on April 30, 2021. On May 26, 2021, the Company and Singh filed motions for judgment on the pleadings with respect to the second and third claims asserted against the Company and all claims asserted against Singh, respectively, in the Second Solomon Suit. On January 5, 2022, the District Court granted the Company’s motions for judgement on the pleadings, dismissing the second and third claims against the Company and dismissing all claims against Singh. On January 4, 2023, the District Court granted in part the Company’s motion for sanctions against the Solomon Plaintiffs for violating Rule 11 of the Federal Rules of Civil Procedure, in a decision and order that dismissed the Solomon Plaintiffs’ first claim against the Company, denied the Solomon Plaintiffs’ motion for leave to amend the complaint, and ordered the Solomon Plaintiffs to pay the Company’s attorneys’ fees incurred in connection with the Rule 11 motion. Following the District Court’s decision and order on the Rule 11 motion, only the Solomon Plaintiffs’ fifth and sixth claims, for unjust enrichment and indemnification, respectively, remain pending against the Company. On October 26, 2023, the District Court granted the Company’s motion for summary judgment and dismissed the Solomon Plaintiffs’ fifth and sixth claims. On October 27, 2023, the District Court entered judgment for the Company and closed the Second Solomon Suit. On November 10, 2023, the Company filed a motion for attorneys’ fees as the prevailing party in the action. On December 1, 2023, the Solomon Plaintiffs filed a notice of appeal to</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Court of Appeals for the Second Circuit, appealing the District Court’s orders (a) granting the motions for judgment on the pleadings filed on behalf of Singh and the Company, (b) granting the Company’s Rule 11 motion, (c) denying the Solomon Plaintiffs’ motions to compel discovery and re-open discovery, and (d) granting the Company’s summary judgment motion. On December 22, 2023, the Company filed a motion for an order requiring the Solomon Plaintiffs to post an appeal bond, to ensure payment of the Company’s appellate fees and costs should the Company prevail on the appeal.</w:t>
      </w:r>
    </w:p>
    <w:p>
      <w:pPr>
        <w:spacing w:after="0" w:line="14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14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Company has been and may continue to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16. LONG-TERM NOTE PAYABLE</w:t>
      </w:r>
    </w:p>
    <w:p>
      <w:pPr>
        <w:spacing w:after="0" w:line="18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On January 26, 2021, the Company entered into a Loan Note and accompanying Economic Stimulus Program Loan Agreement with PIDC – Local Development Corporation, a Pennsylvania nonprofit corporation (the “Lender”), pursuant to which the Lender agreed to make a loan (the “Job Creation Loan”) to the Company in a principal amount of $1.0 million. The Job Creation Loan will be for a term of five years starting on February 18, 2021, the date of the issuance of a final certificate of occupancy for the Company’s leased premises in Philadelphia, Pennsylvania. The Job Creation Loan is unsecured, bears no interest, and will be forgiven by the Lender in the amount of $2,000 per full-time or “full time equivalent” (defined as two or more part time employees whose working hours total at least 35 hours a week) employee with an average salary of at least $80,000 (“FT Employees”), up to a maximum amount equal to the amount of the Job Creation Loan, as calculated based on the average number of FT Employees employed at the Company’s premises during the period of the 5-year term beginning on the date that is nine months prior to the maturity date and ending on the maturity date. If the Job Creation Loan is not forgiven in full by the maturity date, the remaining balance of the loan not forgiven will become payable on the maturity date. The Loan Note includes customary events of default. Upon the occurrence of an event of default, the Lender will have the right to exercise remedies against the Company, including the right to require immediate payment of all amounts due under the Loan Note.</w:t>
      </w:r>
    </w:p>
    <w:p>
      <w:pPr>
        <w:spacing w:after="0" w:line="16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Company concluded that it is not reasonably assured that all or a portion of the loan will be forgiven as of December 31, 2023, and therefore accounted for the Job Creation Loan as debt in accordance with ASC Topic 470, Debt, as opposed to an in-substance government grant, and classified as a long-term debt in its consolidated balance sheets as of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17. SUBSEQUENT EVENTS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FDA Approval of Amtagvi™ </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lifileucel)</w:t>
      </w:r>
    </w:p>
    <w:p>
      <w:pPr>
        <w:spacing w:after="0" w:line="95" w:lineRule="exact"/>
        <w:rPr>
          <w:sz w:val="20"/>
          <w:szCs w:val="20"/>
          <w:color w:val="auto"/>
        </w:rPr>
      </w:pPr>
    </w:p>
    <w:p>
      <w:pPr>
        <w:ind w:right="80" w:firstLine="492"/>
        <w:spacing w:after="0" w:line="232" w:lineRule="auto"/>
        <w:rPr>
          <w:sz w:val="20"/>
          <w:szCs w:val="20"/>
          <w:color w:val="auto"/>
        </w:rPr>
      </w:pPr>
      <w:r>
        <w:rPr>
          <w:rFonts w:ascii="Times New Roman" w:cs="Times New Roman" w:eastAsia="Times New Roman" w:hAnsi="Times New Roman"/>
          <w:sz w:val="18"/>
          <w:szCs w:val="18"/>
          <w:color w:val="auto"/>
        </w:rPr>
        <w:t xml:space="preserve">On February 16, 2024, the Company announced that the FDA approved Amtagvi™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lifileucel), a tumor-derived autologous T cell immunotherapy indicated for the treatment of adult patients with unresectable or metastatic melanoma previously treated with a PD-1 blocking antibody, and if BRAF V600 mutation positive, a BRAF inhibitor with or without a MEK inhibitor. This indication is approved under accelerated approval based on an endpoint of ORR.</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187" w:lineRule="exact"/>
        <w:rPr>
          <w:sz w:val="20"/>
          <w:szCs w:val="20"/>
          <w:color w:val="auto"/>
        </w:rPr>
      </w:pPr>
    </w:p>
    <w:p>
      <w:pPr>
        <w:ind w:right="60" w:firstLine="492"/>
        <w:spacing w:after="0" w:line="258" w:lineRule="auto"/>
        <w:rPr>
          <w:sz w:val="20"/>
          <w:szCs w:val="20"/>
          <w:color w:val="auto"/>
        </w:rPr>
      </w:pPr>
      <w:r>
        <w:rPr>
          <w:rFonts w:ascii="Times New Roman" w:cs="Times New Roman" w:eastAsia="Times New Roman" w:hAnsi="Times New Roman"/>
          <w:sz w:val="18"/>
          <w:szCs w:val="18"/>
          <w:color w:val="auto"/>
        </w:rPr>
        <w:t>On February 22, 2024, the Company closed the sale of an aggregate of 23,014,000 shares of its common stock, pursuant to an underwriting agreement with Jefferies, Barclays Capital Inc., and Goldman Sachs &amp; Co. LLC at a public offering price of $9.15 per share, before underwriting discounts and commissions. The total estimated net proceeds to the Company from the offering are expected to be approximately $197.1 million after deducting underwriting discounts and commissions and estimated offering expenses payable by the Company.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7" w:name="page148"/>
    <w:bookmarkEnd w:id="147"/>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151130</wp:posOffset>
            </wp:positionV>
            <wp:extent cx="2057400" cy="10204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3">
                      <a:extLst>
                        <a:ext uri="{28A0092B-C50C-407E-A947-70E740481C1C}"/>
                      </a:extLst>
                    </a:blip>
                    <a:srcRect/>
                    <a:stretch>
                      <a:fillRect/>
                    </a:stretch>
                  </pic:blipFill>
                  <pic:spPr bwMode="auto">
                    <a:xfrm>
                      <a:off x="0" y="0"/>
                      <a:ext cx="205740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Iovance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06"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It is the policy of Iovance Biotechnologies,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that its employees and members of its Board of Directors comply fully with the insider trading securities laws and regulations of the United States, of the several states, and of foreign jurisdictions, wherever they are applicable.</w:t>
      </w:r>
    </w:p>
    <w:p>
      <w:pPr>
        <w:spacing w:after="0" w:line="17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It is illegal for any person, either personally or on behalf of others, to trade in securities on the basis of material nonpublic information. It is also illegal to communicate (to “</w:t>
      </w:r>
      <w:r>
        <w:rPr>
          <w:rFonts w:ascii="Times New Roman" w:cs="Times New Roman" w:eastAsia="Times New Roman" w:hAnsi="Times New Roman"/>
          <w:sz w:val="22"/>
          <w:szCs w:val="22"/>
          <w:b w:val="1"/>
          <w:bCs w:val="1"/>
          <w:color w:val="auto"/>
        </w:rPr>
        <w:t>tip</w:t>
      </w:r>
      <w:r>
        <w:rPr>
          <w:rFonts w:ascii="Times New Roman" w:cs="Times New Roman" w:eastAsia="Times New Roman" w:hAnsi="Times New Roman"/>
          <w:sz w:val="22"/>
          <w:szCs w:val="22"/>
          <w:color w:val="auto"/>
        </w:rPr>
        <w:t>”) material nonpublic information to others so that they may trade in securities on the basis of such information. These illegal activities are commonly referred to as “</w:t>
      </w:r>
      <w:r>
        <w:rPr>
          <w:rFonts w:ascii="Times New Roman" w:cs="Times New Roman" w:eastAsia="Times New Roman" w:hAnsi="Times New Roman"/>
          <w:sz w:val="22"/>
          <w:szCs w:val="22"/>
          <w:b w:val="1"/>
          <w:bCs w:val="1"/>
          <w:color w:val="auto"/>
        </w:rPr>
        <w:t>insider trading</w:t>
      </w:r>
      <w:r>
        <w:rPr>
          <w:rFonts w:ascii="Times New Roman" w:cs="Times New Roman" w:eastAsia="Times New Roman" w:hAnsi="Times New Roman"/>
          <w:sz w:val="22"/>
          <w:szCs w:val="22"/>
          <w:color w:val="auto"/>
        </w:rPr>
        <w:t>.” Penalties for insider trading violations include civil fines of up to three times the profit gained or loss avoided by the trading, criminal fines of up to $1 million, and imprisonment for up to 10 years. There may also be liability to those damaged by the trading. A company whose employee violates the insider trading prohibitions may be liable for a civil fine of up to the greater of $1 million or three times the profit gained or loss avoided as a result of the employee’s insider trading violation.</w:t>
      </w:r>
    </w:p>
    <w:p>
      <w:pPr>
        <w:spacing w:after="0" w:line="174"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SCOPE</w:t>
      </w:r>
    </w:p>
    <w:p>
      <w:pPr>
        <w:spacing w:after="0" w:line="20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This insider trading policy (this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covers all insiders, which includes all directors, officers and employees of the Company, their family members and any corporations, partnerships, trusts or other entities owned or controlled by the foregoing persons and any trusts in which such persons are trustees or beneficiaries or any corporation in which such persons hold more than 20% of the equity or voting rights (collectively referred to as “</w:t>
      </w:r>
      <w:r>
        <w:rPr>
          <w:rFonts w:ascii="Times New Roman" w:cs="Times New Roman" w:eastAsia="Times New Roman" w:hAnsi="Times New Roman"/>
          <w:sz w:val="22"/>
          <w:szCs w:val="22"/>
          <w:b w:val="1"/>
          <w:bCs w:val="1"/>
          <w:color w:val="auto"/>
        </w:rPr>
        <w:t>Insiders</w:t>
      </w:r>
      <w:r>
        <w:rPr>
          <w:rFonts w:ascii="Times New Roman" w:cs="Times New Roman" w:eastAsia="Times New Roman" w:hAnsi="Times New Roman"/>
          <w:sz w:val="22"/>
          <w:szCs w:val="22"/>
          <w:color w:val="auto"/>
        </w:rPr>
        <w:t>”), and any outsiders whom the Board of Directors, Chief Executive Officer, Chief Financial Officer or General Counsel may designate as Insiders because they have or may gain access to material nonpublic information concerning the Company. For purposes of this Policy, “</w:t>
      </w:r>
      <w:r>
        <w:rPr>
          <w:rFonts w:ascii="Times New Roman" w:cs="Times New Roman" w:eastAsia="Times New Roman" w:hAnsi="Times New Roman"/>
          <w:sz w:val="22"/>
          <w:szCs w:val="22"/>
          <w:b w:val="1"/>
          <w:bCs w:val="1"/>
          <w:color w:val="auto"/>
        </w:rPr>
        <w:t>family members</w:t>
      </w:r>
      <w:r>
        <w:rPr>
          <w:rFonts w:ascii="Times New Roman" w:cs="Times New Roman" w:eastAsia="Times New Roman" w:hAnsi="Times New Roman"/>
          <w:sz w:val="22"/>
          <w:szCs w:val="22"/>
          <w:color w:val="auto"/>
        </w:rPr>
        <w:t>” include people who live with Company directors, officers and/or employees, or are financially dependent on Company directors, officers and/or employees, and also include those whose transactions in securities are directed by Company directors, officers and/or employees or are subject to the influence or control of Company directors, officers and/or employees. This policy also applies to all third party consultants engaged by the Company on a direct or individual basis (“</w:t>
      </w:r>
      <w:r>
        <w:rPr>
          <w:rFonts w:ascii="Times New Roman" w:cs="Times New Roman" w:eastAsia="Times New Roman" w:hAnsi="Times New Roman"/>
          <w:sz w:val="22"/>
          <w:szCs w:val="22"/>
          <w:b w:val="1"/>
          <w:bCs w:val="1"/>
          <w:color w:val="auto"/>
        </w:rPr>
        <w:t>Consultants</w:t>
      </w:r>
      <w:r>
        <w:rPr>
          <w:rFonts w:ascii="Times New Roman" w:cs="Times New Roman" w:eastAsia="Times New Roman" w:hAnsi="Times New Roman"/>
          <w:sz w:val="22"/>
          <w:szCs w:val="22"/>
          <w:color w:val="auto"/>
        </w:rPr>
        <w:t>”), but does not apply to third party consultants engaged by the Company through a consultancy firm or other similar entity which may be fairly characterized as routinely providing consultancy services to one or more companies as part of its business model, in which case, any consulting agreement with such firms shall contain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543560</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48" w:name="page149"/>
    <w:bookmarkEnd w:id="148"/>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insider trading provisions as approved by the General Counsel. The determination as to whether this Policy applies to any particular consultant will be made by the General Counsel at the time of engaging such consultant’s services. Each director, officer, employee and Consultant is </w:t>
      </w:r>
      <w:r>
        <w:rPr>
          <w:rFonts w:ascii="Times New Roman" w:cs="Times New Roman" w:eastAsia="Times New Roman" w:hAnsi="Times New Roman"/>
          <w:sz w:val="22"/>
          <w:szCs w:val="22"/>
          <w:i w:val="1"/>
          <w:iCs w:val="1"/>
          <w:u w:val="single" w:color="auto"/>
          <w:color w:val="auto"/>
        </w:rPr>
        <w:t>personally responsible</w:t>
      </w:r>
      <w:r>
        <w:rPr>
          <w:rFonts w:ascii="Times New Roman" w:cs="Times New Roman" w:eastAsia="Times New Roman" w:hAnsi="Times New Roman"/>
          <w:sz w:val="22"/>
          <w:szCs w:val="22"/>
          <w:color w:val="auto"/>
        </w:rPr>
        <w:t xml:space="preserve"> for the actions of their family members and other persons with whom they have a relationship who are subject to this Policy, including any pre-clearances required.</w:t>
      </w:r>
    </w:p>
    <w:p>
      <w:pPr>
        <w:spacing w:after="0" w:line="17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Policy will be delivered to all directors, officers, employees, Consultants and designated outsiders upon its adoption by the Company, and to all new directors, officers, employees, Consultants and designated outsiders at the start of their employment or relationship with the Company. Upon first receiving a copy of this Policy or any revised versions, each Insider, Consultant and designated outsider must sign an acknowledgement that he or she has received a copy and agrees to comply with this Policy’s terms. Officers, employees, directors, certain designated Insiders, Consultants and designated outsiders may be required to certify compliance with this Policy on an annual basis.</w:t>
      </w:r>
    </w:p>
    <w:p>
      <w:pPr>
        <w:spacing w:after="0" w:line="1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Conduct that violates or does not comply with this statement is outside the scope of employment for the Company’s employees. Any employee of the Company who fails to comply with this Policy will be subject to appropriate disciplinary action, which may include suspension or termination of employment.</w:t>
      </w:r>
    </w:p>
    <w:p>
      <w:pPr>
        <w:spacing w:after="0" w:line="169"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w:t>
      </w:r>
    </w:p>
    <w:p>
      <w:pPr>
        <w:spacing w:after="0" w:line="210"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Material Nonpublic Information</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This Policy, applicable to all personnel, prohibits trading in securities, tipping others who might trade, and various other transactions depending on your role with the Company (see Section III(C) – “Pre-clearance Procedures for Insiders – </w:t>
      </w:r>
      <w:r>
        <w:rPr>
          <w:rFonts w:ascii="Times New Roman" w:cs="Times New Roman" w:eastAsia="Times New Roman" w:hAnsi="Times New Roman"/>
          <w:sz w:val="22"/>
          <w:szCs w:val="22"/>
          <w:i w:val="1"/>
          <w:iCs w:val="1"/>
          <w:color w:val="auto"/>
        </w:rPr>
        <w:t>Prohibited Transactions for Covered Persons</w:t>
      </w:r>
      <w:r>
        <w:rPr>
          <w:rFonts w:ascii="Times New Roman" w:cs="Times New Roman" w:eastAsia="Times New Roman" w:hAnsi="Times New Roman"/>
          <w:sz w:val="22"/>
          <w:szCs w:val="22"/>
          <w:color w:val="auto"/>
        </w:rPr>
        <w:t>”), when you know of material nonpublic information.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What information is “material”?</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All information that a reasonable investor might consider important in deciding to buy, sell or hold securities is considered “</w:t>
      </w:r>
      <w:r>
        <w:rPr>
          <w:rFonts w:ascii="Times New Roman" w:cs="Times New Roman" w:eastAsia="Times New Roman" w:hAnsi="Times New Roman"/>
          <w:sz w:val="22"/>
          <w:szCs w:val="22"/>
          <w:b w:val="1"/>
          <w:bCs w:val="1"/>
          <w:color w:val="auto"/>
        </w:rPr>
        <w:t>material</w:t>
      </w:r>
      <w:r>
        <w:rPr>
          <w:rFonts w:ascii="Times New Roman" w:cs="Times New Roman" w:eastAsia="Times New Roman" w:hAnsi="Times New Roman"/>
          <w:sz w:val="22"/>
          <w:szCs w:val="22"/>
          <w:color w:val="auto"/>
        </w:rPr>
        <w:t>.” Either positive or negative information may be material. Information that is likely to affect the price of securities almost always is material. Examples of some types of material information are:</w:t>
      </w:r>
    </w:p>
    <w:p>
      <w:pPr>
        <w:spacing w:after="0" w:line="180" w:lineRule="exact"/>
        <w:rPr>
          <w:sz w:val="20"/>
          <w:szCs w:val="20"/>
          <w:color w:val="auto"/>
        </w:rPr>
      </w:pPr>
    </w:p>
    <w:p>
      <w:pPr>
        <w:jc w:val="both"/>
        <w:ind w:left="1300" w:hanging="320"/>
        <w:spacing w:after="0" w:line="244" w:lineRule="auto"/>
        <w:tabs>
          <w:tab w:leader="none" w:pos="13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regarding the results of the Company’s research and development activities, including the results of clinical trials for the Company’s product candidates or the results from pre-clinical experiments and screenings;</w:t>
      </w:r>
    </w:p>
    <w:p>
      <w:pPr>
        <w:spacing w:after="0" w:line="173"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regarding the status or pace of enrollment of clinical trials for the Company’s product candidates;</w:t>
      </w:r>
    </w:p>
    <w:p>
      <w:pPr>
        <w:spacing w:after="0" w:line="158"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regarding the status of regulatory approval or the regulatory process for any of the Company’s product candidates or products of any of the Company’s collaboration partners;</w:t>
      </w:r>
    </w:p>
    <w:p>
      <w:pPr>
        <w:spacing w:after="0" w:line="158"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negotiating, obtaining or losing important contracts, including, without limitation, licenses and strategic alliances with pharmaceutical companies,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537845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9" w:name="page150"/>
    <w:bookmarkEnd w:id="149"/>
    <w:p>
      <w:pPr>
        <w:ind w:left="1300"/>
        <w:spacing w:after="0" w:line="258" w:lineRule="auto"/>
        <w:rPr>
          <w:sz w:val="20"/>
          <w:szCs w:val="20"/>
          <w:color w:val="auto"/>
        </w:rPr>
      </w:pPr>
      <w:r>
        <w:rPr>
          <w:rFonts w:ascii="Times New Roman" w:cs="Times New Roman" w:eastAsia="Times New Roman" w:hAnsi="Times New Roman"/>
          <w:sz w:val="22"/>
          <w:szCs w:val="22"/>
          <w:color w:val="auto"/>
        </w:rPr>
        <w:t>manufacturing organizations, biotechnology companies, academic institutions, foundations or government agencies;</w:t>
      </w:r>
    </w:p>
    <w:p>
      <w:pPr>
        <w:spacing w:after="0" w:line="159" w:lineRule="exact"/>
        <w:rPr>
          <w:sz w:val="20"/>
          <w:szCs w:val="20"/>
          <w:color w:val="auto"/>
        </w:rPr>
      </w:pPr>
    </w:p>
    <w:p>
      <w:pPr>
        <w:ind w:left="1300" w:hanging="320"/>
        <w:spacing w:after="0" w:line="258" w:lineRule="auto"/>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scientific discoveries, including new product candidates, the mechanism of action of our product candidates, new formulations of our product candidates, etc.;</w:t>
      </w:r>
    </w:p>
    <w:p>
      <w:pPr>
        <w:spacing w:after="0" w:line="158"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progress in obtaining any patents or other intellectual property rights and important product developments;</w:t>
      </w:r>
    </w:p>
    <w:p>
      <w:pPr>
        <w:spacing w:after="0" w:line="15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regarding the sales, marketing and manufacturing of any of the Company’s products;</w:t>
      </w:r>
    </w:p>
    <w:p>
      <w:pPr>
        <w:spacing w:after="0" w:line="206"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results for the quarter or the year and any financial forecasts;</w:t>
      </w:r>
    </w:p>
    <w:p>
      <w:pPr>
        <w:spacing w:after="0" w:line="206"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public or private offerings, mergers, acquisitions, joint ventures, collaborations and other purchases and sales of companies and investments in companies;</w:t>
      </w:r>
    </w:p>
    <w:p>
      <w:pPr>
        <w:spacing w:after="0" w:line="15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financial developments or major personnel changes; and</w:t>
      </w:r>
    </w:p>
    <w:p>
      <w:pPr>
        <w:spacing w:after="0" w:line="206"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litigation developments.</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Remember, if your securities transactions become the subject of scrutiny, they will be reviewed after the fact with the benefit of 20/20 hindsight. As a result, in determining whether to approve your transactions in Company securities as provided below, we may consider how regulators and others might view your transactions with hindsight.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If you are unsure whether information of which you are aware is material or nonpublic, you should consult with the Chief Financial Officer.</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What is nonpublic information?</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Information is considered to be nonpublic unless it has been effectively disclosed to the public and there has been adequate time for the market as a whole to digest such information. Examples of effective disclosure include public filings by the Company with the U.S.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Company press releases, Company meetings with members of the press and the public and Company conference calls on webcasts that are open to the public. Generally, no transactions should take place until at least two (2) business days after the disclosure of material information by the Company. Further restrictions for Covered Persons (as defined below) are set forth in Section III(C).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Prohibited transactions.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When you know material information about the Company that has not been made public, this Policy expressly prohibits the following activities:</w:t>
      </w:r>
    </w:p>
    <w:p>
      <w:pPr>
        <w:spacing w:after="0" w:line="158"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trading in the Company’s securities or derivatives of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551180</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50" w:name="page151"/>
    <w:bookmarkEnd w:id="150"/>
    <w:p>
      <w:pPr>
        <w:ind w:left="1300" w:right="20" w:hanging="320"/>
        <w:spacing w:after="0" w:line="258" w:lineRule="auto"/>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transferring ownership of Company’s securities or derivatives of the Company’s securities in exchange for value, including but not limited to monetizing transactions;</w:t>
      </w:r>
    </w:p>
    <w:p>
      <w:pPr>
        <w:spacing w:after="0" w:line="15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having others trade for you in the Company’s securities or derivatives of the Company’s securities;</w:t>
      </w:r>
    </w:p>
    <w:p>
      <w:pPr>
        <w:spacing w:after="0" w:line="217"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such information to anyone else who might then trade; and</w:t>
      </w:r>
    </w:p>
    <w:p>
      <w:pPr>
        <w:spacing w:after="0" w:line="206"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assisting anyone in any of the foregoing activities.</w:t>
      </w:r>
    </w:p>
    <w:p>
      <w:pPr>
        <w:spacing w:after="0" w:line="20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For purposes of this policy, a “</w:t>
      </w:r>
      <w:r>
        <w:rPr>
          <w:rFonts w:ascii="Times New Roman" w:cs="Times New Roman" w:eastAsia="Times New Roman" w:hAnsi="Times New Roman"/>
          <w:sz w:val="22"/>
          <w:szCs w:val="22"/>
          <w:b w:val="1"/>
          <w:bCs w:val="1"/>
          <w:color w:val="auto"/>
        </w:rPr>
        <w:t>derivative of the Company’s securities</w:t>
      </w:r>
      <w:r>
        <w:rPr>
          <w:rFonts w:ascii="Times New Roman" w:cs="Times New Roman" w:eastAsia="Times New Roman" w:hAnsi="Times New Roman"/>
          <w:sz w:val="22"/>
          <w:szCs w:val="22"/>
          <w:color w:val="auto"/>
        </w:rPr>
        <w:t>” shall mean any contract or other right with a value that is based on the value of the Company’s securities, including, but not limited to, short positions, such as options to sell the Company’s securities, long positions, such as options to buy the Company’s securities, and hedging positions. For purposes of this policy, a “</w:t>
      </w:r>
      <w:r>
        <w:rPr>
          <w:rFonts w:ascii="Times New Roman" w:cs="Times New Roman" w:eastAsia="Times New Roman" w:hAnsi="Times New Roman"/>
          <w:sz w:val="22"/>
          <w:szCs w:val="22"/>
          <w:b w:val="1"/>
          <w:bCs w:val="1"/>
          <w:color w:val="auto"/>
        </w:rPr>
        <w:t>hedging position</w:t>
      </w:r>
      <w:r>
        <w:rPr>
          <w:rFonts w:ascii="Times New Roman" w:cs="Times New Roman" w:eastAsia="Times New Roman" w:hAnsi="Times New Roman"/>
          <w:sz w:val="22"/>
          <w:szCs w:val="22"/>
          <w:color w:val="auto"/>
        </w:rPr>
        <w:t>” is any position that includes both short and long positions in the Company’s securities. For purposes of this policy, a “</w:t>
      </w:r>
      <w:r>
        <w:rPr>
          <w:rFonts w:ascii="Times New Roman" w:cs="Times New Roman" w:eastAsia="Times New Roman" w:hAnsi="Times New Roman"/>
          <w:sz w:val="22"/>
          <w:szCs w:val="22"/>
          <w:b w:val="1"/>
          <w:bCs w:val="1"/>
          <w:color w:val="auto"/>
        </w:rPr>
        <w:t>short position</w:t>
      </w:r>
      <w:r>
        <w:rPr>
          <w:rFonts w:ascii="Times New Roman" w:cs="Times New Roman" w:eastAsia="Times New Roman" w:hAnsi="Times New Roman"/>
          <w:sz w:val="22"/>
          <w:szCs w:val="22"/>
          <w:color w:val="auto"/>
        </w:rPr>
        <w:t>” shall mean any contract or other right with a value that is based on the value of the Company’s securities and that may benefit from a decline in the Company’s stock price, such as an option to sell the Company’s securities (a “</w:t>
      </w:r>
      <w:r>
        <w:rPr>
          <w:rFonts w:ascii="Times New Roman" w:cs="Times New Roman" w:eastAsia="Times New Roman" w:hAnsi="Times New Roman"/>
          <w:sz w:val="22"/>
          <w:szCs w:val="22"/>
          <w:b w:val="1"/>
          <w:bCs w:val="1"/>
          <w:color w:val="auto"/>
        </w:rPr>
        <w:t>put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For purposes of this policy, a “</w:t>
      </w:r>
      <w:r>
        <w:rPr>
          <w:rFonts w:ascii="Times New Roman" w:cs="Times New Roman" w:eastAsia="Times New Roman" w:hAnsi="Times New Roman"/>
          <w:sz w:val="22"/>
          <w:szCs w:val="22"/>
          <w:b w:val="1"/>
          <w:bCs w:val="1"/>
          <w:color w:val="auto"/>
        </w:rPr>
        <w:t>long position</w:t>
      </w:r>
      <w:r>
        <w:rPr>
          <w:rFonts w:ascii="Times New Roman" w:cs="Times New Roman" w:eastAsia="Times New Roman" w:hAnsi="Times New Roman"/>
          <w:sz w:val="22"/>
          <w:szCs w:val="22"/>
          <w:color w:val="auto"/>
        </w:rPr>
        <w:t>” shall mean any contract or other right with a value that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based on the value of the Company’s securities and that may benefit from an increase in the Company’s stock price, such as an option to buy the Company’s securities (a “</w:t>
      </w:r>
      <w:r>
        <w:rPr>
          <w:rFonts w:ascii="Times New Roman" w:cs="Times New Roman" w:eastAsia="Times New Roman" w:hAnsi="Times New Roman"/>
          <w:sz w:val="22"/>
          <w:szCs w:val="22"/>
          <w:b w:val="1"/>
          <w:bCs w:val="1"/>
          <w:color w:val="auto"/>
        </w:rPr>
        <w:t>call option</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Neither you nor anyone acting on your behalf nor anyone who learns the information from you can trade. This prohibition continues whenever and for as long as the information is material and nonpublic. The restrictions in this Policy apply to your spouse, your dependents and other members of your household. You are responsible for their compliance with this Policy.</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Although it is most likely that any material nonpublic information you might learn would be about the Company, these prohibitions also apply to trading in the securities of any company about which you have material nonpublic information.</w:t>
      </w:r>
    </w:p>
    <w:p>
      <w:pPr>
        <w:spacing w:after="0" w:line="173"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Unauthorized Disclosure</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As discussed above, the disclosure of material nonpublic information to others can lead to significant legal difficulties. Therefore, you should not discuss material nonpublic information about the Company with anyone, including other employees, except as required in the performance of your regular duties.</w:t>
      </w:r>
    </w:p>
    <w:p>
      <w:pPr>
        <w:spacing w:after="0" w:line="17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In any instance in which such information is disclosed to outsiders, the Company shall take such steps as are necessary to preserve the confidentiality of the information, including requiring the outsider to agree in writing to comply with the terms of this Policy and/or to sign a confidentiality agreement. All inquiries from outsiders regarding material nonpublic information about the Company must be forwarded to the Corporate Communications &amp; Investor Relations department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549910</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51" w:name="page152"/>
    <w:bookmarkEnd w:id="151"/>
    <w:p>
      <w:pPr>
        <w:jc w:val="both"/>
        <w:ind w:firstLine="648"/>
        <w:spacing w:after="0"/>
        <w:rPr>
          <w:sz w:val="20"/>
          <w:szCs w:val="20"/>
          <w:color w:val="auto"/>
        </w:rPr>
      </w:pPr>
      <w:r>
        <w:rPr>
          <w:rFonts w:ascii="Times New Roman" w:cs="Times New Roman" w:eastAsia="Times New Roman" w:hAnsi="Times New Roman"/>
          <w:sz w:val="22"/>
          <w:szCs w:val="22"/>
          <w:color w:val="auto"/>
        </w:rPr>
        <w:t>It is important that only specifically designated representatives of the Company discuss the Company and information about the Company with the news media, securities analysts and investors. Inquiries of this type received by any employee should be referred to the Corporate Communications &amp; Investor Relations department of the Company.</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Company strongly discourages all Insiders and Consultants from giving trading advice concerning the Company to third parties even when the Insiders and Consultants do not possess material nonpublic information about the Company.</w:t>
      </w:r>
    </w:p>
    <w:p>
      <w:pPr>
        <w:spacing w:after="0" w:line="173"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 Procedures for Insiders and Consultants</w:t>
      </w:r>
    </w:p>
    <w:p>
      <w:pPr>
        <w:spacing w:after="0" w:line="20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Insiders and Consultants must obtain written pre-clearance from the Chief Financial Officer before engaging in any personal transaction in Company securities after complying with the following procedures. First, a written request on the form attached hereto for pre-clearance stating the number of Company securities to be purchased or sold and the nature of the transaction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sale or purchase in the open market, private sale or purchase, transfer for estate planning purposes, charitable contribution, etc.) must be submitted to the Chief Financial Officer. The Chief Financial Officer must respond in writing by signing the form or responding via email. You will generally receive a response within one (1) business day. Unless a different period is specified, clearance for sales or purchases on the open market is good only until the close of the stock market on the fifth (5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trading day following the day on which you received clearance, excluding the day you receive clearance. For purposes of counting the five-trading day period, a trading day is defined as any day in which The Nasdaq Global Market is open to trading activity, and the first trading day after clearance is received is considered day one. If you have not executed your transaction within this period, you must again pre-clear your transaction.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Prohibited Transactions for Covered Persons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restrictions apply to all Covered Persons:</w:t>
      </w:r>
    </w:p>
    <w:p>
      <w:pPr>
        <w:spacing w:after="0" w:line="206" w:lineRule="exact"/>
        <w:rPr>
          <w:sz w:val="20"/>
          <w:szCs w:val="20"/>
          <w:color w:val="auto"/>
        </w:rPr>
      </w:pPr>
    </w:p>
    <w:p>
      <w:pPr>
        <w:ind w:left="1300" w:hanging="320"/>
        <w:spacing w:after="0" w:line="258" w:lineRule="auto"/>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Persons who purchase Company securities may not sell any Company securities of the same class for at least six months after the purchase;</w:t>
      </w:r>
    </w:p>
    <w:p>
      <w:pPr>
        <w:spacing w:after="0" w:line="15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Persons may not sell the Company’s securities short;</w:t>
      </w:r>
    </w:p>
    <w:p>
      <w:pPr>
        <w:spacing w:after="0" w:line="206"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Persons may not buy or sell puts or calls or other derivative securities on the Company’s securities;</w:t>
      </w:r>
    </w:p>
    <w:p>
      <w:pPr>
        <w:spacing w:after="0" w:line="158"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Persons may not hold Company securities in a margin account or pledge Company securities as collateral for a loan; and</w:t>
      </w:r>
    </w:p>
    <w:p>
      <w:pPr>
        <w:spacing w:after="0" w:line="158"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Persons may not enter into hedging or monetization transactions or similar arrangements with respect to Company securities.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Covered Persons</w:t>
      </w:r>
      <w:r>
        <w:rPr>
          <w:rFonts w:ascii="Times New Roman" w:cs="Times New Roman" w:eastAsia="Times New Roman" w:hAnsi="Times New Roman"/>
          <w:sz w:val="22"/>
          <w:szCs w:val="22"/>
          <w:color w:val="auto"/>
        </w:rPr>
        <w:t>” include:</w:t>
      </w:r>
    </w:p>
    <w:p>
      <w:pPr>
        <w:spacing w:after="0" w:line="210"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each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551180</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52" w:name="page153"/>
    <w:bookmarkEnd w:id="152"/>
    <w:p>
      <w:pPr>
        <w:jc w:val="both"/>
        <w:ind w:left="1300" w:hanging="320"/>
        <w:spacing w:after="0" w:line="244" w:lineRule="auto"/>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officer of the Company who has been designated by the Board of Directors as an executive officer for purposes of the reporting requirements and trading restrictions of Section 16 of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and</w:t>
      </w:r>
    </w:p>
    <w:p>
      <w:pPr>
        <w:spacing w:after="0" w:line="174" w:lineRule="exact"/>
        <w:rPr>
          <w:rFonts w:ascii="Times New Roman" w:cs="Times New Roman" w:eastAsia="Times New Roman" w:hAnsi="Times New Roman"/>
          <w:sz w:val="22"/>
          <w:szCs w:val="22"/>
          <w:color w:val="auto"/>
        </w:rPr>
      </w:pPr>
    </w:p>
    <w:p>
      <w:pPr>
        <w:jc w:val="both"/>
        <w:ind w:left="1300" w:right="20" w:hanging="320"/>
        <w:spacing w:after="0" w:line="244" w:lineRule="auto"/>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additional persons that either the Board of Directors, the Chief Financial Officer or General Counsel may designate from time to time as being subject to this Policy for Covered Persons by delivering to such persons a written notice of designation.</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Additionally, in connection with each transaction in the Company’s securities, Covered Persons are required to ensure (i) compliance with SEC Rule 144, if required; and (ii) the preparation of the requisite Forms 3, 4 or 5 to be filed with the SEC. Our legal counsel will assist you in the preparation and filing of such forms.</w:t>
      </w:r>
    </w:p>
    <w:p>
      <w:pPr>
        <w:spacing w:after="0" w:line="173"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Blackout Periods</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period beginning with the last day of the last calendar month of each quarter and ending two (2) trading days following the date of public disclosure of the financial results for that quarter (the “</w:t>
      </w:r>
      <w:r>
        <w:rPr>
          <w:rFonts w:ascii="Times New Roman" w:cs="Times New Roman" w:eastAsia="Times New Roman" w:hAnsi="Times New Roman"/>
          <w:sz w:val="22"/>
          <w:szCs w:val="22"/>
          <w:b w:val="1"/>
          <w:bCs w:val="1"/>
          <w:color w:val="auto"/>
        </w:rPr>
        <w:t>Quarterly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Blackout Period</w:t>
      </w:r>
      <w:r>
        <w:rPr>
          <w:rFonts w:ascii="Times New Roman" w:cs="Times New Roman" w:eastAsia="Times New Roman" w:hAnsi="Times New Roman"/>
          <w:sz w:val="22"/>
          <w:szCs w:val="22"/>
          <w:color w:val="auto"/>
        </w:rPr>
        <w:t>”) is a particularly sensitive period of time for transactions in the Company's stock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perspective of compliance with applicable securities laws. This sensitivity is due to the fact that officers, directors and certain other employees and consultants will, during that period, often possess material nonpublic information about the expected financial results for the quarter. Except as set forth in Section IV, no Covered Person, Insider or Consultant may trade in Company securities during a Quarterly Blackout Period, although the Board of Directors or Chief Financial Officer may waive the restriction if it is determined that such person does not possess material nonpublic information.</w:t>
      </w:r>
    </w:p>
    <w:p>
      <w:pPr>
        <w:spacing w:after="0" w:line="18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Chief Financial Officer, in consultation with Company management, may, from time to time, designate special blackout periods (“</w:t>
      </w:r>
      <w:r>
        <w:rPr>
          <w:rFonts w:ascii="Times New Roman" w:cs="Times New Roman" w:eastAsia="Times New Roman" w:hAnsi="Times New Roman"/>
          <w:sz w:val="22"/>
          <w:szCs w:val="22"/>
          <w:b w:val="1"/>
          <w:bCs w:val="1"/>
          <w:color w:val="auto"/>
        </w:rPr>
        <w:t>Special Blackout Periods</w:t>
      </w:r>
      <w:r>
        <w:rPr>
          <w:rFonts w:ascii="Times New Roman" w:cs="Times New Roman" w:eastAsia="Times New Roman" w:hAnsi="Times New Roman"/>
          <w:sz w:val="22"/>
          <w:szCs w:val="22"/>
          <w:color w:val="auto"/>
        </w:rPr>
        <w:t>” and together with a Quarterly Blackout Period, a “</w:t>
      </w:r>
      <w:r>
        <w:rPr>
          <w:rFonts w:ascii="Times New Roman" w:cs="Times New Roman" w:eastAsia="Times New Roman" w:hAnsi="Times New Roman"/>
          <w:sz w:val="22"/>
          <w:szCs w:val="22"/>
          <w:b w:val="1"/>
          <w:bCs w:val="1"/>
          <w:color w:val="auto"/>
        </w:rPr>
        <w:t>Blackout Period</w:t>
      </w:r>
      <w:r>
        <w:rPr>
          <w:rFonts w:ascii="Times New Roman" w:cs="Times New Roman" w:eastAsia="Times New Roman" w:hAnsi="Times New Roman"/>
          <w:sz w:val="22"/>
          <w:szCs w:val="22"/>
          <w:color w:val="auto"/>
        </w:rPr>
        <w:t>”) during which trading in Company securities by all Covered Persons, Insiders and Consultants shall be prohibited.</w:t>
      </w:r>
    </w:p>
    <w:p>
      <w:pPr>
        <w:spacing w:after="0" w:line="18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No Covered Person, Insider or Consultant may disclose to any outside third party that a Special Blackout Period has been designated.</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IV.</w:t>
        <w:tab/>
        <w:t>EXCEPTIONS</w:t>
      </w:r>
    </w:p>
    <w:p>
      <w:pPr>
        <w:spacing w:after="0" w:line="210"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 for Pre-approved 10b5-1 Plans</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Trades in the Company’s securities that are executed pursuant to a 10b5-1 plan approved in advance by the Company are not subject to the prohibition on trading on the basis of material nonpublic information contained in this Policy or to the preclearance restrictions set forth above.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Components of a 10b5-1 Plan</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Rule 10b5-1 under the Exchange Act provides an affirmative defense from insider trading liability under the federal securities laws for trading plans that meet certain requirements. In general, a 10b5-1 trading plan (a “</w:t>
      </w:r>
      <w:r>
        <w:rPr>
          <w:rFonts w:ascii="Times New Roman" w:cs="Times New Roman" w:eastAsia="Times New Roman" w:hAnsi="Times New Roman"/>
          <w:sz w:val="22"/>
          <w:szCs w:val="22"/>
          <w:b w:val="1"/>
          <w:bCs w:val="1"/>
          <w:color w:val="auto"/>
        </w:rPr>
        <w:t>10b5-1 plan</w:t>
      </w:r>
      <w:r>
        <w:rPr>
          <w:rFonts w:ascii="Times New Roman" w:cs="Times New Roman" w:eastAsia="Times New Roman" w:hAnsi="Times New Roman"/>
          <w:sz w:val="22"/>
          <w:szCs w:val="22"/>
          <w:color w:val="auto"/>
        </w:rPr>
        <w:t>”) must be entered into before you are aware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547370</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53" w:name="page154"/>
    <w:bookmarkEnd w:id="153"/>
    <w:p>
      <w:pPr>
        <w:jc w:val="both"/>
        <w:spacing w:after="0"/>
        <w:rPr>
          <w:sz w:val="20"/>
          <w:szCs w:val="20"/>
          <w:color w:val="auto"/>
        </w:rPr>
      </w:pPr>
      <w:r>
        <w:rPr>
          <w:rFonts w:ascii="Times New Roman" w:cs="Times New Roman" w:eastAsia="Times New Roman" w:hAnsi="Times New Roman"/>
          <w:sz w:val="22"/>
          <w:szCs w:val="22"/>
          <w:color w:val="auto"/>
        </w:rPr>
        <w:t>material nonpublic information. Once the plan is adopted, you must not exercise any influence over the amount of securities to be traded, the price at which they are to be traded or the date of the trade. The plan must either specify (including by formula) the amount, pricing and timing of transactions in advance or delegate discretion on those matters to an independent third party.</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Company requires that all 10b5-1 plans and any amendments to 10b5-1 plans be approved in writing in advance by the Chief Executive Officer, Chief Financial Officer or General Counsel. To establish a 10b5-1 plan, you must:</w:t>
      </w:r>
    </w:p>
    <w:p>
      <w:pPr>
        <w:spacing w:after="0" w:line="173" w:lineRule="exact"/>
        <w:rPr>
          <w:sz w:val="20"/>
          <w:szCs w:val="20"/>
          <w:color w:val="auto"/>
        </w:rPr>
      </w:pPr>
    </w:p>
    <w:p>
      <w:pPr>
        <w:ind w:left="1300" w:hanging="320"/>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an Insider;</w:t>
      </w:r>
    </w:p>
    <w:p>
      <w:pPr>
        <w:spacing w:after="0" w:line="206"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the Company’s finance team at stockadmin@iovance.com at least 25 business days prior to the start of the next Blackout Period to request instructions for creating a 10b5-1 plan with the Company’s plan provider; and</w:t>
      </w:r>
    </w:p>
    <w:p>
      <w:pPr>
        <w:spacing w:after="0" w:line="173" w:lineRule="exact"/>
        <w:rPr>
          <w:rFonts w:ascii="Times New Roman" w:cs="Times New Roman" w:eastAsia="Times New Roman" w:hAnsi="Times New Roman"/>
          <w:sz w:val="22"/>
          <w:szCs w:val="22"/>
          <w:color w:val="auto"/>
        </w:rPr>
      </w:pPr>
    </w:p>
    <w:p>
      <w:pPr>
        <w:jc w:val="both"/>
        <w:ind w:left="1300" w:hanging="320"/>
        <w:spacing w:after="0" w:line="235" w:lineRule="auto"/>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 the completed 10b5-1 plan to the Company’s finance team, including all exhibits (in accordance with the instructions provided to you), at least 20 business days prior to the start of the next Blackout Period. Plans submitted to the Company’s finance team will then be reviewed to ensure compliance with this policy and applicable securities laws. Any person that submits a 10b5-1 plan to the Company’s finance team for review acknowledges that approval of such plan for submission to the Company’s plan provider is within the sole discretion of the Company, and that the Company reserves the right to make any and all changes to the plan or to condition approval of the plan upon the acceptance of one or more changes to the plan.</w:t>
      </w:r>
    </w:p>
    <w:p>
      <w:pPr>
        <w:spacing w:after="0" w:line="17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10b5-1 plans submitted to the Company’s finance team must be finalized and submitted to the Company’s plan provider at least ten (10) business days prior to the start of the next Blackout Period, and must be countersigned by the Company’s plan provider at least one (1) business day prior to the start of such Blackout Period (plans that are not submitted to or approved by the Company’s plan provider within this timeframe will not become effective and will be deemed null and void, even if all of the other conditions of this section are satisfied. This applies to plans that are in process but have not yet been fully executed prior to the start of an unscheduled Special Blackout Period).</w:t>
      </w:r>
    </w:p>
    <w:p>
      <w:pPr>
        <w:spacing w:after="0" w:line="18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Once you receive approval of your 10b5-1 plan, you do not need clearance for any of your trades under such plan pursuant to Section III.C of this policy (for purposes of this section, the pre-clearance requirement specified in Section III.C is deemed satisfied upon review and approval of your 10b5-1 plan by the Company, as communicated to you by the Chief Financial Officer or General Counsel).</w:t>
      </w:r>
    </w:p>
    <w:p>
      <w:pPr>
        <w:spacing w:after="0" w:line="18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10b5-1 plans may only be adopted or amended while the person adopting or amending the plan is not aware of any material nonpublic information and while there is not currently a Blackout Period in effect.</w:t>
      </w:r>
    </w:p>
    <w:p>
      <w:pPr>
        <w:spacing w:after="0" w:line="15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Notwithstanding the foregoing, the Company may withhold or condition pre-clearance of any proposed 10b5-1 plan (each, a “</w:t>
      </w:r>
      <w:r>
        <w:rPr>
          <w:rFonts w:ascii="Times New Roman" w:cs="Times New Roman" w:eastAsia="Times New Roman" w:hAnsi="Times New Roman"/>
          <w:sz w:val="22"/>
          <w:szCs w:val="22"/>
          <w:b w:val="1"/>
          <w:bCs w:val="1"/>
          <w:color w:val="auto"/>
        </w:rPr>
        <w:t>Proposed Plan</w:t>
      </w:r>
      <w:r>
        <w:rPr>
          <w:rFonts w:ascii="Times New Roman" w:cs="Times New Roman" w:eastAsia="Times New Roman" w:hAnsi="Times New Roman"/>
          <w:sz w:val="22"/>
          <w:szCs w:val="22"/>
          <w:color w:val="auto"/>
        </w:rPr>
        <w:t>”) for any reason, in the Company’s sole discretion. Additionally: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54" w:name="page155"/>
    <w:bookmarkEnd w:id="154"/>
    <w:p>
      <w:pPr>
        <w:ind w:left="520" w:hanging="324"/>
        <w:spacing w:after="0"/>
        <w:tabs>
          <w:tab w:leader="none" w:pos="5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pre-clear a Proposed Plan if it concludes that the Proposed Plan:</w:t>
      </w:r>
    </w:p>
    <w:p>
      <w:pPr>
        <w:spacing w:after="0" w:line="206" w:lineRule="exact"/>
        <w:rPr>
          <w:rFonts w:ascii="Times New Roman" w:cs="Times New Roman" w:eastAsia="Times New Roman" w:hAnsi="Times New Roman"/>
          <w:sz w:val="22"/>
          <w:szCs w:val="22"/>
          <w:color w:val="auto"/>
        </w:rPr>
      </w:pPr>
    </w:p>
    <w:p>
      <w:pPr>
        <w:ind w:left="840" w:hanging="320"/>
        <w:spacing w:after="0"/>
        <w:tabs>
          <w:tab w:leader="none" w:pos="8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to comply with the requirements of Rule 10b5-1, as amended from time to time;</w:t>
      </w:r>
    </w:p>
    <w:p>
      <w:pPr>
        <w:spacing w:after="0" w:line="206" w:lineRule="exact"/>
        <w:rPr>
          <w:rFonts w:ascii="Times New Roman" w:cs="Times New Roman" w:eastAsia="Times New Roman" w:hAnsi="Times New Roman"/>
          <w:sz w:val="22"/>
          <w:szCs w:val="22"/>
          <w:color w:val="auto"/>
        </w:rPr>
      </w:pPr>
    </w:p>
    <w:p>
      <w:pPr>
        <w:jc w:val="both"/>
        <w:ind w:left="840" w:hanging="320"/>
        <w:spacing w:after="0" w:line="239" w:lineRule="auto"/>
        <w:tabs>
          <w:tab w:leader="none" w:pos="8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Would permit a transaction to occur before the </w:t>
      </w:r>
      <w:r>
        <w:rPr>
          <w:rFonts w:ascii="Times New Roman" w:cs="Times New Roman" w:eastAsia="Times New Roman" w:hAnsi="Times New Roman"/>
          <w:sz w:val="22"/>
          <w:szCs w:val="22"/>
          <w:u w:val="single" w:color="auto"/>
          <w:color w:val="auto"/>
        </w:rPr>
        <w:t>later</w:t>
      </w:r>
      <w:r>
        <w:rPr>
          <w:rFonts w:ascii="Times New Roman" w:cs="Times New Roman" w:eastAsia="Times New Roman" w:hAnsi="Times New Roman"/>
          <w:sz w:val="22"/>
          <w:szCs w:val="22"/>
          <w:color w:val="auto"/>
        </w:rPr>
        <w:t xml:space="preserve"> of (i) 90 days after adoption (including deemed adoption) of the Proposed Plan or (ii) two (2) business days after disclosure of the issuer’s financial results in a Form 10-Q or Form 10-K for the quarter in which the Proposed Plan was adopted (subject to a maximum of 120 days after adoption of the Proposed Plan);</w:t>
      </w:r>
    </w:p>
    <w:p>
      <w:pPr>
        <w:spacing w:after="0" w:line="180" w:lineRule="exact"/>
        <w:rPr>
          <w:rFonts w:ascii="Times New Roman" w:cs="Times New Roman" w:eastAsia="Times New Roman" w:hAnsi="Times New Roman"/>
          <w:sz w:val="22"/>
          <w:szCs w:val="22"/>
          <w:color w:val="auto"/>
        </w:rPr>
      </w:pPr>
    </w:p>
    <w:p>
      <w:pPr>
        <w:jc w:val="both"/>
        <w:ind w:left="840" w:hanging="320"/>
        <w:spacing w:after="0" w:line="244" w:lineRule="auto"/>
        <w:tabs>
          <w:tab w:leader="none" w:pos="8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established during a Blackout Period, or the Insider is unable to represent to the satisfaction of the Company that the Insider is not in possession of material nonpublic information regarding the Company;</w:t>
      </w:r>
    </w:p>
    <w:p>
      <w:pPr>
        <w:spacing w:after="0" w:line="173" w:lineRule="exact"/>
        <w:rPr>
          <w:rFonts w:ascii="Times New Roman" w:cs="Times New Roman" w:eastAsia="Times New Roman" w:hAnsi="Times New Roman"/>
          <w:sz w:val="22"/>
          <w:szCs w:val="22"/>
          <w:color w:val="auto"/>
        </w:rPr>
      </w:pPr>
    </w:p>
    <w:p>
      <w:pPr>
        <w:jc w:val="both"/>
        <w:ind w:left="840" w:hanging="320"/>
        <w:spacing w:after="0" w:line="244" w:lineRule="auto"/>
        <w:tabs>
          <w:tab w:leader="none" w:pos="8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Lacks appropriate mechanisms to ensure that the Insider complies with all rules and regulations, including Rule 144, Rule 701, Form S-8, and Section 16 of the Exchange Act, applicable to securities transactions by the Insider;</w:t>
      </w:r>
    </w:p>
    <w:p>
      <w:pPr>
        <w:spacing w:after="0" w:line="173" w:lineRule="exact"/>
        <w:rPr>
          <w:rFonts w:ascii="Times New Roman" w:cs="Times New Roman" w:eastAsia="Times New Roman" w:hAnsi="Times New Roman"/>
          <w:sz w:val="22"/>
          <w:szCs w:val="22"/>
          <w:color w:val="auto"/>
        </w:rPr>
      </w:pPr>
    </w:p>
    <w:p>
      <w:pPr>
        <w:jc w:val="both"/>
        <w:ind w:left="840" w:hanging="320"/>
        <w:spacing w:after="0" w:line="239" w:lineRule="auto"/>
        <w:tabs>
          <w:tab w:leader="none" w:pos="8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provide the Company the right to suspend all transactions under the Proposed Plan if the Company, in its sole discretion, deems such suspension necessary or advisable, including suspensions to comply with any “lock-up” agreement the Company agrees to in connection with a financing or other similar events;</w:t>
      </w:r>
    </w:p>
    <w:p>
      <w:pPr>
        <w:spacing w:after="0" w:line="180" w:lineRule="exact"/>
        <w:rPr>
          <w:rFonts w:ascii="Times New Roman" w:cs="Times New Roman" w:eastAsia="Times New Roman" w:hAnsi="Times New Roman"/>
          <w:sz w:val="22"/>
          <w:szCs w:val="22"/>
          <w:color w:val="auto"/>
        </w:rPr>
      </w:pPr>
    </w:p>
    <w:p>
      <w:pPr>
        <w:ind w:left="840" w:hanging="320"/>
        <w:spacing w:after="0"/>
        <w:tabs>
          <w:tab w:leader="none" w:pos="84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Exposes the Company to liability under any other applicable state or federal rule, regulation or law;</w:t>
      </w:r>
    </w:p>
    <w:p>
      <w:pPr>
        <w:spacing w:after="0" w:line="217" w:lineRule="exact"/>
        <w:rPr>
          <w:rFonts w:ascii="Times New Roman" w:cs="Times New Roman" w:eastAsia="Times New Roman" w:hAnsi="Times New Roman"/>
          <w:sz w:val="21"/>
          <w:szCs w:val="21"/>
          <w:color w:val="auto"/>
        </w:rPr>
      </w:pPr>
    </w:p>
    <w:p>
      <w:pPr>
        <w:ind w:left="840" w:hanging="320"/>
        <w:spacing w:after="0"/>
        <w:tabs>
          <w:tab w:leader="none" w:pos="8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Creates any appearance of impropriety;</w:t>
      </w:r>
    </w:p>
    <w:p>
      <w:pPr>
        <w:spacing w:after="0" w:line="206" w:lineRule="exact"/>
        <w:rPr>
          <w:rFonts w:ascii="Times New Roman" w:cs="Times New Roman" w:eastAsia="Times New Roman" w:hAnsi="Times New Roman"/>
          <w:sz w:val="22"/>
          <w:szCs w:val="22"/>
          <w:color w:val="auto"/>
        </w:rPr>
      </w:pPr>
    </w:p>
    <w:p>
      <w:pPr>
        <w:ind w:left="840" w:hanging="320"/>
        <w:spacing w:after="0"/>
        <w:tabs>
          <w:tab w:leader="none" w:pos="8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to meet guidelines established by the Company; or</w:t>
      </w:r>
    </w:p>
    <w:p>
      <w:pPr>
        <w:spacing w:after="0" w:line="206" w:lineRule="exact"/>
        <w:rPr>
          <w:rFonts w:ascii="Times New Roman" w:cs="Times New Roman" w:eastAsia="Times New Roman" w:hAnsi="Times New Roman"/>
          <w:sz w:val="22"/>
          <w:szCs w:val="22"/>
          <w:color w:val="auto"/>
        </w:rPr>
      </w:pPr>
    </w:p>
    <w:p>
      <w:pPr>
        <w:ind w:left="840" w:hanging="320"/>
        <w:spacing w:after="0"/>
        <w:tabs>
          <w:tab w:leader="none" w:pos="8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fails to satisfy the Company for any reason.</w:t>
      </w:r>
    </w:p>
    <w:p>
      <w:pPr>
        <w:spacing w:after="0" w:line="206" w:lineRule="exact"/>
        <w:rPr>
          <w:rFonts w:ascii="Times New Roman" w:cs="Times New Roman" w:eastAsia="Times New Roman" w:hAnsi="Times New Roman"/>
          <w:sz w:val="22"/>
          <w:szCs w:val="22"/>
          <w:color w:val="auto"/>
        </w:rPr>
      </w:pPr>
    </w:p>
    <w:p>
      <w:pPr>
        <w:jc w:val="both"/>
        <w:ind w:left="520" w:hanging="324"/>
        <w:spacing w:after="0" w:line="253" w:lineRule="auto"/>
        <w:tabs>
          <w:tab w:leader="none" w:pos="5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modifications to or deviations from a 10b5-1 Plan are deemed to be the Insider entering into a new 10b5-1 Plan and, accordingly, require pre-clearance of such modification or deviation at least five</w:t>
      </w:r>
    </w:p>
    <w:p>
      <w:pPr>
        <w:ind w:left="520" w:right="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 full trading days prior to entry into or modification of the 10b5-1 Plan and be accompanied by a copy of the plan.</w:t>
      </w:r>
    </w:p>
    <w:p>
      <w:pPr>
        <w:spacing w:after="0" w:line="178" w:lineRule="exact"/>
        <w:rPr>
          <w:rFonts w:ascii="Times New Roman" w:cs="Times New Roman" w:eastAsia="Times New Roman" w:hAnsi="Times New Roman"/>
          <w:sz w:val="21"/>
          <w:szCs w:val="21"/>
          <w:color w:val="auto"/>
        </w:rPr>
      </w:pPr>
    </w:p>
    <w:p>
      <w:pPr>
        <w:jc w:val="both"/>
        <w:ind w:left="520" w:hanging="324"/>
        <w:spacing w:after="0" w:line="238" w:lineRule="auto"/>
        <w:tabs>
          <w:tab w:leader="none" w:pos="5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termination of a 10b5-1 Plan must be immediately reported to the Company’s finance team. If an Insider has pre-cleared a new 10b5-1 Plan (the “</w:t>
      </w:r>
      <w:r>
        <w:rPr>
          <w:rFonts w:ascii="Times New Roman" w:cs="Times New Roman" w:eastAsia="Times New Roman" w:hAnsi="Times New Roman"/>
          <w:sz w:val="22"/>
          <w:szCs w:val="22"/>
          <w:b w:val="1"/>
          <w:bCs w:val="1"/>
          <w:color w:val="auto"/>
        </w:rPr>
        <w:t>Second Plan</w:t>
      </w:r>
      <w:r>
        <w:rPr>
          <w:rFonts w:ascii="Times New Roman" w:cs="Times New Roman" w:eastAsia="Times New Roman" w:hAnsi="Times New Roman"/>
          <w:sz w:val="22"/>
          <w:szCs w:val="22"/>
          <w:color w:val="auto"/>
        </w:rPr>
        <w:t>”) intended to succeed an earlier pre-cleared 10b5-1 Plan (the “</w:t>
      </w:r>
      <w:r>
        <w:rPr>
          <w:rFonts w:ascii="Times New Roman" w:cs="Times New Roman" w:eastAsia="Times New Roman" w:hAnsi="Times New Roman"/>
          <w:sz w:val="22"/>
          <w:szCs w:val="22"/>
          <w:b w:val="1"/>
          <w:bCs w:val="1"/>
          <w:color w:val="auto"/>
        </w:rPr>
        <w:t>First Plan</w:t>
      </w:r>
      <w:r>
        <w:rPr>
          <w:rFonts w:ascii="Times New Roman" w:cs="Times New Roman" w:eastAsia="Times New Roman" w:hAnsi="Times New Roman"/>
          <w:sz w:val="22"/>
          <w:szCs w:val="22"/>
          <w:color w:val="auto"/>
        </w:rPr>
        <w:t>”), the Insider may not affirmatively terminate the First Plan without pre-clearance at least five (5) full trading days prior to such termination because such termination is deemed to be entering into the Second Plan.</w:t>
      </w:r>
    </w:p>
    <w:p>
      <w:pPr>
        <w:spacing w:after="0" w:line="176" w:lineRule="exact"/>
        <w:rPr>
          <w:rFonts w:ascii="Times New Roman" w:cs="Times New Roman" w:eastAsia="Times New Roman" w:hAnsi="Times New Roman"/>
          <w:sz w:val="22"/>
          <w:szCs w:val="22"/>
          <w:color w:val="auto"/>
        </w:rPr>
      </w:pPr>
    </w:p>
    <w:p>
      <w:pPr>
        <w:ind w:left="520" w:right="20" w:hanging="324"/>
        <w:spacing w:after="0" w:line="258" w:lineRule="auto"/>
        <w:tabs>
          <w:tab w:leader="none" w:pos="5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the Company’s officers, employees or other representatives shall be deemed, solely by their pre-clearance of a Proposed Plan,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615315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155" w:name="page156"/>
    <w:bookmarkEnd w:id="155"/>
    <w:p>
      <w:pPr>
        <w:ind w:left="980" w:right="20"/>
        <w:spacing w:after="0" w:line="259" w:lineRule="auto"/>
        <w:rPr>
          <w:sz w:val="20"/>
          <w:szCs w:val="20"/>
          <w:color w:val="auto"/>
        </w:rPr>
      </w:pPr>
      <w:r>
        <w:rPr>
          <w:rFonts w:ascii="Times New Roman" w:cs="Times New Roman" w:eastAsia="Times New Roman" w:hAnsi="Times New Roman"/>
          <w:sz w:val="22"/>
          <w:szCs w:val="22"/>
          <w:color w:val="auto"/>
        </w:rPr>
        <w:t>have represented that it complies with Rule 10b5-1 or to have assumed any liability or responsibility to the Insider or any other party if the 10b5-1 Plan fails to comply with Rule 10b5-1.</w:t>
      </w:r>
    </w:p>
    <w:p>
      <w:pPr>
        <w:spacing w:after="0" w:line="157" w:lineRule="exact"/>
        <w:rPr>
          <w:sz w:val="20"/>
          <w:szCs w:val="20"/>
          <w:color w:val="auto"/>
        </w:rPr>
      </w:pPr>
    </w:p>
    <w:p>
      <w:pPr>
        <w:jc w:val="both"/>
        <w:ind w:left="980" w:hanging="324"/>
        <w:spacing w:after="0" w:line="239" w:lineRule="auto"/>
        <w:tabs>
          <w:tab w:leader="none" w:pos="98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entering into or amending a 10b5-1 Plan, the Insider must promptly provide a copy of the plan to the Company and, upon request, confirm the Company’s planned disclosure regarding the entry into or termination of a plan (including the date of adoption or termination of the plan, duration of the plan, and aggregate number of securities to be sold or purchased under the plan.</w:t>
      </w:r>
    </w:p>
    <w:p>
      <w:pPr>
        <w:spacing w:after="0" w:line="180" w:lineRule="exact"/>
        <w:rPr>
          <w:rFonts w:ascii="Times New Roman" w:cs="Times New Roman" w:eastAsia="Times New Roman" w:hAnsi="Times New Roman"/>
          <w:sz w:val="22"/>
          <w:szCs w:val="22"/>
          <w:color w:val="auto"/>
        </w:rPr>
      </w:pPr>
    </w:p>
    <w:p>
      <w:pPr>
        <w:ind w:left="660" w:right="4280" w:hanging="652"/>
        <w:spacing w:after="0" w:line="456" w:lineRule="auto"/>
        <w:tabs>
          <w:tab w:leader="none" w:pos="66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 xml:space="preserve">Exception for Stock Plans, Gifts, and Divorce Decrees </w:t>
      </w:r>
      <w:r>
        <w:rPr>
          <w:rFonts w:ascii="Times New Roman" w:cs="Times New Roman" w:eastAsia="Times New Roman" w:hAnsi="Times New Roman"/>
          <w:sz w:val="21"/>
          <w:szCs w:val="21"/>
          <w:color w:val="auto"/>
        </w:rPr>
        <w:t>The following are exceptions to Section III of this Policy:</w:t>
      </w:r>
    </w:p>
    <w:p>
      <w:pPr>
        <w:jc w:val="both"/>
        <w:ind w:left="980" w:hanging="324"/>
        <w:spacing w:after="0" w:line="244" w:lineRule="auto"/>
        <w:tabs>
          <w:tab w:leader="none" w:pos="98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of a stock option granted under any of the compensation incentive plans approved by the Company (the “</w:t>
      </w:r>
      <w:r>
        <w:rPr>
          <w:rFonts w:ascii="Times New Roman" w:cs="Times New Roman" w:eastAsia="Times New Roman" w:hAnsi="Times New Roman"/>
          <w:sz w:val="22"/>
          <w:szCs w:val="22"/>
          <w:b w:val="1"/>
          <w:bCs w:val="1"/>
          <w:color w:val="auto"/>
        </w:rPr>
        <w:t>Stock Plans</w:t>
      </w:r>
      <w:r>
        <w:rPr>
          <w:rFonts w:ascii="Times New Roman" w:cs="Times New Roman" w:eastAsia="Times New Roman" w:hAnsi="Times New Roman"/>
          <w:sz w:val="22"/>
          <w:szCs w:val="22"/>
          <w:color w:val="auto"/>
        </w:rPr>
        <w:t>”). Note that this exception does not include a subsequent sale of the shares acquired pursuant to the exercise of the option under the Stock Plans.</w:t>
      </w:r>
    </w:p>
    <w:p>
      <w:pPr>
        <w:spacing w:after="0" w:line="173" w:lineRule="exact"/>
        <w:rPr>
          <w:rFonts w:ascii="Times New Roman" w:cs="Times New Roman" w:eastAsia="Times New Roman" w:hAnsi="Times New Roman"/>
          <w:sz w:val="22"/>
          <w:szCs w:val="22"/>
          <w:color w:val="auto"/>
        </w:rPr>
      </w:pPr>
    </w:p>
    <w:p>
      <w:pPr>
        <w:ind w:left="980" w:right="20" w:hanging="324"/>
        <w:spacing w:after="0" w:line="258" w:lineRule="auto"/>
        <w:tabs>
          <w:tab w:leader="none" w:pos="98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of shares under any stock purchase plan approved by the Company. Note that this exception does not apply to a subsequent sale of the acquired shares.</w:t>
      </w:r>
    </w:p>
    <w:p>
      <w:pPr>
        <w:spacing w:after="0" w:line="158" w:lineRule="exact"/>
        <w:rPr>
          <w:rFonts w:ascii="Times New Roman" w:cs="Times New Roman" w:eastAsia="Times New Roman" w:hAnsi="Times New Roman"/>
          <w:sz w:val="22"/>
          <w:szCs w:val="22"/>
          <w:color w:val="auto"/>
        </w:rPr>
      </w:pPr>
    </w:p>
    <w:p>
      <w:pPr>
        <w:jc w:val="both"/>
        <w:ind w:left="980" w:hanging="324"/>
        <w:spacing w:after="0" w:line="238" w:lineRule="auto"/>
        <w:tabs>
          <w:tab w:leader="none" w:pos="98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surrender of shares by the stockholder to the Company to satisfy the stockholder’s tax withholding obligations as a result of the issuance of shares upon vesting of restricted stock units or other equity awards granted under the Stock Plans. Note that this exception does not include a subsequent sale of the shares by the stockholder acquired upon vesting of restricted stock units granted under the Stock Plans.</w:t>
      </w:r>
    </w:p>
    <w:p>
      <w:pPr>
        <w:spacing w:after="0" w:line="176" w:lineRule="exact"/>
        <w:rPr>
          <w:rFonts w:ascii="Times New Roman" w:cs="Times New Roman" w:eastAsia="Times New Roman" w:hAnsi="Times New Roman"/>
          <w:sz w:val="22"/>
          <w:szCs w:val="22"/>
          <w:color w:val="auto"/>
        </w:rPr>
      </w:pPr>
    </w:p>
    <w:p>
      <w:pPr>
        <w:jc w:val="both"/>
        <w:ind w:left="980" w:hanging="324"/>
        <w:spacing w:after="0" w:line="235" w:lineRule="auto"/>
        <w:tabs>
          <w:tab w:leader="none" w:pos="98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Bona fide gifts of securities are not deemed to be transactions for the purposes of this Policy. Whether a gift is truly bona fide will depend on the facts and circumstances surrounding each gift. The more unrelated the donee is to the donor, the more likely the gift would be considered “bona fide” and not a “transaction.” For example, gifts to charities, churches and service organizations would clearly not be “transactions.” On the other hand, gifts to dependent children followed by a sale of the “gift” securities in close proximity to the time of the gift may imply some economic benefit to the donor and, therefore, make the gift not bona fide.</w:t>
      </w:r>
    </w:p>
    <w:p>
      <w:pPr>
        <w:spacing w:after="0" w:line="183" w:lineRule="exact"/>
        <w:rPr>
          <w:rFonts w:ascii="Times New Roman" w:cs="Times New Roman" w:eastAsia="Times New Roman" w:hAnsi="Times New Roman"/>
          <w:sz w:val="22"/>
          <w:szCs w:val="22"/>
          <w:color w:val="auto"/>
        </w:rPr>
      </w:pPr>
    </w:p>
    <w:p>
      <w:pPr>
        <w:ind w:left="980" w:hanging="324"/>
        <w:spacing w:after="0" w:line="258" w:lineRule="auto"/>
        <w:tabs>
          <w:tab w:leader="none" w:pos="98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surrender of vested shares by the stockholder pursuant to a final divorce decree and/or settlement agreement.</w:t>
      </w:r>
    </w:p>
    <w:p>
      <w:pPr>
        <w:spacing w:after="0" w:line="154"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PROHIBITED TRANSACTIONS</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Company believes it is improper and inappropriate for Company personnel to trade in derivatives of the Company’s securities. Therefore, it is the Company’s policy that Covered Persons, Insiders and Consultants are prohibited from trading in derivatives of the Company’s securities, which prohibition includes, but is not limited to, trading in short positions, such as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551815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56" w:name="page157"/>
    <w:bookmarkEnd w:id="156"/>
    <w:p>
      <w:pPr>
        <w:ind w:right="80"/>
        <w:spacing w:after="0" w:line="435" w:lineRule="auto"/>
        <w:rPr>
          <w:sz w:val="20"/>
          <w:szCs w:val="20"/>
          <w:color w:val="auto"/>
        </w:rPr>
      </w:pPr>
      <w:r>
        <w:rPr>
          <w:rFonts w:ascii="Times New Roman" w:cs="Times New Roman" w:eastAsia="Times New Roman" w:hAnsi="Times New Roman"/>
          <w:sz w:val="22"/>
          <w:szCs w:val="22"/>
          <w:color w:val="auto"/>
        </w:rPr>
        <w:t xml:space="preserve">options, trading in long positions, such as call options, and trading in hedging positions, under any circumstances. </w:t>
      </w:r>
      <w:r>
        <w:rPr>
          <w:rFonts w:ascii="Times New Roman" w:cs="Times New Roman" w:eastAsia="Times New Roman" w:hAnsi="Times New Roman"/>
          <w:sz w:val="22"/>
          <w:szCs w:val="22"/>
          <w:b w:val="1"/>
          <w:bCs w:val="1"/>
          <w:color w:val="auto"/>
        </w:rPr>
        <w:t>VI. CONFIDENTIAL INFORMATION</w:t>
      </w:r>
    </w:p>
    <w:p>
      <w:pPr>
        <w:spacing w:after="0" w:line="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In addition to the Company’s Insider Trading Policy, the Company has strict policies relating to safeguarding the confidentiality of its internal, proprietary information. You should comply with these policies at all times. If you have any questions regarding these policies, please contact the Company’s legal department.</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1"/>
          <w:szCs w:val="21"/>
          <w:b w:val="1"/>
          <w:bCs w:val="1"/>
          <w:color w:val="auto"/>
        </w:rPr>
        <w:t>REPORTING OF VIOLATIONS</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Any Insider who violates this Policy or any federal or state laws governing insider trading or tipping, or who knows of such violation by any other Insiders, must report the violation immediately to the Company’s legal department by email at legal@iovance.com or by contacting Fred Vogt, General Counsel, by email at fred.vogt@iovance.com or by phone at 610.715.7577. Upon learning of any such violation, the Company’s General Counsel and in-house legal department, in consultation with the Board of Directors, Chief Executive Officer, Chief Financial Officer and the Company’s outside legal counsel, will determine whether the Company should release any material nonpublic information, or whether the Company should report the violation to the SEC, Nasdaq, or other appropriate governmental authority.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VIII. QUESTIONS ABOUT THIS POLICY</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Compliance by all Covered Persons, Insiders and Consultants with this Policy is of the utmost importance to you and to the Company. Please direct all inquiries regarding this Policy to Jean-Marc Bellemin, Chief Financial Officer of the Company, by email at jean-marc.bellemin@iovance.com or by phone at 650.400.5345.</w:t>
      </w:r>
    </w:p>
    <w:p>
      <w:pPr>
        <w:spacing w:after="0" w:line="15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IX.</w:t>
        <w:tab/>
        <w:t>AMENDMENT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may amend this Policy from time to time as it deems appropriate.</w:t>
      </w:r>
    </w:p>
    <w:p>
      <w:pPr>
        <w:spacing w:after="0" w:line="20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Your failure to observe this Policy could lead to significant legal problems and </w:t>
      </w:r>
      <w:r>
        <w:rPr>
          <w:rFonts w:ascii="Times New Roman" w:cs="Times New Roman" w:eastAsia="Times New Roman" w:hAnsi="Times New Roman"/>
          <w:sz w:val="22"/>
          <w:szCs w:val="22"/>
          <w:b w:val="1"/>
          <w:bCs w:val="1"/>
          <w:color w:val="auto"/>
        </w:rPr>
        <w:t>have other serious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consequences, including termination of your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535305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2"/>
          <w:szCs w:val="22"/>
          <w:b w:val="1"/>
          <w:bCs w:val="1"/>
          <w:color w:val="auto"/>
        </w:rPr>
        <w:t>ACKNOWLEDGEMENT OF RECEIPT</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 hereby acknowledge that I have received a copy of the Iovance Biotherapeutics, Inc., Insider Trading Policy (this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and agree to comply with its terms. I understand that violation of insider trading or tipping laws or regulations may subject me to severe civil and/or criminal penalties and that violation of the terms of this Policy may subject me to discipline by Iovance Biotherapeutics, Inc. and its subsidiaries up to and including termination for cause.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10795</wp:posOffset>
            </wp:positionV>
            <wp:extent cx="39344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4">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w:t>
      </w:r>
    </w:p>
    <w:p>
      <w:pPr>
        <w:spacing w:after="0"/>
        <w:rPr>
          <w:sz w:val="20"/>
          <w:szCs w:val="20"/>
          <w:color w:val="auto"/>
        </w:rPr>
      </w:pPr>
      <w:r>
        <w:rPr>
          <w:rFonts w:ascii="Times New Roman" w:cs="Times New Roman" w:eastAsia="Times New Roman" w:hAnsi="Times New Roman"/>
          <w:sz w:val="22"/>
          <w:szCs w:val="22"/>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-3810</wp:posOffset>
            </wp:positionV>
            <wp:extent cx="39344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5">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636905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10795</wp:posOffset>
            </wp:positionV>
            <wp:extent cx="39344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7">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87"/>
        </w:trPr>
        <w:tc>
          <w:tcPr>
            <w:tcW w:w="580" w:type="dxa"/>
            <w:vAlign w:val="bottom"/>
          </w:tcPr>
          <w:p>
            <w:pPr>
              <w:spacing w:after="0"/>
              <w:rPr>
                <w:sz w:val="24"/>
                <w:szCs w:val="24"/>
                <w:color w:val="auto"/>
              </w:rPr>
            </w:pPr>
          </w:p>
        </w:tc>
        <w:tc>
          <w:tcPr>
            <w:tcW w:w="7880" w:type="dxa"/>
            <w:vAlign w:val="bottom"/>
            <w:gridSpan w:val="2"/>
          </w:tcPr>
          <w:p>
            <w:pPr>
              <w:ind w:left="2380"/>
              <w:spacing w:after="0"/>
              <w:rPr>
                <w:sz w:val="20"/>
                <w:szCs w:val="20"/>
                <w:color w:val="auto"/>
              </w:rPr>
            </w:pPr>
            <w:r>
              <w:rPr>
                <w:rFonts w:ascii="Times New Roman" w:cs="Times New Roman" w:eastAsia="Times New Roman" w:hAnsi="Times New Roman"/>
                <w:sz w:val="22"/>
                <w:szCs w:val="22"/>
                <w:b w:val="1"/>
                <w:bCs w:val="1"/>
                <w:color w:val="auto"/>
              </w:rPr>
              <w:t>NOTIFICATION OF PROPOSED TRADE</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To:</w:t>
            </w:r>
          </w:p>
        </w:tc>
        <w:tc>
          <w:tcPr>
            <w:tcW w:w="78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Jean-Marc Bellemin, Chief Financial Officer of Iovance Biotherapeutics, Inc (“</w:t>
            </w:r>
            <w:r>
              <w:rPr>
                <w:rFonts w:ascii="Times New Roman" w:cs="Times New Roman" w:eastAsia="Times New Roman" w:hAnsi="Times New Roman"/>
                <w:sz w:val="22"/>
                <w:szCs w:val="22"/>
                <w:b w:val="1"/>
                <w:bCs w:val="1"/>
                <w:color w:val="auto"/>
                <w:w w:val="97"/>
              </w:rPr>
              <w:t>Iovance</w:t>
            </w:r>
            <w:r>
              <w:rPr>
                <w:rFonts w:ascii="Times New Roman" w:cs="Times New Roman" w:eastAsia="Times New Roman" w:hAnsi="Times New Roman"/>
                <w:sz w:val="22"/>
                <w:szCs w:val="22"/>
                <w:color w:val="auto"/>
                <w:w w:val="97"/>
              </w:rPr>
              <w:t>”).</w:t>
            </w:r>
          </w:p>
        </w:tc>
      </w:tr>
      <w:tr>
        <w:trPr>
          <w:trHeight w:val="46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From:</w:t>
            </w:r>
          </w:p>
        </w:tc>
        <w:tc>
          <w:tcPr>
            <w:tcW w:w="4380" w:type="dxa"/>
            <w:vAlign w:val="bottom"/>
            <w:tcBorders>
              <w:bottom w:val="single" w:sz="8" w:color="auto"/>
            </w:tcBorders>
          </w:tcPr>
          <w:p>
            <w:pPr>
              <w:spacing w:after="0"/>
              <w:rPr>
                <w:sz w:val="24"/>
                <w:szCs w:val="2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(Name of Insider)</w:t>
            </w:r>
          </w:p>
        </w:tc>
      </w:tr>
      <w:tr>
        <w:trPr>
          <w:trHeight w:val="237"/>
        </w:trPr>
        <w:tc>
          <w:tcPr>
            <w:tcW w:w="5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Date:</w:t>
            </w:r>
          </w:p>
        </w:tc>
        <w:tc>
          <w:tcPr>
            <w:tcW w:w="4380" w:type="dxa"/>
            <w:vAlign w:val="bottom"/>
            <w:tcBorders>
              <w:bottom w:val="single" w:sz="8" w:color="auto"/>
            </w:tcBorders>
          </w:tcPr>
          <w:p>
            <w:pPr>
              <w:spacing w:after="0"/>
              <w:rPr>
                <w:sz w:val="20"/>
                <w:szCs w:val="20"/>
                <w:color w:val="auto"/>
              </w:rPr>
            </w:pPr>
          </w:p>
        </w:tc>
        <w:tc>
          <w:tcPr>
            <w:tcW w:w="350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fill out that which is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hereby notify the Chief Financial Officer that I intend to exercise ___________ (number) of options/warrants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(cross  out  the  inapplicable  word)  of  Iovance  common  stock  on  ___________  (date),  on  behalf  of</w:t>
      </w:r>
    </w:p>
    <w:p>
      <w:pPr>
        <w:spacing w:after="0"/>
        <w:rPr>
          <w:sz w:val="20"/>
          <w:szCs w:val="20"/>
          <w:color w:val="auto"/>
        </w:rPr>
      </w:pPr>
      <w:r>
        <w:rPr>
          <w:rFonts w:ascii="Times New Roman" w:cs="Times New Roman" w:eastAsia="Times New Roman" w:hAnsi="Times New Roman"/>
          <w:sz w:val="22"/>
          <w:szCs w:val="22"/>
          <w:color w:val="auto"/>
        </w:rPr>
        <w:t>____________________________ (indicate in whose name the shares will be registered).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hereby notify the Chief Financial Officer that I intend to buy/sell (cross out the inapplicable word) _________</w:t>
      </w:r>
    </w:p>
    <w:p>
      <w:pPr>
        <w:spacing w:after="0" w:line="4" w:lineRule="exact"/>
        <w:rPr>
          <w:sz w:val="20"/>
          <w:szCs w:val="20"/>
          <w:color w:val="auto"/>
        </w:rPr>
      </w:pPr>
    </w:p>
    <w:p>
      <w:pPr>
        <w:spacing w:after="0"/>
        <w:tabs>
          <w:tab w:leader="none" w:pos="940" w:val="left"/>
          <w:tab w:leader="none" w:pos="1420" w:val="left"/>
          <w:tab w:leader="none" w:pos="2240" w:val="left"/>
          <w:tab w:leader="none" w:pos="2720" w:val="left"/>
          <w:tab w:leader="none" w:pos="3680" w:val="left"/>
          <w:tab w:leader="none" w:pos="4740" w:val="left"/>
          <w:tab w:leader="none" w:pos="5480" w:val="left"/>
          <w:tab w:leader="none" w:pos="6000" w:val="left"/>
          <w:tab w:leader="none" w:pos="7460" w:val="left"/>
          <w:tab w:leader="none" w:pos="8380" w:val="left"/>
          <w:tab w:leader="none" w:pos="8880" w:val="left"/>
          <w:tab w:leader="none" w:pos="9720" w:val="left"/>
        </w:tabs>
        <w:rPr>
          <w:sz w:val="20"/>
          <w:szCs w:val="20"/>
          <w:color w:val="auto"/>
        </w:rPr>
      </w:pPr>
      <w:r>
        <w:rPr>
          <w:rFonts w:ascii="Times New Roman" w:cs="Times New Roman" w:eastAsia="Times New Roman" w:hAnsi="Times New Roman"/>
          <w:sz w:val="22"/>
          <w:szCs w:val="22"/>
          <w:color w:val="auto"/>
        </w:rPr>
        <w:t>number</w:t>
        <w:tab/>
        <w:t>of</w:t>
        <w:tab/>
        <w:t>shares</w:t>
        <w:tab/>
        <w:t>of</w:t>
        <w:tab/>
        <w:t>Iovance</w:t>
        <w:tab/>
        <w:t>common</w:t>
        <w:tab/>
        <w:t>stock</w:t>
        <w:tab/>
        <w:t>on</w:t>
        <w:tab/>
        <w:t>___________</w:t>
        <w:tab/>
        <w:t>_(date)</w:t>
        <w:tab/>
        <w:t>on</w:t>
        <w:tab/>
        <w:t>behalf</w:t>
      </w:r>
      <w:r>
        <w:rPr>
          <w:sz w:val="20"/>
          <w:szCs w:val="20"/>
          <w:color w:val="auto"/>
        </w:rPr>
        <w:tab/>
      </w:r>
      <w:r>
        <w:rPr>
          <w:rFonts w:ascii="Times New Roman" w:cs="Times New Roman" w:eastAsia="Times New Roman" w:hAnsi="Times New Roman"/>
          <w:sz w:val="21"/>
          <w:szCs w:val="21"/>
          <w:color w:val="auto"/>
        </w:rPr>
        <w:t>of</w:t>
      </w:r>
    </w:p>
    <w:p>
      <w:pPr>
        <w:spacing w:after="0"/>
        <w:rPr>
          <w:sz w:val="20"/>
          <w:szCs w:val="20"/>
          <w:color w:val="auto"/>
        </w:rPr>
      </w:pPr>
      <w:r>
        <w:rPr>
          <w:rFonts w:ascii="Times New Roman" w:cs="Times New Roman" w:eastAsia="Times New Roman" w:hAnsi="Times New Roman"/>
          <w:sz w:val="22"/>
          <w:szCs w:val="22"/>
          <w:color w:val="auto"/>
        </w:rPr>
        <w:t>___________________________ (indicate on whose names the shares will be registered).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Nature of the proposed trade: ____________________________________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connection with the proposed trade, I hereby certify that:</w:t>
      </w:r>
    </w:p>
    <w:p>
      <w:pPr>
        <w:spacing w:after="0" w:line="206" w:lineRule="exact"/>
        <w:rPr>
          <w:sz w:val="20"/>
          <w:szCs w:val="20"/>
          <w:color w:val="auto"/>
        </w:rPr>
      </w:pPr>
    </w:p>
    <w:p>
      <w:pPr>
        <w:ind w:left="1300" w:right="20" w:hanging="644"/>
        <w:spacing w:after="0" w:line="258" w:lineRule="auto"/>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not in possession of any “material nonpublic information” concerning Iovance, as defined in Iovance’s “Insider Trading Policy”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of my knowledge, the proposed trade does not violate the trading restrictions of Section 16 of the Securities Exchange Act of 1934, as amended, or Rule 144 of the Securities Act of 1933, as amended.</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 understand that if I trade while possessing such information or in violation of such trading restrictions, I may be subject to severe civil and/or criminal penalties and may be subject to sanctions by Iovance as set forth in the Policy.</w:t>
      </w:r>
    </w:p>
    <w:p>
      <w:pPr>
        <w:spacing w:after="0" w:line="21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Submitted by</w:t>
      </w:r>
    </w:p>
    <w:p>
      <w:pPr>
        <w:spacing w:after="0" w:line="24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-151130</wp:posOffset>
            </wp:positionV>
            <wp:extent cx="32658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8">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-151130</wp:posOffset>
            </wp:positionV>
            <wp:extent cx="32658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780" w:right="180"/>
        <w:spacing w:after="0" w:line="258" w:lineRule="auto"/>
        <w:rPr>
          <w:sz w:val="20"/>
          <w:szCs w:val="20"/>
          <w:color w:val="auto"/>
        </w:rPr>
      </w:pPr>
      <w:r>
        <w:rPr>
          <w:rFonts w:ascii="Times New Roman" w:cs="Times New Roman" w:eastAsia="Times New Roman" w:hAnsi="Times New Roman"/>
          <w:sz w:val="22"/>
          <w:szCs w:val="22"/>
          <w:color w:val="auto"/>
        </w:rPr>
        <w:t>(Title if signing on behalf of a corporation, partnership or other such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-335915</wp:posOffset>
            </wp:positionV>
            <wp:extent cx="32658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Reviewed and approved/disapproved by the Chief Financial Officer</w:t>
      </w:r>
    </w:p>
    <w:p>
      <w:pPr>
        <w:spacing w:after="0" w:line="200" w:lineRule="exact"/>
        <w:rPr>
          <w:sz w:val="20"/>
          <w:szCs w:val="20"/>
          <w:color w:val="auto"/>
        </w:rPr>
      </w:pPr>
    </w:p>
    <w:p>
      <w:pPr>
        <w:spacing w:after="0" w:line="30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Jean-Marc Bellemin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-151130</wp:posOffset>
            </wp:positionV>
            <wp:extent cx="32486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ind w:left="48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499745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10795</wp:posOffset>
            </wp:positionV>
            <wp:extent cx="27260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3">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Subsidiaries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Iovance Biotherapeutics GmbH, a company formed under the laws of Switzerland.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Iovance Biotherapeutics B.V., a company formed under the laws of The Netherlands.</w:t>
      </w:r>
    </w:p>
    <w:p>
      <w:pPr>
        <w:spacing w:after="0" w:line="206" w:lineRule="exact"/>
        <w:rPr>
          <w:sz w:val="20"/>
          <w:szCs w:val="20"/>
          <w:color w:val="auto"/>
        </w:rPr>
      </w:pPr>
    </w:p>
    <w:p>
      <w:pPr>
        <w:ind w:right="1040"/>
        <w:spacing w:after="0" w:line="258" w:lineRule="auto"/>
        <w:rPr>
          <w:sz w:val="20"/>
          <w:szCs w:val="20"/>
          <w:color w:val="auto"/>
        </w:rPr>
      </w:pPr>
      <w:r>
        <w:rPr>
          <w:rFonts w:ascii="Times New Roman" w:cs="Times New Roman" w:eastAsia="Times New Roman" w:hAnsi="Times New Roman"/>
          <w:sz w:val="22"/>
          <w:szCs w:val="22"/>
          <w:color w:val="auto"/>
        </w:rPr>
        <w:t>Iovance Biotherapeutics Manufacturing LLC, a limited liability company formed under the laws of the Commonwealth of Pennsylvania.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Iovance Biotherapeutics UK Ltd, a limited company formed under the laws of The United Kingdom.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Iovance Biotherapeutics UK SP Ltd, a limited company formed under the laws of The United Kingdom.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Iovance Biotherapeutics Canada Inc., a company formed under the laws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333" w:lineRule="exact"/>
        <w:rPr>
          <w:sz w:val="20"/>
          <w:szCs w:val="20"/>
          <w:color w:val="auto"/>
        </w:rPr>
      </w:pPr>
    </w:p>
    <w:p>
      <w:pPr>
        <w:ind w:left="980" w:right="60" w:hanging="648"/>
        <w:spacing w:after="0" w:line="261" w:lineRule="auto"/>
        <w:tabs>
          <w:tab w:leader="none" w:pos="9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Registration Statements (Form S-3 Nos. 333-212373, 333-214073 and 333-272718) of Iovance Biotherapeutics, Inc. and in the related Prospectuses,</w:t>
      </w:r>
    </w:p>
    <w:p>
      <w:pPr>
        <w:ind w:left="980" w:right="1180" w:hanging="648"/>
        <w:spacing w:after="0" w:line="250" w:lineRule="auto"/>
        <w:tabs>
          <w:tab w:leader="none" w:pos="9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Registration Statement (Form S-8 No. 333-205097) pertaining to the 2011 Equity Incentive Plan of Iovance Biotherapeutics, Inc.,</w:t>
      </w:r>
    </w:p>
    <w:p>
      <w:pPr>
        <w:ind w:left="980" w:right="1180" w:hanging="648"/>
        <w:spacing w:after="0" w:line="250" w:lineRule="auto"/>
        <w:tabs>
          <w:tab w:leader="none" w:pos="9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Registration Statement (Form S-8 No. 333-214567) pertaining to the 2014 Equity Incentive Plan of Iovance Biotherapeutics, Inc.,</w:t>
      </w:r>
    </w:p>
    <w:p>
      <w:pPr>
        <w:ind w:left="980" w:hanging="648"/>
        <w:spacing w:after="0"/>
        <w:tabs>
          <w:tab w:leader="none" w:pos="9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Registration Statement (Form S-8 No. 333-217638) pertaining to Maria Fardis RSUs of Iovance Biotherapeutics, Inc.,</w:t>
      </w:r>
    </w:p>
    <w:p>
      <w:pPr>
        <w:spacing w:after="0" w:line="9" w:lineRule="exact"/>
        <w:rPr>
          <w:rFonts w:ascii="Times New Roman" w:cs="Times New Roman" w:eastAsia="Times New Roman" w:hAnsi="Times New Roman"/>
          <w:sz w:val="17"/>
          <w:szCs w:val="17"/>
          <w:color w:val="auto"/>
        </w:rPr>
      </w:pPr>
    </w:p>
    <w:p>
      <w:pPr>
        <w:ind w:left="980" w:right="320" w:hanging="648"/>
        <w:spacing w:after="0" w:line="250" w:lineRule="auto"/>
        <w:tabs>
          <w:tab w:leader="none" w:pos="9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Registration Statements (Form S-8 Nos. 333-239316, 333-227242, 333-266544 and 333-272602) pertaining to the 2018 Equity Incentive Plan of Iovance Biotherapeutics, Inc.,</w:t>
      </w:r>
    </w:p>
    <w:p>
      <w:pPr>
        <w:ind w:left="980" w:right="20" w:hanging="648"/>
        <w:spacing w:after="0" w:line="250" w:lineRule="auto"/>
        <w:tabs>
          <w:tab w:leader="none" w:pos="9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Registration Statement (Form S-8 Nos. 333-239317 and 333-272601) pertaining to the 2020 Employee Stock Purchase Plan of Iovance Biotherapeutics, Inc., and</w:t>
      </w:r>
    </w:p>
    <w:p>
      <w:pPr>
        <w:ind w:left="980" w:right="80" w:hanging="648"/>
        <w:spacing w:after="0" w:line="260" w:lineRule="auto"/>
        <w:tabs>
          <w:tab w:leader="none" w:pos="9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Registration Statement (Form S-8 Nos. 333-259752, 333-263503 and 333-271810) pertaining to the 2021 Inducement Plan of Iovance Biotherapeutics, Inc.;</w:t>
      </w:r>
    </w:p>
    <w:p>
      <w:pPr>
        <w:spacing w:after="0" w:line="3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of our reports dated February 28, 2024, with respect to the consolidated financial statements of Iovance Biotherapeutics, Inc. and the effectiveness of internal control over financial reporting of Iovance Biotherapeutics, Inc. included in this Annual Report (Form 10-K) of Iovance Biotherapeutics, Inc. for the year ended December 31, 2023.</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Frederick G. Vogt, PhD., J.D., Interim Chief Executive Officer and President, and General Counsel of Iovance Biotherapeutics, Inc., certify that:</w:t>
      </w:r>
    </w:p>
    <w:p>
      <w:pPr>
        <w:spacing w:after="0" w:line="162" w:lineRule="exact"/>
        <w:rPr>
          <w:sz w:val="20"/>
          <w:szCs w:val="20"/>
          <w:color w:val="auto"/>
        </w:rPr>
      </w:pPr>
    </w:p>
    <w:p>
      <w:pPr>
        <w:ind w:left="360" w:hanging="222"/>
        <w:spacing w:after="0"/>
        <w:tabs>
          <w:tab w:leader="none" w:pos="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Iovance Biotherapeutics, Inc.</w:t>
      </w:r>
    </w:p>
    <w:p>
      <w:pPr>
        <w:spacing w:after="0" w:line="225" w:lineRule="exact"/>
        <w:rPr>
          <w:rFonts w:ascii="Times New Roman" w:cs="Times New Roman" w:eastAsia="Times New Roman" w:hAnsi="Times New Roman"/>
          <w:sz w:val="18"/>
          <w:szCs w:val="18"/>
          <w:color w:val="auto"/>
        </w:rPr>
      </w:pPr>
    </w:p>
    <w:p>
      <w:pPr>
        <w:ind w:left="380" w:right="140" w:hanging="242"/>
        <w:spacing w:after="0" w:line="266" w:lineRule="auto"/>
        <w:tabs>
          <w:tab w:leader="none" w:pos="37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40" w:hanging="242"/>
        <w:spacing w:after="0" w:line="266" w:lineRule="auto"/>
        <w:tabs>
          <w:tab w:leader="none" w:pos="37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80" w:hanging="242"/>
        <w:spacing w:after="0" w:line="266" w:lineRule="auto"/>
        <w:tabs>
          <w:tab w:leader="none" w:pos="36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520" w:hanging="382"/>
        <w:spacing w:after="0" w:line="266" w:lineRule="auto"/>
        <w:tabs>
          <w:tab w:leader="none" w:pos="51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20" w:right="320" w:hanging="382"/>
        <w:spacing w:after="0" w:line="266" w:lineRule="auto"/>
        <w:tabs>
          <w:tab w:leader="none" w:pos="52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right="100" w:hanging="382"/>
        <w:spacing w:after="0" w:line="266" w:lineRule="auto"/>
        <w:tabs>
          <w:tab w:leader="none" w:pos="51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520" w:right="100" w:hanging="382"/>
        <w:spacing w:after="0" w:line="266" w:lineRule="auto"/>
        <w:tabs>
          <w:tab w:leader="none" w:pos="52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sz w:val="20"/>
          <w:szCs w:val="20"/>
          <w:color w:val="auto"/>
        </w:rPr>
      </w:pPr>
    </w:p>
    <w:p>
      <w:pPr>
        <w:ind w:left="380" w:right="200" w:hanging="242"/>
        <w:spacing w:after="0" w:line="266" w:lineRule="auto"/>
        <w:tabs>
          <w:tab w:leader="none" w:pos="3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ind w:left="520" w:right="20" w:hanging="382"/>
        <w:spacing w:after="0" w:line="282" w:lineRule="auto"/>
        <w:tabs>
          <w:tab w:leader="none" w:pos="50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20" w:hanging="382"/>
        <w:spacing w:after="0" w:line="282" w:lineRule="auto"/>
        <w:tabs>
          <w:tab w:leader="none" w:pos="51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Frederick G. Vogt, Ph.D.,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Frederick G. Vogt, Ph.D., J.D.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Interim Chief Executive Officer and President, and General Counsel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Bellemin, Chief Financial Officer of Iovance Biotherapeutics, Inc., certify that:</w:t>
      </w:r>
    </w:p>
    <w:p>
      <w:pPr>
        <w:spacing w:after="0" w:line="225" w:lineRule="exact"/>
        <w:rPr>
          <w:sz w:val="20"/>
          <w:szCs w:val="20"/>
          <w:color w:val="auto"/>
        </w:rPr>
      </w:pPr>
    </w:p>
    <w:p>
      <w:pPr>
        <w:ind w:left="360" w:hanging="222"/>
        <w:spacing w:after="0"/>
        <w:tabs>
          <w:tab w:leader="none" w:pos="3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Iovance Biotherapeutics, Inc.</w:t>
      </w:r>
    </w:p>
    <w:p>
      <w:pPr>
        <w:spacing w:after="0" w:line="225" w:lineRule="exact"/>
        <w:rPr>
          <w:rFonts w:ascii="Times New Roman" w:cs="Times New Roman" w:eastAsia="Times New Roman" w:hAnsi="Times New Roman"/>
          <w:sz w:val="18"/>
          <w:szCs w:val="18"/>
          <w:color w:val="auto"/>
        </w:rPr>
      </w:pPr>
    </w:p>
    <w:p>
      <w:pPr>
        <w:ind w:left="380" w:right="140" w:hanging="242"/>
        <w:spacing w:after="0" w:line="266" w:lineRule="auto"/>
        <w:tabs>
          <w:tab w:leader="none" w:pos="37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40" w:hanging="242"/>
        <w:spacing w:after="0" w:line="266" w:lineRule="auto"/>
        <w:tabs>
          <w:tab w:leader="none" w:pos="37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80" w:hanging="242"/>
        <w:spacing w:after="0" w:line="266" w:lineRule="auto"/>
        <w:tabs>
          <w:tab w:leader="none" w:pos="36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520" w:hanging="382"/>
        <w:spacing w:after="0" w:line="266" w:lineRule="auto"/>
        <w:tabs>
          <w:tab w:leader="none" w:pos="51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20" w:right="320" w:hanging="382"/>
        <w:spacing w:after="0" w:line="266" w:lineRule="auto"/>
        <w:tabs>
          <w:tab w:leader="none" w:pos="52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right="100" w:hanging="382"/>
        <w:spacing w:after="0" w:line="266" w:lineRule="auto"/>
        <w:tabs>
          <w:tab w:leader="none" w:pos="51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520" w:right="100" w:hanging="382"/>
        <w:spacing w:after="0" w:line="266" w:lineRule="auto"/>
        <w:tabs>
          <w:tab w:leader="none" w:pos="52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80" w:right="200" w:hanging="242"/>
        <w:spacing w:after="0" w:line="266" w:lineRule="auto"/>
        <w:tabs>
          <w:tab w:leader="none" w:pos="36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ind w:left="520" w:right="20" w:hanging="382"/>
        <w:spacing w:after="0" w:line="282" w:lineRule="auto"/>
        <w:tabs>
          <w:tab w:leader="none" w:pos="50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20" w:hanging="382"/>
        <w:spacing w:after="0" w:line="282" w:lineRule="auto"/>
        <w:tabs>
          <w:tab w:leader="none" w:pos="51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Jean-Marc Bellemin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Jean-Marc Bellemin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 &amp;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 Frederick G. Vogt, Ph.D., J.D., Interim Chief Executive Officer and President, and General Counsel, of Iovance Biotherapeutics, Inc. (Company), do hereby certify, pursuant to 18 U.S.C. Section 1350, as adopted pursuant to Section 906 of the Sarbanes-Oxley Act of 2002, that to the best of my knowledge:</w:t>
      </w:r>
    </w:p>
    <w:p>
      <w:pPr>
        <w:spacing w:after="0" w:line="216" w:lineRule="exact"/>
        <w:rPr>
          <w:sz w:val="20"/>
          <w:szCs w:val="20"/>
          <w:color w:val="auto"/>
        </w:rPr>
      </w:pPr>
    </w:p>
    <w:p>
      <w:pPr>
        <w:ind w:left="660" w:right="500" w:hanging="652"/>
        <w:spacing w:after="0" w:line="282" w:lineRule="auto"/>
        <w:tabs>
          <w:tab w:leader="none" w:pos="65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2023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65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Frederick G. Vogt, Ph.D.,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Frederick G. Vogt, Ph.D., J.D.</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Interim Chief Executive Officer and President, and General Counsel</w:t>
      </w:r>
    </w:p>
    <w:p>
      <w:pPr>
        <w:spacing w:after="0" w:line="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Bellemin, Chief Financial Officer of Iovance Biotherapeutics, Inc. (Company), do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the best of my knowledge:</w:t>
      </w:r>
    </w:p>
    <w:p>
      <w:pPr>
        <w:spacing w:after="0" w:line="234" w:lineRule="exact"/>
        <w:rPr>
          <w:sz w:val="20"/>
          <w:szCs w:val="20"/>
          <w:color w:val="auto"/>
        </w:rPr>
      </w:pPr>
    </w:p>
    <w:p>
      <w:pPr>
        <w:ind w:left="660" w:right="540" w:hanging="652"/>
        <w:spacing w:after="0" w:line="282" w:lineRule="auto"/>
        <w:tabs>
          <w:tab w:leader="none" w:pos="59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2023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59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Jean-Marc Bellemin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Jean-Marc Bellemin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 &amp;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65" w:name="page166"/>
    <w:bookmarkEnd w:id="165"/>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IOVANCE BIOTHERAPEUTICS, INC.</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DODD-FRANK CLAWBACK POLICY</w:t>
      </w:r>
    </w:p>
    <w:p>
      <w:pPr>
        <w:spacing w:after="0" w:line="260" w:lineRule="exact"/>
        <w:rPr>
          <w:sz w:val="20"/>
          <w:szCs w:val="20"/>
          <w:color w:val="auto"/>
        </w:rPr>
      </w:pPr>
    </w:p>
    <w:p>
      <w:pPr>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Iovance Biotherapeutics,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adopted this clawback policy (this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as a supplement to any other clawback policies in effect now or in the future at the Company. To the extent this Policy applies to compensation payable to a person covered by this Policy, it shall be the only clawback policy applicable to such compensation and no other clawback policy shall apply; provided that, if such other policy provides that a greater amount of such compensation shall be subject to clawback, such other policy shall apply to the amount in excess of the amount subject to clawback under this Policy. This Policy shall be interpreted to comply with the clawback rules found in 17 C.F.R. §240.10D-1 and the related listing rules of The Nasdaq Stock Market LLC (the “</w:t>
      </w:r>
      <w:r>
        <w:rPr>
          <w:rFonts w:ascii="Times New Roman" w:cs="Times New Roman" w:eastAsia="Times New Roman" w:hAnsi="Times New Roman"/>
          <w:sz w:val="22"/>
          <w:szCs w:val="22"/>
          <w:b w:val="1"/>
          <w:bCs w:val="1"/>
          <w:color w:val="auto"/>
        </w:rPr>
        <w:t>Exchange</w:t>
      </w:r>
      <w:r>
        <w:rPr>
          <w:rFonts w:ascii="Times New Roman" w:cs="Times New Roman" w:eastAsia="Times New Roman" w:hAnsi="Times New Roman"/>
          <w:sz w:val="22"/>
          <w:szCs w:val="22"/>
          <w:color w:val="auto"/>
        </w:rPr>
        <w:t>”), and, to the extent this Policy is in any manner deemed to be inconsistent with such rules, this Policy shall be treated as retroactively amended to be compliant with such rules.</w:t>
      </w:r>
    </w:p>
    <w:p>
      <w:pPr>
        <w:spacing w:after="0" w:line="226" w:lineRule="exact"/>
        <w:rPr>
          <w:sz w:val="20"/>
          <w:szCs w:val="20"/>
          <w:color w:val="auto"/>
        </w:rPr>
      </w:pPr>
    </w:p>
    <w:p>
      <w:pPr>
        <w:jc w:val="both"/>
        <w:ind w:left="200" w:right="499" w:firstLine="9"/>
        <w:spacing w:after="0" w:line="253" w:lineRule="auto"/>
        <w:tabs>
          <w:tab w:leader="none" w:pos="47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17 C.F.R. §240.10D-1(d) defines the terms “</w:t>
      </w:r>
      <w:r>
        <w:rPr>
          <w:rFonts w:ascii="Times New Roman" w:cs="Times New Roman" w:eastAsia="Times New Roman" w:hAnsi="Times New Roman"/>
          <w:sz w:val="22"/>
          <w:szCs w:val="22"/>
          <w:b w:val="1"/>
          <w:bCs w:val="1"/>
          <w:color w:val="auto"/>
        </w:rPr>
        <w:t>Executive Officer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Reporting Measures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Incentive-Based Compensation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Received</w:t>
      </w:r>
      <w:r>
        <w:rPr>
          <w:rFonts w:ascii="Times New Roman" w:cs="Times New Roman" w:eastAsia="Times New Roman" w:hAnsi="Times New Roman"/>
          <w:sz w:val="22"/>
          <w:szCs w:val="22"/>
          <w:color w:val="auto"/>
        </w:rPr>
        <w:t>.” As used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these terms shall have the same meanings as in that regulation, the current versions of which are re-stated below, as may be amended from time to time if that regulation is amended:</w:t>
      </w:r>
    </w:p>
    <w:p>
      <w:pPr>
        <w:spacing w:after="0" w:line="216" w:lineRule="exact"/>
        <w:rPr>
          <w:sz w:val="20"/>
          <w:szCs w:val="20"/>
          <w:color w:val="auto"/>
        </w:rPr>
      </w:pPr>
    </w:p>
    <w:p>
      <w:pPr>
        <w:ind w:left="200" w:right="25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 Officer</w:t>
      </w:r>
      <w:r>
        <w:rPr>
          <w:rFonts w:ascii="Times New Roman" w:cs="Times New Roman" w:eastAsia="Times New Roman" w:hAnsi="Times New Roman"/>
          <w:sz w:val="22"/>
          <w:szCs w:val="22"/>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 making functions for the Company. Policy-making function is not intended to include policy-making functions that are not significant.</w:t>
      </w:r>
    </w:p>
    <w:p>
      <w:pPr>
        <w:spacing w:after="0" w:line="226" w:lineRule="exact"/>
        <w:rPr>
          <w:sz w:val="20"/>
          <w:szCs w:val="20"/>
          <w:color w:val="auto"/>
        </w:rPr>
      </w:pPr>
    </w:p>
    <w:p>
      <w:pPr>
        <w:ind w:left="200" w:right="299"/>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Reporting Measures</w:t>
      </w:r>
      <w:r>
        <w:rPr>
          <w:rFonts w:ascii="Times New Roman" w:cs="Times New Roman" w:eastAsia="Times New Roman" w:hAnsi="Times New Roman"/>
          <w:sz w:val="22"/>
          <w:szCs w:val="22"/>
          <w:color w:val="auto"/>
        </w:rPr>
        <w:t>” means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U.S. Securities and Exchange Commission.</w:t>
      </w:r>
    </w:p>
    <w:p>
      <w:pPr>
        <w:spacing w:after="0" w:line="215" w:lineRule="exact"/>
        <w:rPr>
          <w:sz w:val="20"/>
          <w:szCs w:val="20"/>
          <w:color w:val="auto"/>
        </w:rPr>
      </w:pPr>
    </w:p>
    <w:p>
      <w:pPr>
        <w:ind w:left="200" w:right="67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90" w:lineRule="exact"/>
        <w:rPr>
          <w:sz w:val="20"/>
          <w:szCs w:val="20"/>
          <w:color w:val="auto"/>
        </w:rPr>
      </w:pPr>
    </w:p>
    <w:p>
      <w:pPr>
        <w:ind w:left="200" w:right="559"/>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Received</w:t>
      </w:r>
      <w:r>
        <w:rPr>
          <w:rFonts w:ascii="Times New Roman" w:cs="Times New Roman" w:eastAsia="Times New Roman" w:hAnsi="Times New Roman"/>
          <w:sz w:val="22"/>
          <w:szCs w:val="22"/>
          <w:color w:val="auto"/>
        </w:rPr>
        <w:t>” refers to the statement that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66" w:name="page167"/>
    <w:bookmarkEnd w:id="166"/>
    <w:p>
      <w:pPr>
        <w:ind w:left="200" w:right="319" w:firstLine="9"/>
        <w:spacing w:after="0" w:line="262" w:lineRule="auto"/>
        <w:tabs>
          <w:tab w:leader="none" w:pos="47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 of this Policy</w:t>
      </w:r>
      <w:r>
        <w:rPr>
          <w:rFonts w:ascii="Times New Roman" w:cs="Times New Roman" w:eastAsia="Times New Roman" w:hAnsi="Times New Roman"/>
          <w:sz w:val="21"/>
          <w:szCs w:val="21"/>
          <w:color w:val="auto"/>
        </w:rPr>
        <w:t>. This Policy shall only apply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Furthermore, this Policy shall only apply to Executive Officers. Finally, this Policy shall apply to all Incentive-Based Compensation Received by an Executive Officer on or after October 2, 2023.</w:t>
      </w:r>
    </w:p>
    <w:p>
      <w:pPr>
        <w:spacing w:after="0" w:line="213" w:lineRule="exact"/>
        <w:rPr>
          <w:rFonts w:ascii="Times New Roman" w:cs="Times New Roman" w:eastAsia="Times New Roman" w:hAnsi="Times New Roman"/>
          <w:sz w:val="21"/>
          <w:szCs w:val="21"/>
          <w:color w:val="auto"/>
        </w:rPr>
      </w:pPr>
    </w:p>
    <w:p>
      <w:pPr>
        <w:ind w:left="480" w:hanging="271"/>
        <w:spacing w:after="0"/>
        <w:tabs>
          <w:tab w:leader="none" w:pos="4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Period</w:t>
      </w:r>
      <w:r>
        <w:rPr>
          <w:rFonts w:ascii="Times New Roman" w:cs="Times New Roman" w:eastAsia="Times New Roman" w:hAnsi="Times New Roman"/>
          <w:sz w:val="22"/>
          <w:szCs w:val="22"/>
          <w:color w:val="auto"/>
        </w:rPr>
        <w:t>. The Incentive-Based Compensation subject to clawback is the Incentive-</w:t>
      </w:r>
    </w:p>
    <w:p>
      <w:pPr>
        <w:spacing w:after="0" w:line="27" w:lineRule="exact"/>
        <w:rPr>
          <w:rFonts w:ascii="Times New Roman" w:cs="Times New Roman" w:eastAsia="Times New Roman" w:hAnsi="Times New Roman"/>
          <w:sz w:val="22"/>
          <w:szCs w:val="22"/>
          <w:color w:val="auto"/>
        </w:rPr>
      </w:pPr>
    </w:p>
    <w:p>
      <w:pPr>
        <w:ind w:left="200" w:right="219"/>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Compensation Received during the three completed fiscal years immediately preceding the date that the Company is required to prepare an accounting restatement as described in Section 2 of this Policy, provided that the person served as an Executive Officer at any time during the performance period applicable to the Incentive-Based Compensation in question. The date that the Company is required to prepare an accounting restatement shall be determined pursuant to 17 C.F.R. §240.10D-1(b)(1)(ii).</w:t>
      </w:r>
    </w:p>
    <w:p>
      <w:pPr>
        <w:spacing w:after="0" w:line="228" w:lineRule="exact"/>
        <w:rPr>
          <w:rFonts w:ascii="Times New Roman" w:cs="Times New Roman" w:eastAsia="Times New Roman" w:hAnsi="Times New Roman"/>
          <w:sz w:val="22"/>
          <w:szCs w:val="22"/>
          <w:color w:val="auto"/>
        </w:rPr>
      </w:pPr>
    </w:p>
    <w:p>
      <w:pPr>
        <w:jc w:val="both"/>
        <w:ind w:left="860" w:right="679" w:hanging="3"/>
        <w:spacing w:after="0" w:line="257" w:lineRule="auto"/>
        <w:tabs>
          <w:tab w:leader="none" w:pos="1208"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this Policy shall only apply if the Incentive-Based Compensation is Received (i) while the Company has a class of securities listed on the Exchange and (ii) on or after October 2, 2023.</w:t>
      </w:r>
    </w:p>
    <w:p>
      <w:pPr>
        <w:spacing w:after="0" w:line="213" w:lineRule="exact"/>
        <w:rPr>
          <w:rFonts w:ascii="Times New Roman" w:cs="Times New Roman" w:eastAsia="Times New Roman" w:hAnsi="Times New Roman"/>
          <w:sz w:val="22"/>
          <w:szCs w:val="22"/>
          <w:color w:val="auto"/>
        </w:rPr>
      </w:pPr>
    </w:p>
    <w:p>
      <w:pPr>
        <w:ind w:left="860" w:right="279" w:hanging="3"/>
        <w:spacing w:after="0" w:line="257" w:lineRule="auto"/>
        <w:tabs>
          <w:tab w:leader="none" w:pos="122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17 C.F.R. §240.10D-1(b)(1)(i) for certain circumstances under which this Policy will apply to Incentive-Based Compensation received during a transition period arising due to a change in the Company’s fiscal year.</w:t>
      </w:r>
    </w:p>
    <w:p>
      <w:pPr>
        <w:spacing w:after="0" w:line="213" w:lineRule="exact"/>
        <w:rPr>
          <w:rFonts w:ascii="Times New Roman" w:cs="Times New Roman" w:eastAsia="Times New Roman" w:hAnsi="Times New Roman"/>
          <w:sz w:val="22"/>
          <w:szCs w:val="22"/>
          <w:color w:val="auto"/>
        </w:rPr>
      </w:pPr>
    </w:p>
    <w:p>
      <w:pPr>
        <w:ind w:left="200" w:right="279" w:firstLine="9"/>
        <w:spacing w:after="0" w:line="250" w:lineRule="auto"/>
        <w:tabs>
          <w:tab w:leader="none" w:pos="47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The amount of Incentive-Based Compensation subject to this Policy (“</w:t>
      </w:r>
      <w:r>
        <w:rPr>
          <w:rFonts w:ascii="Times New Roman" w:cs="Times New Roman" w:eastAsia="Times New Roman" w:hAnsi="Times New Roman"/>
          <w:sz w:val="22"/>
          <w:szCs w:val="22"/>
          <w:b w:val="1"/>
          <w:bCs w:val="1"/>
          <w:color w:val="auto"/>
        </w:rPr>
        <w:t>Erroneously Awarded Compensation</w:t>
      </w:r>
      <w:r>
        <w:rPr>
          <w:rFonts w:ascii="Times New Roman" w:cs="Times New Roman" w:eastAsia="Times New Roman" w:hAnsi="Times New Roman"/>
          <w:sz w:val="22"/>
          <w:szCs w:val="22"/>
          <w:color w:val="auto"/>
        </w:rPr>
        <w:t>”) is the amount of Incentive-Based Compensation Received that exceeds the amount of Incentive Based-Compensation that otherwise would have been Received had it been determined based on the restated amounts and shall be computed without regard to any taxes paid.</w:t>
      </w:r>
    </w:p>
    <w:p>
      <w:pPr>
        <w:spacing w:after="0" w:line="221" w:lineRule="exact"/>
        <w:rPr>
          <w:rFonts w:ascii="Times New Roman" w:cs="Times New Roman" w:eastAsia="Times New Roman" w:hAnsi="Times New Roman"/>
          <w:sz w:val="22"/>
          <w:szCs w:val="22"/>
          <w:color w:val="auto"/>
        </w:rPr>
      </w:pPr>
    </w:p>
    <w:p>
      <w:pPr>
        <w:ind w:left="860" w:right="379" w:hanging="3"/>
        <w:spacing w:after="0" w:line="263" w:lineRule="auto"/>
        <w:tabs>
          <w:tab w:leader="none" w:pos="1208"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Incentive-Based Compensation based on stock price or total shareholder return, where the amount of Erroneously Awarded Compensation is not subject to mathematical recalculation directly from the information in an accounting restatement: (i) the amount shall be based on a reasonable estimate of the effect of the accounting restatement on the stock price or total shareholder return upon which the Incentive-Based Compensation was received; and (ii) the Company must maintain documentation of the determination of that reasonable estimate and provide such documentation to the Exchange.</w:t>
      </w:r>
    </w:p>
    <w:p>
      <w:pPr>
        <w:spacing w:after="0" w:line="213" w:lineRule="exact"/>
        <w:rPr>
          <w:rFonts w:ascii="Times New Roman" w:cs="Times New Roman" w:eastAsia="Times New Roman" w:hAnsi="Times New Roman"/>
          <w:sz w:val="21"/>
          <w:szCs w:val="21"/>
          <w:color w:val="auto"/>
        </w:rPr>
      </w:pPr>
    </w:p>
    <w:p>
      <w:pPr>
        <w:ind w:left="480" w:hanging="271"/>
        <w:spacing w:after="0"/>
        <w:tabs>
          <w:tab w:leader="none" w:pos="4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w:t>
      </w:r>
      <w:r>
        <w:rPr>
          <w:rFonts w:ascii="Times New Roman" w:cs="Times New Roman" w:eastAsia="Times New Roman" w:hAnsi="Times New Roman"/>
          <w:sz w:val="22"/>
          <w:szCs w:val="22"/>
          <w:color w:val="auto"/>
        </w:rPr>
        <w:t>. The Company shall recover reasonably promptly any Erroneously Awarded</w:t>
      </w:r>
    </w:p>
    <w:p>
      <w:pPr>
        <w:spacing w:after="0" w:line="27" w:lineRule="exact"/>
        <w:rPr>
          <w:rFonts w:ascii="Times New Roman" w:cs="Times New Roman" w:eastAsia="Times New Roman" w:hAnsi="Times New Roman"/>
          <w:sz w:val="22"/>
          <w:szCs w:val="22"/>
          <w:color w:val="auto"/>
        </w:rPr>
      </w:pPr>
    </w:p>
    <w:p>
      <w:pPr>
        <w:ind w:left="200" w:right="379"/>
        <w:spacing w:after="0" w:line="26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Compensation, except to the extent that the conditions of paragraphs (a), (b), or (c) below apply. The Compensation Committee (the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of the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of the Company shall determine the repayment schedule for each amount of Erroneously Awarded Compensation in a manner that complies with this “reasonably promptly” requirement.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67" w:name="page168"/>
    <w:bookmarkEnd w:id="167"/>
    <w:p>
      <w:pPr>
        <w:ind w:left="200" w:right="219"/>
        <w:spacing w:after="0" w:line="256" w:lineRule="auto"/>
        <w:rPr>
          <w:sz w:val="20"/>
          <w:szCs w:val="20"/>
          <w:color w:val="auto"/>
        </w:rPr>
      </w:pPr>
      <w:r>
        <w:rPr>
          <w:rFonts w:ascii="Times New Roman" w:cs="Times New Roman" w:eastAsia="Times New Roman" w:hAnsi="Times New Roman"/>
          <w:sz w:val="22"/>
          <w:szCs w:val="22"/>
          <w:color w:val="auto"/>
        </w:rPr>
        <w:t>determination shall be consistent with any applicable legal guidance, by the U.S. Securities and Exchange Commission, judicial opinion, or otherwise. The determination of “reasonably promptly” may vary from case to case, and the Committee is authorized to adopt additional rules to further describe what repayment schedules satisfy this requirement.</w:t>
      </w:r>
    </w:p>
    <w:p>
      <w:pPr>
        <w:spacing w:after="0" w:line="217" w:lineRule="exact"/>
        <w:rPr>
          <w:sz w:val="20"/>
          <w:szCs w:val="20"/>
          <w:color w:val="auto"/>
        </w:rPr>
      </w:pPr>
    </w:p>
    <w:p>
      <w:pPr>
        <w:ind w:left="860" w:right="259" w:hanging="3"/>
        <w:spacing w:after="0" w:line="248" w:lineRule="auto"/>
        <w:tabs>
          <w:tab w:leader="none" w:pos="115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Erroneously Awarded Compensation need not be recovered if the direct expense paid to a third party to assist in enforcing this Policy would exceed the amount to be recovered and the Committee has made a determination that recovery would be impracticable.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the Exchange.</w:t>
      </w:r>
    </w:p>
    <w:p>
      <w:pPr>
        <w:spacing w:after="0" w:line="222" w:lineRule="exact"/>
        <w:rPr>
          <w:rFonts w:ascii="Times New Roman" w:cs="Times New Roman" w:eastAsia="Times New Roman" w:hAnsi="Times New Roman"/>
          <w:sz w:val="22"/>
          <w:szCs w:val="22"/>
          <w:color w:val="auto"/>
        </w:rPr>
      </w:pPr>
    </w:p>
    <w:p>
      <w:pPr>
        <w:ind w:left="860" w:right="259" w:hanging="3"/>
        <w:spacing w:after="0" w:line="248" w:lineRule="auto"/>
        <w:tabs>
          <w:tab w:leader="none" w:pos="116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Erroneously Awarded Compensation need not be recovered if recovery would violate home country law where that law was adopted prior to November 28, 2022. Before concluding that it would be impracticable to recover any amount of Erroneously Awarded Compensation based on violation of home country law, the Company shall obtain an opinion of home country counsel, acceptable to the Exchange, that recovery would result in such a violation and shall provide such opinion to the Exchange.</w:t>
      </w:r>
    </w:p>
    <w:p>
      <w:pPr>
        <w:spacing w:after="0" w:line="227" w:lineRule="exact"/>
        <w:rPr>
          <w:rFonts w:ascii="Times New Roman" w:cs="Times New Roman" w:eastAsia="Times New Roman" w:hAnsi="Times New Roman"/>
          <w:sz w:val="22"/>
          <w:szCs w:val="22"/>
          <w:color w:val="auto"/>
        </w:rPr>
      </w:pPr>
    </w:p>
    <w:p>
      <w:pPr>
        <w:ind w:left="860" w:right="219" w:hanging="3"/>
        <w:spacing w:after="0" w:line="252" w:lineRule="auto"/>
        <w:tabs>
          <w:tab w:leader="none" w:pos="115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Erroneously Awarded Compensation need not be recovered if recovery would likely cause an otherwise tax-qualified retirement plan, under which benefits are broadly available to employees of the registrant, to fail to meet the requirements of 26 U.S.C. 401(a)(13) or 26 U.S.C. 411(a) and regulations thereunder.</w:t>
      </w:r>
    </w:p>
    <w:p>
      <w:pPr>
        <w:spacing w:after="0" w:line="219" w:lineRule="exact"/>
        <w:rPr>
          <w:rFonts w:ascii="Times New Roman" w:cs="Times New Roman" w:eastAsia="Times New Roman" w:hAnsi="Times New Roman"/>
          <w:sz w:val="22"/>
          <w:szCs w:val="22"/>
          <w:color w:val="auto"/>
        </w:rPr>
      </w:pPr>
    </w:p>
    <w:p>
      <w:pPr>
        <w:ind w:left="200" w:right="319" w:firstLine="9"/>
        <w:spacing w:after="0" w:line="247" w:lineRule="auto"/>
        <w:tabs>
          <w:tab w:leader="none" w:pos="47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Sources of Recoupment</w:t>
      </w:r>
      <w:r>
        <w:rPr>
          <w:rFonts w:ascii="Times New Roman" w:cs="Times New Roman" w:eastAsia="Times New Roman" w:hAnsi="Times New Roman"/>
          <w:sz w:val="22"/>
          <w:szCs w:val="22"/>
          <w:color w:val="auto"/>
        </w:rPr>
        <w:t>. To the extent permitted by applicable law, the Committee may, in its discretion, seek recoupment of Erroneously Awarded Compensation from the Executive Officer(s) through any means it determines, which may include any of the following sources: (i) prior Incentive-Based Compensation payments; (ii) future payments of Incentive-Based Compensation; (iii) cancellation of outstanding Incentive-Based Compensation; (iv) direct repayment; and (v) non-Incentive-Based Compensation or securities held by the Executive Officer. To the extent permitted by applicable law, the Company may offset such amount against any compensation or other amounts owed by the Company to the Executive Officer.</w:t>
      </w:r>
    </w:p>
    <w:p>
      <w:pPr>
        <w:spacing w:after="0" w:line="239" w:lineRule="exact"/>
        <w:rPr>
          <w:rFonts w:ascii="Times New Roman" w:cs="Times New Roman" w:eastAsia="Times New Roman" w:hAnsi="Times New Roman"/>
          <w:sz w:val="22"/>
          <w:szCs w:val="22"/>
          <w:color w:val="auto"/>
        </w:rPr>
      </w:pPr>
    </w:p>
    <w:p>
      <w:pPr>
        <w:ind w:left="200" w:right="319" w:firstLine="9"/>
        <w:spacing w:after="0" w:line="250" w:lineRule="auto"/>
        <w:tabs>
          <w:tab w:leader="none" w:pos="47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This Policy is administered by the Committee. The Committee shall have full and final authority to make any and all determinations required or permitted under this Policy. Any determination by the Committee with respect to this Policy shall be final, conclusive and binding on all Executive Officers subject to this Policy, unless determined to be an abuse of discretion. The Board may amend this Policy at any time.</w:t>
      </w:r>
    </w:p>
    <w:p>
      <w:pPr>
        <w:spacing w:after="0" w:line="221" w:lineRule="exact"/>
        <w:rPr>
          <w:rFonts w:ascii="Times New Roman" w:cs="Times New Roman" w:eastAsia="Times New Roman" w:hAnsi="Times New Roman"/>
          <w:sz w:val="22"/>
          <w:szCs w:val="22"/>
          <w:color w:val="auto"/>
        </w:rPr>
      </w:pPr>
    </w:p>
    <w:p>
      <w:pPr>
        <w:ind w:left="200" w:right="299" w:firstLine="9"/>
        <w:spacing w:after="0" w:line="275" w:lineRule="auto"/>
        <w:tabs>
          <w:tab w:leader="none" w:pos="47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Indemnification</w:t>
      </w:r>
      <w:r>
        <w:rPr>
          <w:rFonts w:ascii="Times New Roman" w:cs="Times New Roman" w:eastAsia="Times New Roman" w:hAnsi="Times New Roman"/>
          <w:sz w:val="21"/>
          <w:szCs w:val="21"/>
          <w:color w:val="auto"/>
        </w:rPr>
        <w:t>. Notwithstanding anything to the contrary in any other policy of the Company or any agreement between the Company and an Executive Officer, no Executive Officer shall be indemnified by the Company against the loss of any Erroneously Awarded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621665</wp:posOffset>
            </wp:positionV>
            <wp:extent cx="545211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8" w:name="page169"/>
    <w:bookmarkEnd w:id="168"/>
    <w:p>
      <w:pPr>
        <w:ind w:left="200" w:right="319" w:firstLine="9"/>
        <w:spacing w:after="0" w:line="251" w:lineRule="auto"/>
        <w:tabs>
          <w:tab w:leader="none" w:pos="47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2018 Equity Incentive Plan, as Amended</w:t>
      </w:r>
      <w:r>
        <w:rPr>
          <w:rFonts w:ascii="Times New Roman" w:cs="Times New Roman" w:eastAsia="Times New Roman" w:hAnsi="Times New Roman"/>
          <w:sz w:val="22"/>
          <w:szCs w:val="22"/>
          <w:color w:val="auto"/>
        </w:rPr>
        <w:t>. The 2018 Equity Incentive Plan, as amended, provides that any award made pursuant to it is subject to (including on a retroactive basis) any clawback required by applicable law and/or the rules and regulations of the Exchange or any other securities exchange or inter-dealer quotation service on which the Company’s common stock is listed or quoted and that such requirements shall be deemed incorporated by reference into all outstanding award agreements.</w:t>
      </w:r>
    </w:p>
    <w:p>
      <w:pPr>
        <w:spacing w:after="0" w:line="221" w:lineRule="exact"/>
        <w:rPr>
          <w:rFonts w:ascii="Times New Roman" w:cs="Times New Roman" w:eastAsia="Times New Roman" w:hAnsi="Times New Roman"/>
          <w:sz w:val="22"/>
          <w:szCs w:val="22"/>
          <w:color w:val="auto"/>
        </w:rPr>
      </w:pPr>
    </w:p>
    <w:p>
      <w:pPr>
        <w:ind w:left="200" w:right="259" w:firstLine="9"/>
        <w:spacing w:after="0" w:line="250" w:lineRule="auto"/>
        <w:tabs>
          <w:tab w:leader="none" w:pos="57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Policy by Executive Officers</w:t>
      </w:r>
      <w:r>
        <w:rPr>
          <w:rFonts w:ascii="Times New Roman" w:cs="Times New Roman" w:eastAsia="Times New Roman" w:hAnsi="Times New Roman"/>
          <w:sz w:val="22"/>
          <w:szCs w:val="22"/>
          <w:color w:val="auto"/>
        </w:rPr>
        <w:t>. The Committee shall take reasonable steps to inform Executive Officers of this Policy and obtain their agreement to this Policy, which steps may constitute the inclusion of this Policy as an attachment to any award that is accepted by the Executive Officer or the execution of an acknowledgement and agreement to this Policy by such Executive Officer.</w:t>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This Policy was adopted by the Board on November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502285</wp:posOffset>
            </wp:positionV>
            <wp:extent cx="545211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8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lvl w:ilvl="1">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lvl w:ilvl="1">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1"/>
      <w:numFmt w:val="decimal"/>
      <w:start w:val="101"/>
    </w:lvl>
  </w:abstractNum>
  <w:abstractNum w:abstractNumId="47">
    <w:nsid w:val="5DB70AE5"/>
    <w:multiLevelType w:val="hybridMultilevel"/>
    <w:lvl w:ilvl="0">
      <w:lvlJc w:val="left"/>
      <w:lvlText w:val="%1"/>
      <w:numFmt w:val="decimal"/>
      <w:start w:val="104"/>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amp;"/>
      <w:numFmt w:val="bullet"/>
      <w:start w:val="1"/>
    </w:lvl>
  </w:abstractNum>
  <w:abstractNum w:abstractNumId="54">
    <w:nsid w:val="6B94764"/>
    <w:multiLevelType w:val="hybridMultilevel"/>
    <w:lvl w:ilvl="0">
      <w:lvlJc w:val="left"/>
      <w:lvlText w:val="%1."/>
      <w:numFmt w:val="upperLetter"/>
      <w:start w:val="9"/>
    </w:lvl>
  </w:abstractNum>
  <w:abstractNum w:abstractNumId="55">
    <w:nsid w:val="42C296BD"/>
    <w:multiLevelType w:val="hybridMultilevel"/>
    <w:lvl w:ilvl="0">
      <w:lvlJc w:val="left"/>
      <w:lvlText w:val="%1."/>
      <w:numFmt w:val="upperLetter"/>
      <w:start w:val="35"/>
    </w:lvl>
  </w:abstractNum>
  <w:abstractNum w:abstractNumId="56">
    <w:nsid w:val="168E121F"/>
    <w:multiLevelType w:val="hybridMultilevel"/>
    <w:lvl w:ilvl="0">
      <w:lvlJc w:val="left"/>
      <w:lvlText w:val="%1."/>
      <w:numFmt w:val="upperLetter"/>
      <w:start w:val="61"/>
    </w:lvl>
  </w:abstractNum>
  <w:abstractNum w:abstractNumId="57">
    <w:nsid w:val="1EBA5D23"/>
    <w:multiLevelType w:val="hybridMultilevel"/>
    <w:lvl w:ilvl="0">
      <w:lvlJc w:val="left"/>
      <w:lvlText w:val="%1."/>
      <w:numFmt w:val="upperLetter"/>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1."/>
      <w:numFmt w:val="upperLetter"/>
      <w:start w:val="2"/>
    </w:lvl>
  </w:abstractNum>
  <w:abstractNum w:abstractNumId="62">
    <w:nsid w:val="51D9C564"/>
    <w:multiLevelType w:val="hybridMultilevel"/>
    <w:lvl w:ilvl="0">
      <w:lvlJc w:val="left"/>
      <w:lvlText w:val="%1."/>
      <w:numFmt w:val="upperLetter"/>
      <w:start w:val="3"/>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1."/>
      <w:numFmt w:val="upperLetter"/>
      <w:start w:val="4"/>
    </w:lvl>
  </w:abstractNum>
  <w:abstractNum w:abstractNumId="66">
    <w:nsid w:val="42963E5A"/>
    <w:multiLevelType w:val="hybridMultilevel"/>
    <w:lvl w:ilvl="0">
      <w:lvlJc w:val="left"/>
      <w:lvlText w:val="%1."/>
      <w:numFmt w:val="upperLetter"/>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1)"/>
      <w:numFmt w:val="decimal"/>
      <w:start w:val="1"/>
    </w:lvl>
    <w:lvl w:ilvl="1">
      <w:lvlJc w:val="left"/>
      <w:lvlText w:val="%2)"/>
      <w:numFmt w:val="lowerLetter"/>
      <w:start w:val="1"/>
    </w:lvl>
  </w:abstractNum>
  <w:abstractNum w:abstractNumId="69">
    <w:nsid w:val="1A32234B"/>
    <w:multiLevelType w:val="hybridMultilevel"/>
    <w:lvl w:ilvl="0">
      <w:lvlJc w:val="left"/>
      <w:lvlText w:val="%1"/>
      <w:numFmt w:val="upperLetter"/>
      <w:start w:val="1"/>
    </w:lvl>
    <w:lvl w:ilvl="1">
      <w:lvlJc w:val="left"/>
      <w:lvlText w:val="%2)"/>
      <w:numFmt w:val="decimal"/>
      <w:start w:val="5"/>
    </w:lvl>
  </w:abstractNum>
  <w:abstractNum w:abstractNumId="70">
    <w:nsid w:val="3B0FD379"/>
    <w:multiLevelType w:val="hybridMultilevel"/>
    <w:lvl w:ilvl="0">
      <w:lvlJc w:val="left"/>
      <w:lvlText w:val="%1."/>
      <w:numFmt w:val="upperLetter"/>
      <w:start w:val="2"/>
    </w:lvl>
    <w:lvl w:ilvl="1">
      <w:lvlJc w:val="left"/>
      <w:lvlText w:val="%2)"/>
      <w:numFmt w:val="decimal"/>
      <w:start w:val="1"/>
    </w:lvl>
  </w:abstractNum>
  <w:abstractNum w:abstractNumId="71">
    <w:nsid w:val="68EB2F63"/>
    <w:multiLevelType w:val="hybridMultilevel"/>
    <w:lvl w:ilvl="0">
      <w:lvlJc w:val="left"/>
      <w:lvlText w:val="%1."/>
      <w:numFmt w:val="upperLetter"/>
      <w:start w:val="22"/>
    </w:lvl>
  </w:abstractNum>
  <w:abstractNum w:abstractNumId="72">
    <w:nsid w:val="4962813B"/>
    <w:multiLevelType w:val="hybridMultilevel"/>
    <w:lvl w:ilvl="0">
      <w:lvlJc w:val="left"/>
      <w:lvlText w:val="%1."/>
      <w:numFmt w:val="decimal"/>
      <w:start w:val="1"/>
    </w:lvl>
  </w:abstractNum>
  <w:abstractNum w:abstractNumId="73">
    <w:nsid w:val="60B6DF70"/>
    <w:multiLevelType w:val="hybridMultilevel"/>
    <w:lvl w:ilvl="0">
      <w:lvlJc w:val="left"/>
      <w:lvlText w:val="(%1)"/>
      <w:numFmt w:val="decimal"/>
      <w:start w:val="1"/>
    </w:lvl>
  </w:abstractNum>
  <w:abstractNum w:abstractNumId="74">
    <w:nsid w:val="6A5EE64"/>
    <w:multiLevelType w:val="hybridMultilevel"/>
    <w:lvl w:ilvl="0">
      <w:lvlJc w:val="left"/>
      <w:lvlText w:val="%1."/>
      <w:numFmt w:val="decimal"/>
      <w:start w:val="1"/>
    </w:lvl>
  </w:abstractNum>
  <w:abstractNum w:abstractNumId="75">
    <w:nsid w:val="14330624"/>
    <w:multiLevelType w:val="hybridMultilevel"/>
    <w:lvl w:ilvl="0">
      <w:lvlJc w:val="left"/>
      <w:lvlText w:val="(%1)"/>
      <w:numFmt w:val="lowerLetter"/>
      <w:start w:val="1"/>
    </w:lvl>
  </w:abstractNum>
  <w:abstractNum w:abstractNumId="76">
    <w:nsid w:val="7FFFCA11"/>
    <w:multiLevelType w:val="hybridMultilevel"/>
    <w:lvl w:ilvl="0">
      <w:lvlJc w:val="left"/>
      <w:lvlText w:val="%1."/>
      <w:numFmt w:val="decimal"/>
      <w:start w:val="5"/>
    </w:lvl>
  </w:abstractNum>
  <w:abstractNum w:abstractNumId="77">
    <w:nsid w:val="1A27709E"/>
    <w:multiLevelType w:val="hybridMultilevel"/>
    <w:lvl w:ilvl="0">
      <w:lvlJc w:val="left"/>
      <w:lvlText w:val="(%1)"/>
      <w:numFmt w:val="lowerLetter"/>
      <w:start w:val="1"/>
    </w:lvl>
  </w:abstractNum>
  <w:abstractNum w:abstractNumId="78">
    <w:nsid w:val="71EA1109"/>
    <w:multiLevelType w:val="hybridMultilevel"/>
    <w:lvl w:ilvl="0">
      <w:lvlJc w:val="left"/>
      <w:lvlText w:val="%1."/>
      <w:numFmt w:val="decimal"/>
      <w:start w:val="1"/>
    </w:lvl>
  </w:abstractNum>
  <w:abstractNum w:abstractNumId="79">
    <w:nsid w:val="100F59DC"/>
    <w:multiLevelType w:val="hybridMultilevel"/>
    <w:lvl w:ilvl="0">
      <w:lvlJc w:val="left"/>
      <w:lvlText w:val="(%1)"/>
      <w:numFmt w:val="lowerLetter"/>
      <w:start w:val="1"/>
    </w:lvl>
    <w:lvl w:ilvl="1">
      <w:lvlJc w:val="left"/>
      <w:lvlText w:val="%2."/>
      <w:numFmt w:val="decimal"/>
      <w:start w:val="5"/>
    </w:lvl>
  </w:abstractNum>
  <w:abstractNum w:abstractNumId="80">
    <w:nsid w:val="7FB7E0AA"/>
    <w:multiLevelType w:val="hybridMultilevel"/>
    <w:lvl w:ilvl="0">
      <w:lvlJc w:val="left"/>
      <w:lvlText w:val="(%1)"/>
      <w:numFmt w:val="lowerLetter"/>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1."/>
      <w:numFmt w:val="decimal"/>
      <w:start w:val="1"/>
    </w:lvl>
  </w:abstractNum>
  <w:abstractNum w:abstractNumId="84">
    <w:nsid w:val="885E1B"/>
    <w:multiLevelType w:val="hybridMultilevel"/>
    <w:lvl w:ilvl="0">
      <w:lvlJc w:val="left"/>
      <w:lvlText w:val="%1."/>
      <w:numFmt w:val="decimal"/>
      <w:start w:val="2"/>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6"/>
    </w:lvl>
    <w:lvl w:ilvl="1">
      <w:lvlJc w:val="left"/>
      <w:lvlText w:val="%2"/>
      <w:numFmt w:val="lowerLetter"/>
      <w:start w:val="1"/>
    </w:lvl>
  </w:abstractNum>
  <w:abstractNum w:abstractNumId="87">
    <w:nsid w:val="1716703B"/>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8" Type="http://schemas.openxmlformats.org/officeDocument/2006/relationships/image" Target="media/image126.png"/><Relationship Id="rId167" Type="http://schemas.openxmlformats.org/officeDocument/2006/relationships/image" Target="media/image127.png"/><Relationship Id="rId186" Type="http://schemas.openxmlformats.org/officeDocument/2006/relationships/image" Target="media/image128.png"/><Relationship Id="rId196" Type="http://schemas.openxmlformats.org/officeDocument/2006/relationships/image" Target="media/image129.png"/><Relationship Id="rId197" Type="http://schemas.openxmlformats.org/officeDocument/2006/relationships/image" Target="media/image130.png"/><Relationship Id="rId198" Type="http://schemas.openxmlformats.org/officeDocument/2006/relationships/image" Target="media/image131.png"/><Relationship Id="rId199" Type="http://schemas.openxmlformats.org/officeDocument/2006/relationships/image" Target="media/image132.png"/><Relationship Id="rId200" Type="http://schemas.openxmlformats.org/officeDocument/2006/relationships/image" Target="media/image133.png"/><Relationship Id="rId201" Type="http://schemas.openxmlformats.org/officeDocument/2006/relationships/image" Target="media/image134.png"/><Relationship Id="rId202" Type="http://schemas.openxmlformats.org/officeDocument/2006/relationships/image" Target="media/image135.png"/><Relationship Id="rId203" Type="http://schemas.openxmlformats.org/officeDocument/2006/relationships/image" Target="media/image136.png"/><Relationship Id="rId204" Type="http://schemas.openxmlformats.org/officeDocument/2006/relationships/image" Target="media/image137.png"/><Relationship Id="rId205" Type="http://schemas.openxmlformats.org/officeDocument/2006/relationships/image" Target="media/image138.png"/><Relationship Id="rId206" Type="http://schemas.openxmlformats.org/officeDocument/2006/relationships/image" Target="media/image139.png"/><Relationship Id="rId207" Type="http://schemas.openxmlformats.org/officeDocument/2006/relationships/image" Target="media/image140.png"/><Relationship Id="rId208" Type="http://schemas.openxmlformats.org/officeDocument/2006/relationships/image" Target="media/image141.png"/><Relationship Id="rId209" Type="http://schemas.openxmlformats.org/officeDocument/2006/relationships/image" Target="media/image142.png"/><Relationship Id="rId210" Type="http://schemas.openxmlformats.org/officeDocument/2006/relationships/image" Target="media/image143.png"/><Relationship Id="rId211" Type="http://schemas.openxmlformats.org/officeDocument/2006/relationships/image" Target="media/image144.png"/><Relationship Id="rId212" Type="http://schemas.openxmlformats.org/officeDocument/2006/relationships/image" Target="media/image145.png"/><Relationship Id="rId213" Type="http://schemas.openxmlformats.org/officeDocument/2006/relationships/image" Target="media/image146.png"/><Relationship Id="rId214" Type="http://schemas.openxmlformats.org/officeDocument/2006/relationships/image" Target="media/image147.png"/><Relationship Id="rId215" Type="http://schemas.openxmlformats.org/officeDocument/2006/relationships/image" Target="media/image148.png"/><Relationship Id="rId216" Type="http://schemas.openxmlformats.org/officeDocument/2006/relationships/image" Target="media/image149.png"/><Relationship Id="rId217" Type="http://schemas.openxmlformats.org/officeDocument/2006/relationships/image" Target="media/image150.png"/><Relationship Id="rId218" Type="http://schemas.openxmlformats.org/officeDocument/2006/relationships/image" Target="media/image151.png"/><Relationship Id="rId219" Type="http://schemas.openxmlformats.org/officeDocument/2006/relationships/image" Target="media/image152.png"/><Relationship Id="rId220" Type="http://schemas.openxmlformats.org/officeDocument/2006/relationships/image" Target="media/image153.png"/><Relationship Id="rId221" Type="http://schemas.openxmlformats.org/officeDocument/2006/relationships/image" Target="media/image154.png"/><Relationship Id="rId222" Type="http://schemas.openxmlformats.org/officeDocument/2006/relationships/image" Target="media/image155.png"/><Relationship Id="rId223" Type="http://schemas.openxmlformats.org/officeDocument/2006/relationships/image" Target="media/image156.png"/><Relationship Id="rId224" Type="http://schemas.openxmlformats.org/officeDocument/2006/relationships/image" Target="media/image157.png"/><Relationship Id="rId225" Type="http://schemas.openxmlformats.org/officeDocument/2006/relationships/image" Target="media/image158.png"/><Relationship Id="rId226" Type="http://schemas.openxmlformats.org/officeDocument/2006/relationships/image" Target="media/image159.png"/><Relationship Id="rId227" Type="http://schemas.openxmlformats.org/officeDocument/2006/relationships/image" Target="media/image160.png"/><Relationship Id="rId228" Type="http://schemas.openxmlformats.org/officeDocument/2006/relationships/image" Target="media/image161.png"/><Relationship Id="rId229" Type="http://schemas.openxmlformats.org/officeDocument/2006/relationships/image" Target="media/image162.png"/><Relationship Id="rId230" Type="http://schemas.openxmlformats.org/officeDocument/2006/relationships/image" Target="media/image163.png"/><Relationship Id="rId231" Type="http://schemas.openxmlformats.org/officeDocument/2006/relationships/image" Target="media/image164.png"/><Relationship Id="rId232" Type="http://schemas.openxmlformats.org/officeDocument/2006/relationships/image" Target="media/image165.png"/><Relationship Id="rId233" Type="http://schemas.openxmlformats.org/officeDocument/2006/relationships/image" Target="media/image166.jpeg"/><Relationship Id="rId234" Type="http://schemas.openxmlformats.org/officeDocument/2006/relationships/image" Target="media/image167.png"/><Relationship Id="rId235" Type="http://schemas.openxmlformats.org/officeDocument/2006/relationships/image" Target="media/image168.png"/><Relationship Id="rId236" Type="http://schemas.openxmlformats.org/officeDocument/2006/relationships/image" Target="media/image169.png"/><Relationship Id="rId237" Type="http://schemas.openxmlformats.org/officeDocument/2006/relationships/image" Target="media/image170.png"/><Relationship Id="rId238" Type="http://schemas.openxmlformats.org/officeDocument/2006/relationships/image" Target="media/image171.png"/><Relationship Id="rId239" Type="http://schemas.openxmlformats.org/officeDocument/2006/relationships/image" Target="media/image172.png"/><Relationship Id="rId240" Type="http://schemas.openxmlformats.org/officeDocument/2006/relationships/image" Target="media/image173.png"/><Relationship Id="rId241" Type="http://schemas.openxmlformats.org/officeDocument/2006/relationships/image" Target="media/image174.png"/><Relationship Id="rId242" Type="http://schemas.openxmlformats.org/officeDocument/2006/relationships/image" Target="media/image175.png"/><Relationship Id="rId243" Type="http://schemas.openxmlformats.org/officeDocument/2006/relationships/image" Target="media/image176.png"/><Relationship Id="rId244" Type="http://schemas.openxmlformats.org/officeDocument/2006/relationships/image" Target="media/image177.png"/><Relationship Id="rId245" Type="http://schemas.openxmlformats.org/officeDocument/2006/relationships/image" Target="media/image178.png"/><Relationship Id="rId246" Type="http://schemas.openxmlformats.org/officeDocument/2006/relationships/image" Target="media/image179.png"/><Relationship Id="rId247" Type="http://schemas.openxmlformats.org/officeDocument/2006/relationships/image" Target="media/image180.png"/><Relationship Id="rId248" Type="http://schemas.openxmlformats.org/officeDocument/2006/relationships/image" Target="media/image181.png"/><Relationship Id="rId249" Type="http://schemas.openxmlformats.org/officeDocument/2006/relationships/image" Target="media/image182.png"/><Relationship Id="rId250" Type="http://schemas.openxmlformats.org/officeDocument/2006/relationships/image" Target="media/image183.png"/><Relationship Id="rId251" Type="http://schemas.openxmlformats.org/officeDocument/2006/relationships/image" Target="media/image184.png"/><Relationship Id="rId252" Type="http://schemas.openxmlformats.org/officeDocument/2006/relationships/image" Target="media/image185.png"/><Relationship Id="rId253" Type="http://schemas.openxmlformats.org/officeDocument/2006/relationships/image" Target="media/image186.png"/><Relationship Id="rId254" Type="http://schemas.openxmlformats.org/officeDocument/2006/relationships/image" Target="media/image187.png"/><Relationship Id="rId255" Type="http://schemas.openxmlformats.org/officeDocument/2006/relationships/image" Target="media/image188.png"/><Relationship Id="rId256" Type="http://schemas.openxmlformats.org/officeDocument/2006/relationships/image" Target="media/image189.png"/><Relationship Id="rId257" Type="http://schemas.openxmlformats.org/officeDocument/2006/relationships/image" Target="media/image190.png"/><Relationship Id="rId258" Type="http://schemas.openxmlformats.org/officeDocument/2006/relationships/image" Target="media/image191.png"/><Relationship Id="rId259" Type="http://schemas.openxmlformats.org/officeDocument/2006/relationships/image" Target="media/image192.png"/><Relationship Id="rId260" Type="http://schemas.openxmlformats.org/officeDocument/2006/relationships/image" Target="media/image193.png"/><Relationship Id="rId261" Type="http://schemas.openxmlformats.org/officeDocument/2006/relationships/image" Target="media/image194.png"/><Relationship Id="rId262" Type="http://schemas.openxmlformats.org/officeDocument/2006/relationships/image" Target="media/image195.png"/><Relationship Id="rId263" Type="http://schemas.openxmlformats.org/officeDocument/2006/relationships/image" Target="media/image196.png"/><Relationship Id="rId264" Type="http://schemas.openxmlformats.org/officeDocument/2006/relationships/image" Target="media/image197.png"/><Relationship Id="rId265" Type="http://schemas.openxmlformats.org/officeDocument/2006/relationships/image" Target="media/image198.png"/><Relationship Id="rId266" Type="http://schemas.openxmlformats.org/officeDocument/2006/relationships/image" Target="media/image199.png"/><Relationship Id="rId267" Type="http://schemas.openxmlformats.org/officeDocument/2006/relationships/image" Target="media/image200.png"/><Relationship Id="rId268" Type="http://schemas.openxmlformats.org/officeDocument/2006/relationships/image" Target="media/image201.png"/><Relationship Id="rId269" Type="http://schemas.openxmlformats.org/officeDocument/2006/relationships/image" Target="media/image202.png"/><Relationship Id="rId270" Type="http://schemas.openxmlformats.org/officeDocument/2006/relationships/image" Target="media/image203.png"/><Relationship Id="rId271" Type="http://schemas.openxmlformats.org/officeDocument/2006/relationships/image" Target="media/image204.png"/><Relationship Id="rId272" Type="http://schemas.openxmlformats.org/officeDocument/2006/relationships/image" Target="media/image205.png"/><Relationship Id="rId133" Type="http://schemas.openxmlformats.org/officeDocument/2006/relationships/hyperlink" Target="https://www.sec.gov/Archives/edgar/data/1425205/000114420417030892/v468249_ex2-1.htm" TargetMode="External"/><Relationship Id="rId134" Type="http://schemas.openxmlformats.org/officeDocument/2006/relationships/hyperlink" Target="https://www.sec.gov/Archives/edgar/data/1425205/000114420417030892/v468249_ex3-1.htm" TargetMode="External"/><Relationship Id="rId135" Type="http://schemas.openxmlformats.org/officeDocument/2006/relationships/hyperlink" Target="https://www.sec.gov/Archives/edgar/data/1425205/000114420417030892/v468249_ex3-2.htm" TargetMode="External"/><Relationship Id="rId136" Type="http://schemas.openxmlformats.org/officeDocument/2006/relationships/hyperlink" Target="https://www.sec.gov/Archives/edgar/data/1425205/000114420417030892/v468249_ex3-3.htm" TargetMode="External"/><Relationship Id="rId137" Type="http://schemas.openxmlformats.org/officeDocument/2006/relationships/hyperlink" Target="https://www.sec.gov/Archives/edgar/data/1425205/000114420417039309/v471615_ex3-4.htm" TargetMode="External"/><Relationship Id="rId138" Type="http://schemas.openxmlformats.org/officeDocument/2006/relationships/hyperlink" Target="https://www.sec.gov/Archives/edgar/data/1425205/000114420417039309/v471615_ex3-5.htm" TargetMode="External"/><Relationship Id="rId139" Type="http://schemas.openxmlformats.org/officeDocument/2006/relationships/hyperlink" Target="https://www.sec.gov/Archives/edgar/data/1425205/000114420417034350/v469760_ex3-1.htm" TargetMode="External"/><Relationship Id="rId140" Type="http://schemas.openxmlformats.org/officeDocument/2006/relationships/hyperlink" Target="https://www.sec.gov/Archives/edgar/data/1425205/000114420419030502/tv523383_ex3-1.htm" TargetMode="External"/><Relationship Id="rId141" Type="http://schemas.openxmlformats.org/officeDocument/2006/relationships/hyperlink" Target="https://www.sec.gov/Archives/edgar/data/1425205/000110465922053819/tm2214002d1_ex3-1.htm" TargetMode="External"/><Relationship Id="rId142" Type="http://schemas.openxmlformats.org/officeDocument/2006/relationships/hyperlink" Target="https://www.sec.gov/Archives/edgar/data/1425205/000114420418014151/tv485173_ex4-2.htm" TargetMode="External"/><Relationship Id="rId143" Type="http://schemas.openxmlformats.org/officeDocument/2006/relationships/hyperlink" Target="https://www.sec.gov/Archives/edgar/data/1425205/000110465920024830/ex-4d3.htm" TargetMode="External"/><Relationship Id="rId144" Type="http://schemas.openxmlformats.org/officeDocument/2006/relationships/hyperlink" Target="https://www.sec.gov/Archives/edgar/data/1425205/000114420411058601/v237591_ex10-3.htm" TargetMode="External"/><Relationship Id="rId145" Type="http://schemas.openxmlformats.org/officeDocument/2006/relationships/hyperlink" Target="https://www.sec.gov/Archives/edgar/data/1425205/000110465920024830/ex-10d4.htm" TargetMode="External"/><Relationship Id="rId146" Type="http://schemas.openxmlformats.org/officeDocument/2006/relationships/hyperlink" Target="https://www.sec.gov/Archives/edgar/data/1425205/000110465920024830/ex-10d5.htm" TargetMode="External"/><Relationship Id="rId147" Type="http://schemas.openxmlformats.org/officeDocument/2006/relationships/hyperlink" Target="https://www.sec.gov/Archives/edgar/data/1425205/000114420416111940/v443869_def14a.htm" TargetMode="External"/><Relationship Id="rId149" Type="http://schemas.openxmlformats.org/officeDocument/2006/relationships/hyperlink" Target="https://www.sec.gov/Archives/edgar/data/1425205/000110465920024830/ex-10d7.htm" TargetMode="External"/><Relationship Id="rId150" Type="http://schemas.openxmlformats.org/officeDocument/2006/relationships/hyperlink" Target="https://www.sec.gov/Archives/edgar/data/1425205/000110465920024830/ex-10d8.htm" TargetMode="External"/><Relationship Id="rId151" Type="http://schemas.openxmlformats.org/officeDocument/2006/relationships/hyperlink" Target="https://www.sec.gov/Archives/edgar/data/1425205/000155837023018029/iova-20230930xex10d1.htm" TargetMode="External"/><Relationship Id="rId152" Type="http://schemas.openxmlformats.org/officeDocument/2006/relationships/hyperlink" Target="https://www.sec.gov/Archives/edgar/data/1425205/000110465920024830/ex-10d10.htm" TargetMode="External"/><Relationship Id="rId153" Type="http://schemas.openxmlformats.org/officeDocument/2006/relationships/hyperlink" Target="https://www.sec.gov/Archives/edgar/data/1425205/000110465920024830/ex-10d11.htm" TargetMode="External"/><Relationship Id="rId154" Type="http://schemas.openxmlformats.org/officeDocument/2006/relationships/hyperlink" Target="https://www.sec.gov/Archives/edgar/data/1425205/000155837021010617/iova-20210630xex10d2.htm" TargetMode="External"/><Relationship Id="rId155" Type="http://schemas.openxmlformats.org/officeDocument/2006/relationships/hyperlink" Target="https://www.sec.gov/Archives/edgar/data/1425205/000155837021010617/iova-20210630xex10d3.htm" TargetMode="External"/><Relationship Id="rId156" Type="http://schemas.openxmlformats.org/officeDocument/2006/relationships/hyperlink" Target="https://www.sec.gov/Archives/edgar/data/1425205/000155837023018029/iova-20230930xex10d2.htm" TargetMode="External"/><Relationship Id="rId157" Type="http://schemas.openxmlformats.org/officeDocument/2006/relationships/hyperlink" Target="https://www.sec.gov/Archives/edgar/data/1425205/000155837022001976/iova-20211231xex10d13.htm" TargetMode="External"/><Relationship Id="rId158" Type="http://schemas.openxmlformats.org/officeDocument/2006/relationships/hyperlink" Target="https://www.sec.gov/Archives/edgar/data/1425205/000155837021012704/iova-20210922xex10d2.htm" TargetMode="External"/><Relationship Id="rId159" Type="http://schemas.openxmlformats.org/officeDocument/2006/relationships/hyperlink" Target="https://www.sec.gov/Archives/edgar/data/1425205/000155837021012704/iova-20210922xex10d3.htm" TargetMode="External"/><Relationship Id="rId160" Type="http://schemas.openxmlformats.org/officeDocument/2006/relationships/hyperlink" Target="https://www.sec.gov/Archives/edgar/data/1425205/000155837022012263/iova-20220630xex10d2.htm" TargetMode="External"/><Relationship Id="rId161" Type="http://schemas.openxmlformats.org/officeDocument/2006/relationships/hyperlink" Target="https://www.sec.gov/Archives/edgar/data/1425205/000114420411069602/v242935_ex10-1.htm" TargetMode="External"/><Relationship Id="rId162" Type="http://schemas.openxmlformats.org/officeDocument/2006/relationships/hyperlink" Target="https://www.sec.gov/Archives/edgar/data/1425205/000114420411067480/v241925_ex10-1.htm" TargetMode="External"/><Relationship Id="rId163" Type="http://schemas.openxmlformats.org/officeDocument/2006/relationships/hyperlink" Target="https://www.sec.gov/Archives/edgar/data/1425205/000151316013000040/ex102.htm" TargetMode="External"/><Relationship Id="rId164" Type="http://schemas.openxmlformats.org/officeDocument/2006/relationships/hyperlink" Target="https://www.sec.gov/Archives/edgar/data/1425205/000151316013000065/ex102.htm" TargetMode="External"/><Relationship Id="rId165" Type="http://schemas.openxmlformats.org/officeDocument/2006/relationships/hyperlink" Target="https://www.sec.gov/Archives/edgar/data/1425205/000114420415003901/v399590_ex10-1.htm" TargetMode="External"/><Relationship Id="rId166" Type="http://schemas.openxmlformats.org/officeDocument/2006/relationships/hyperlink" Target="https://www.sec.gov/Archives/edgar/data/1425205/000114420415016315/v403564_ex10-47.htm" TargetMode="External"/><Relationship Id="rId168" Type="http://schemas.openxmlformats.org/officeDocument/2006/relationships/hyperlink" Target="https://www.sec.gov/Archives/edgar/data/1425205/000114420415016315/v403564_ex10-46.htm" TargetMode="External"/><Relationship Id="rId169" Type="http://schemas.openxmlformats.org/officeDocument/2006/relationships/hyperlink" Target="https://www.sec.gov/Archives/edgar/data/1425205/000114420415063327/v423195_ex10-47.htm" TargetMode="External"/><Relationship Id="rId170" Type="http://schemas.openxmlformats.org/officeDocument/2006/relationships/hyperlink" Target="https://www.sec.gov/Archives/edgar/data/1425205/000155837021010617/iova-20210630xex10d1.htm" TargetMode="External"/><Relationship Id="rId171" Type="http://schemas.openxmlformats.org/officeDocument/2006/relationships/hyperlink" Target="https://www.sec.gov/Archives/edgar/data/1425205/000114420416106835/v441731_ex10-1.htm" TargetMode="External"/><Relationship Id="rId172" Type="http://schemas.openxmlformats.org/officeDocument/2006/relationships/hyperlink" Target="https://www.sec.gov/Archives/edgar/data/1425205/000114420416106835/v441731_ex10-2.htm" TargetMode="External"/><Relationship Id="rId173" Type="http://schemas.openxmlformats.org/officeDocument/2006/relationships/hyperlink" Target="https://www.sec.gov/Archives/edgar/data/1425205/000114420416122251/v448086_ex10-3.htm" TargetMode="External"/><Relationship Id="rId174" Type="http://schemas.openxmlformats.org/officeDocument/2006/relationships/hyperlink" Target="https://www.sec.gov/Archives/edgar/data/1425205/000114420417013535/v460270_ex10-36.htm" TargetMode="External"/><Relationship Id="rId175" Type="http://schemas.openxmlformats.org/officeDocument/2006/relationships/hyperlink" Target="https://www.sec.gov/Archives/edgar/data/1425205/000114420417040380/v471203_ex10-1.htm" TargetMode="External"/><Relationship Id="rId176" Type="http://schemas.openxmlformats.org/officeDocument/2006/relationships/hyperlink" Target="https://www.sec.gov/Archives/edgar/data/1425205/000114420418014151/tv485173_ex10-34.htm" TargetMode="External"/><Relationship Id="rId177" Type="http://schemas.openxmlformats.org/officeDocument/2006/relationships/hyperlink" Target="https://www.sec.gov/Archives/edgar/data/1425205/000114420418014151/tv485173_ex10-35.htm" TargetMode="External"/><Relationship Id="rId178" Type="http://schemas.openxmlformats.org/officeDocument/2006/relationships/hyperlink" Target="https://www.sec.gov/Archives/edgar/data/1425205/000114420416117596/v445492_ex10-3.htm" TargetMode="External"/><Relationship Id="rId179" Type="http://schemas.openxmlformats.org/officeDocument/2006/relationships/hyperlink" Target="https://www.sec.gov/Archives/edgar/data/1425205/000110465920091526/iova-20200630xex10d4.htm" TargetMode="External"/><Relationship Id="rId180" Type="http://schemas.openxmlformats.org/officeDocument/2006/relationships/hyperlink" Target="https://www.sec.gov/Archives/edgar/data/1425205/000114420418014151/tv485173_ex10-32.htm" TargetMode="External"/><Relationship Id="rId181" Type="http://schemas.openxmlformats.org/officeDocument/2006/relationships/hyperlink" Target="https://www.sec.gov/Archives/edgar/data/1425205/000114420419037248/iova-20190630ex1010a68ed.htm" TargetMode="External"/><Relationship Id="rId182" Type="http://schemas.openxmlformats.org/officeDocument/2006/relationships/hyperlink" Target="https://www.sec.gov/Archives/edgar/data/1425205/000155837021001858/iova-20201231xex10d30.htm" TargetMode="External"/><Relationship Id="rId183" Type="http://schemas.openxmlformats.org/officeDocument/2006/relationships/hyperlink" Target="https://www.sec.gov/Archives/edgar/data/1425205/000155837021006301/iova-20210331xex10d4.htm" TargetMode="External"/><Relationship Id="rId184" Type="http://schemas.openxmlformats.org/officeDocument/2006/relationships/hyperlink" Target="https://www.sec.gov/Archives/edgar/data/1425205/000114420416117275/v446243_ex10-1.htm" TargetMode="External"/><Relationship Id="rId185" Type="http://schemas.openxmlformats.org/officeDocument/2006/relationships/hyperlink" Target="https://www.sec.gov/Archives/edgar/data/1425205/000114420418055365/tv505364_ex10-1.htm" TargetMode="External"/><Relationship Id="rId187" Type="http://schemas.openxmlformats.org/officeDocument/2006/relationships/hyperlink" Target="https://www.sec.gov/Archives/edgar/data/1425205/000110465919059564/ex-10d1.htm" TargetMode="External"/><Relationship Id="rId188" Type="http://schemas.openxmlformats.org/officeDocument/2006/relationships/hyperlink" Target="https://www.sec.gov/Archives/edgar/data/1425205/000110465921016221/tm215703d2_ex10-2.htm" TargetMode="External"/><Relationship Id="rId189" Type="http://schemas.openxmlformats.org/officeDocument/2006/relationships/hyperlink" Target="https://www.sec.gov/Archives/edgar/data/1425205/000110465921016221/tm215703d2_ex10-3.htm" TargetMode="External"/><Relationship Id="rId190" Type="http://schemas.openxmlformats.org/officeDocument/2006/relationships/hyperlink" Target="https://www.sec.gov/Archives/edgar/data/1425205/000114420419029469/tv522894_ex10-1.htm" TargetMode="External"/><Relationship Id="rId191" Type="http://schemas.openxmlformats.org/officeDocument/2006/relationships/hyperlink" Target="https://www.sec.gov/Archives/edgar/data/1425205/000110465919059564/ex-10d2.htm" TargetMode="External"/><Relationship Id="rId192" Type="http://schemas.openxmlformats.org/officeDocument/2006/relationships/hyperlink" Target="https://www.sec.gov/Archives/edgar/data/1425205/000110465920091526/iova-20200630xex10d3.htm" TargetMode="External"/><Relationship Id="rId193" Type="http://schemas.openxmlformats.org/officeDocument/2006/relationships/hyperlink" Target="https://www.sec.gov/Archives/edgar/data/1425205/000155837022001976/iova-20211231xex10d46.htm" TargetMode="External"/><Relationship Id="rId194" Type="http://schemas.openxmlformats.org/officeDocument/2006/relationships/hyperlink" Target="https://www.sec.gov/Archives/edgar/data/1425205/000110465921016221/tm215703d2_ex10-1.htm" TargetMode="External"/><Relationship Id="rId195" Type="http://schemas.openxmlformats.org/officeDocument/2006/relationships/hyperlink" Target="https://www.sec.gov/Archives/edgar/data/1425205/000110465923007585/tm23459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2024-02-28T17:00:06Z</dcterms:created>
  <dcterms:modified xsi:type="dcterms:W3CDTF">2024-02-28T17:00:06Z</dcterms:modified>
</cp:coreProperties>
</file>