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426720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86" w:lineRule="exact"/>
        <w:rPr>
          <w:sz w:val="24"/>
          <w:szCs w:val="24"/>
          <w:color w:val="auto"/>
        </w:rPr>
      </w:pPr>
    </w:p>
    <w:p>
      <w:pPr>
        <w:ind w:left="1"/>
        <w:spacing w:after="0"/>
        <w:rPr>
          <w:sz w:val="20"/>
          <w:szCs w:val="20"/>
          <w:color w:val="auto"/>
        </w:rPr>
      </w:pPr>
      <w:r>
        <w:rPr>
          <w:rFonts w:ascii="Arial" w:cs="Arial" w:eastAsia="Arial" w:hAnsi="Arial"/>
          <w:sz w:val="14"/>
          <w:szCs w:val="14"/>
          <w:color w:val="auto"/>
        </w:rPr>
        <w:t>(Mark One)</w:t>
      </w:r>
    </w:p>
    <w:p>
      <w:pPr>
        <w:spacing w:after="0" w:line="96" w:lineRule="exact"/>
        <w:rPr>
          <w:sz w:val="24"/>
          <w:szCs w:val="24"/>
          <w:color w:val="auto"/>
        </w:rPr>
      </w:pPr>
    </w:p>
    <w:p>
      <w:pPr>
        <w:ind w:left="3741" w:right="2720" w:hanging="3741"/>
        <w:spacing w:after="0" w:line="334" w:lineRule="auto"/>
        <w:tabs>
          <w:tab w:leader="none" w:pos="649"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 For the fiscal year ended December 31, 2019</w:t>
      </w:r>
    </w:p>
    <w:p>
      <w:pPr>
        <w:spacing w:after="0" w:line="28" w:lineRule="exact"/>
        <w:rPr>
          <w:sz w:val="24"/>
          <w:szCs w:val="24"/>
          <w:color w:val="auto"/>
        </w:rPr>
      </w:pPr>
    </w:p>
    <w:p>
      <w:pPr>
        <w:ind w:left="3301" w:right="2460" w:hanging="3301"/>
        <w:spacing w:after="0" w:line="344" w:lineRule="auto"/>
        <w:tabs>
          <w:tab w:leader="none" w:pos="643"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 For the transaction period from __________ to __________</w:t>
      </w:r>
    </w:p>
    <w:p>
      <w:pPr>
        <w:ind w:left="3961"/>
        <w:spacing w:after="0"/>
        <w:rPr>
          <w:rFonts w:ascii="Arial" w:cs="Arial" w:eastAsia="Arial" w:hAnsi="Arial"/>
          <w:sz w:val="14"/>
          <w:szCs w:val="14"/>
          <w:color w:val="auto"/>
        </w:rPr>
      </w:pPr>
      <w:r>
        <w:rPr>
          <w:rFonts w:ascii="Arial" w:cs="Arial" w:eastAsia="Arial" w:hAnsi="Arial"/>
          <w:sz w:val="14"/>
          <w:szCs w:val="14"/>
          <w:color w:val="auto"/>
        </w:rPr>
        <w:t>Commission file number: 001-36860</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IOVANCE BIOTHERAPEUTICS,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71" w:lineRule="exact"/>
        <w:rPr>
          <w:sz w:val="24"/>
          <w:szCs w:val="24"/>
          <w:color w:val="auto"/>
        </w:rPr>
      </w:pPr>
    </w:p>
    <w:tbl>
      <w:tblPr>
        <w:tblLayout w:type="fixed"/>
        <w:tblInd w:w="1" w:type="dxa"/>
        <w:tblCellMar>
          <w:top w:w="0" w:type="dxa"/>
          <w:left w:w="0" w:type="dxa"/>
          <w:bottom w:w="0" w:type="dxa"/>
          <w:right w:w="0" w:type="dxa"/>
        </w:tblCellMar>
      </w:tblPr>
      <w:tr>
        <w:trPr>
          <w:trHeight w:val="161"/>
        </w:trPr>
        <w:tc>
          <w:tcPr>
            <w:tcW w:w="430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w w:val="94"/>
              </w:rPr>
              <w:t>Delaware</w:t>
            </w: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tcPr>
          <w:p>
            <w:pPr>
              <w:jc w:val="right"/>
              <w:ind w:right="2088"/>
              <w:spacing w:after="0"/>
              <w:rPr>
                <w:sz w:val="20"/>
                <w:szCs w:val="20"/>
                <w:color w:val="auto"/>
              </w:rPr>
            </w:pPr>
            <w:r>
              <w:rPr>
                <w:rFonts w:ascii="Arial" w:cs="Arial" w:eastAsia="Arial" w:hAnsi="Arial"/>
                <w:sz w:val="14"/>
                <w:szCs w:val="14"/>
                <w:b w:val="1"/>
                <w:bCs w:val="1"/>
                <w:color w:val="auto"/>
              </w:rPr>
              <w:t>75-3254381</w:t>
            </w:r>
          </w:p>
        </w:tc>
        <w:tc>
          <w:tcPr>
            <w:tcW w:w="0" w:type="dxa"/>
            <w:vAlign w:val="bottom"/>
          </w:tcPr>
          <w:p>
            <w:pPr>
              <w:spacing w:after="0"/>
              <w:rPr>
                <w:sz w:val="1"/>
                <w:szCs w:val="1"/>
                <w:color w:val="auto"/>
              </w:rPr>
            </w:pPr>
          </w:p>
        </w:tc>
      </w:tr>
      <w:tr>
        <w:trPr>
          <w:trHeight w:val="149"/>
        </w:trPr>
        <w:tc>
          <w:tcPr>
            <w:tcW w:w="4300" w:type="dxa"/>
            <w:vAlign w:val="bottom"/>
            <w:gridSpan w:val="3"/>
          </w:tcPr>
          <w:p>
            <w:pPr>
              <w:jc w:val="center"/>
              <w:ind w:left="668"/>
              <w:spacing w:after="0" w:line="149" w:lineRule="exact"/>
              <w:rPr>
                <w:sz w:val="20"/>
                <w:szCs w:val="20"/>
                <w:color w:val="auto"/>
              </w:rPr>
            </w:pPr>
            <w:r>
              <w:rPr>
                <w:rFonts w:ascii="Arial" w:cs="Arial" w:eastAsia="Arial" w:hAnsi="Arial"/>
                <w:sz w:val="14"/>
                <w:szCs w:val="14"/>
                <w:color w:val="auto"/>
                <w:w w:val="94"/>
              </w:rPr>
              <w:t>(State or Other Jurisdiction of</w:t>
            </w: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0" w:type="dxa"/>
            <w:vAlign w:val="bottom"/>
          </w:tcPr>
          <w:p>
            <w:pPr>
              <w:jc w:val="center"/>
              <w:ind w:right="1748"/>
              <w:spacing w:after="0" w:line="149" w:lineRule="exact"/>
              <w:rPr>
                <w:sz w:val="20"/>
                <w:szCs w:val="20"/>
                <w:color w:val="auto"/>
              </w:rPr>
            </w:pPr>
            <w:r>
              <w:rPr>
                <w:rFonts w:ascii="Arial" w:cs="Arial" w:eastAsia="Arial" w:hAnsi="Arial"/>
                <w:sz w:val="14"/>
                <w:szCs w:val="14"/>
                <w:color w:val="auto"/>
                <w:w w:val="99"/>
              </w:rPr>
              <w:t>(I.R.S. Employer</w:t>
            </w:r>
          </w:p>
        </w:tc>
        <w:tc>
          <w:tcPr>
            <w:tcW w:w="0" w:type="dxa"/>
            <w:vAlign w:val="bottom"/>
          </w:tcPr>
          <w:p>
            <w:pPr>
              <w:spacing w:after="0"/>
              <w:rPr>
                <w:sz w:val="1"/>
                <w:szCs w:val="1"/>
                <w:color w:val="auto"/>
              </w:rPr>
            </w:pPr>
          </w:p>
        </w:tc>
      </w:tr>
      <w:tr>
        <w:trPr>
          <w:trHeight w:val="182"/>
        </w:trPr>
        <w:tc>
          <w:tcPr>
            <w:tcW w:w="4300" w:type="dxa"/>
            <w:vAlign w:val="bottom"/>
            <w:gridSpan w:val="3"/>
          </w:tcPr>
          <w:p>
            <w:pPr>
              <w:jc w:val="center"/>
              <w:ind w:left="668"/>
              <w:spacing w:after="0"/>
              <w:rPr>
                <w:sz w:val="20"/>
                <w:szCs w:val="20"/>
                <w:color w:val="auto"/>
              </w:rPr>
            </w:pPr>
            <w:r>
              <w:rPr>
                <w:rFonts w:ascii="Arial" w:cs="Arial" w:eastAsia="Arial" w:hAnsi="Arial"/>
                <w:sz w:val="14"/>
                <w:szCs w:val="14"/>
                <w:color w:val="auto"/>
                <w:w w:val="94"/>
              </w:rPr>
              <w:t>Incorporation or Organization)</w:t>
            </w:r>
          </w:p>
        </w:tc>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tcPr>
          <w:p>
            <w:pPr>
              <w:jc w:val="center"/>
              <w:ind w:right="174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23"/>
        </w:trPr>
        <w:tc>
          <w:tcPr>
            <w:tcW w:w="430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w w:val="93"/>
              </w:rPr>
              <w:t>999 Skyway Road, Suite 150, San Carlos, California</w:t>
            </w: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tcPr>
          <w:p>
            <w:pPr>
              <w:jc w:val="right"/>
              <w:ind w:right="2268"/>
              <w:spacing w:after="0"/>
              <w:rPr>
                <w:sz w:val="20"/>
                <w:szCs w:val="20"/>
                <w:color w:val="auto"/>
              </w:rPr>
            </w:pPr>
            <w:r>
              <w:rPr>
                <w:rFonts w:ascii="Arial" w:cs="Arial" w:eastAsia="Arial" w:hAnsi="Arial"/>
                <w:sz w:val="14"/>
                <w:szCs w:val="14"/>
                <w:b w:val="1"/>
                <w:bCs w:val="1"/>
                <w:color w:val="auto"/>
              </w:rPr>
              <w:t>94070</w:t>
            </w:r>
          </w:p>
        </w:tc>
        <w:tc>
          <w:tcPr>
            <w:tcW w:w="0" w:type="dxa"/>
            <w:vAlign w:val="bottom"/>
          </w:tcPr>
          <w:p>
            <w:pPr>
              <w:spacing w:after="0"/>
              <w:rPr>
                <w:sz w:val="1"/>
                <w:szCs w:val="1"/>
                <w:color w:val="auto"/>
              </w:rPr>
            </w:pPr>
          </w:p>
        </w:tc>
      </w:tr>
      <w:tr>
        <w:trPr>
          <w:trHeight w:val="182"/>
        </w:trPr>
        <w:tc>
          <w:tcPr>
            <w:tcW w:w="4300" w:type="dxa"/>
            <w:vAlign w:val="bottom"/>
            <w:gridSpan w:val="3"/>
          </w:tcPr>
          <w:p>
            <w:pPr>
              <w:jc w:val="center"/>
              <w:ind w:left="668"/>
              <w:spacing w:after="0"/>
              <w:rPr>
                <w:sz w:val="20"/>
                <w:szCs w:val="20"/>
                <w:color w:val="auto"/>
              </w:rPr>
            </w:pPr>
            <w:r>
              <w:rPr>
                <w:rFonts w:ascii="Arial" w:cs="Arial" w:eastAsia="Arial" w:hAnsi="Arial"/>
                <w:sz w:val="14"/>
                <w:szCs w:val="14"/>
                <w:color w:val="auto"/>
                <w:w w:val="95"/>
              </w:rPr>
              <w:t>(Address of Principal Executive Offices)</w:t>
            </w:r>
          </w:p>
        </w:tc>
        <w:tc>
          <w:tcPr>
            <w:tcW w:w="2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tcPr>
          <w:p>
            <w:pPr>
              <w:jc w:val="center"/>
              <w:ind w:right="174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60" w:type="dxa"/>
            <w:vAlign w:val="bottom"/>
          </w:tcPr>
          <w:p>
            <w:pPr>
              <w:jc w:val="center"/>
              <w:ind w:right="828"/>
              <w:spacing w:after="0"/>
              <w:rPr>
                <w:sz w:val="20"/>
                <w:szCs w:val="20"/>
                <w:color w:val="auto"/>
              </w:rPr>
            </w:pPr>
            <w:r>
              <w:rPr>
                <w:rFonts w:ascii="Arial" w:cs="Arial" w:eastAsia="Arial" w:hAnsi="Arial"/>
                <w:sz w:val="14"/>
                <w:szCs w:val="14"/>
                <w:b w:val="1"/>
                <w:bCs w:val="1"/>
                <w:color w:val="auto"/>
                <w:w w:val="93"/>
              </w:rPr>
              <w:t>(650) 260-7120</w:t>
            </w: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(Registrant’s Telephone Number, Including Area Code)</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3620" w:type="dxa"/>
            <w:vAlign w:val="bottom"/>
            <w:gridSpan w:val="4"/>
          </w:tcPr>
          <w:p>
            <w:pPr>
              <w:jc w:val="center"/>
              <w:ind w:right="2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300" w:type="dxa"/>
            <w:vAlign w:val="bottom"/>
            <w:gridSpan w:val="3"/>
            <w:vMerge w:val="restart"/>
          </w:tcPr>
          <w:p>
            <w:pPr>
              <w:jc w:val="center"/>
              <w:ind w:right="988"/>
              <w:spacing w:after="0"/>
              <w:rPr>
                <w:sz w:val="20"/>
                <w:szCs w:val="20"/>
                <w:color w:val="auto"/>
              </w:rPr>
            </w:pPr>
            <w:r>
              <w:rPr>
                <w:rFonts w:ascii="Arial" w:cs="Arial" w:eastAsia="Arial" w:hAnsi="Arial"/>
                <w:sz w:val="14"/>
                <w:szCs w:val="14"/>
                <w:b w:val="1"/>
                <w:bCs w:val="1"/>
                <w:color w:val="auto"/>
                <w:w w:val="93"/>
              </w:rPr>
              <w:t>Title of Each Class</w:t>
            </w:r>
          </w:p>
        </w:tc>
        <w:tc>
          <w:tcPr>
            <w:tcW w:w="256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w w:val="92"/>
              </w:rPr>
              <w:t>Trading Symbol(s)</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3"/>
              </w:rPr>
              <w:t>Name Of Each Exchange</w:t>
            </w:r>
          </w:p>
        </w:tc>
        <w:tc>
          <w:tcPr>
            <w:tcW w:w="0" w:type="dxa"/>
            <w:vAlign w:val="bottom"/>
          </w:tcPr>
          <w:p>
            <w:pPr>
              <w:spacing w:after="0"/>
              <w:rPr>
                <w:sz w:val="1"/>
                <w:szCs w:val="1"/>
                <w:color w:val="auto"/>
              </w:rPr>
            </w:pPr>
          </w:p>
        </w:tc>
      </w:tr>
      <w:tr>
        <w:trPr>
          <w:trHeight w:val="171"/>
        </w:trPr>
        <w:tc>
          <w:tcPr>
            <w:tcW w:w="4300" w:type="dxa"/>
            <w:vAlign w:val="bottom"/>
            <w:gridSpan w:val="3"/>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76"/>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$ 0.000041666 Par Value per Share</w:t>
            </w: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jc w:val="center"/>
              <w:ind w:right="788"/>
              <w:spacing w:after="0"/>
              <w:rPr>
                <w:sz w:val="20"/>
                <w:szCs w:val="20"/>
                <w:color w:val="auto"/>
              </w:rPr>
            </w:pPr>
            <w:r>
              <w:rPr>
                <w:rFonts w:ascii="Arial" w:cs="Arial" w:eastAsia="Arial" w:hAnsi="Arial"/>
                <w:sz w:val="14"/>
                <w:szCs w:val="14"/>
                <w:color w:val="auto"/>
              </w:rPr>
              <w:t>IOVA</w:t>
            </w:r>
          </w:p>
        </w:tc>
        <w:tc>
          <w:tcPr>
            <w:tcW w:w="200" w:type="dxa"/>
            <w:vAlign w:val="bottom"/>
          </w:tcPr>
          <w:p>
            <w:pPr>
              <w:spacing w:after="0"/>
              <w:rPr>
                <w:sz w:val="15"/>
                <w:szCs w:val="15"/>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bl>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ind w:left="4881"/>
        <w:spacing w:after="0"/>
        <w:rPr>
          <w:sz w:val="20"/>
          <w:szCs w:val="20"/>
          <w:color w:val="auto"/>
        </w:rPr>
      </w:pPr>
      <w:r>
        <w:rPr>
          <w:rFonts w:ascii="Arial" w:cs="Arial" w:eastAsia="Arial" w:hAnsi="Arial"/>
          <w:sz w:val="14"/>
          <w:szCs w:val="14"/>
          <w:b w:val="1"/>
          <w:bCs w:val="1"/>
          <w:color w:val="auto"/>
        </w:rPr>
        <w:t>None</w:t>
      </w:r>
    </w:p>
    <w:p>
      <w:pPr>
        <w:spacing w:after="0" w:line="56" w:lineRule="exact"/>
        <w:rPr>
          <w:sz w:val="24"/>
          <w:szCs w:val="24"/>
          <w:color w:val="auto"/>
        </w:rPr>
      </w:pPr>
    </w:p>
    <w:p>
      <w:pPr>
        <w:ind w:left="1"/>
        <w:spacing w:after="0" w:line="18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3" w:lineRule="exact"/>
        <w:rPr>
          <w:sz w:val="24"/>
          <w:szCs w:val="24"/>
          <w:color w:val="auto"/>
        </w:rPr>
      </w:pPr>
    </w:p>
    <w:p>
      <w:pPr>
        <w:ind w:left="1"/>
        <w:spacing w:after="0" w:line="188"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ind w:left="1" w:right="80"/>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9" w:lineRule="exact"/>
        <w:rPr>
          <w:sz w:val="24"/>
          <w:szCs w:val="24"/>
          <w:color w:val="auto"/>
        </w:rPr>
      </w:pPr>
    </w:p>
    <w:p>
      <w:pPr>
        <w:ind w:left="1" w:right="4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left="1" w:right="20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61"/>
          </w:cols>
          <w:pgMar w:left="919" w:top="665" w:right="919" w:bottom="1440" w:gutter="0" w:footer="0" w:header="0"/>
        </w:sectPr>
      </w:pPr>
    </w:p>
    <w:p>
      <w:pPr>
        <w:spacing w:after="0" w:line="75" w:lineRule="exact"/>
        <w:rPr>
          <w:sz w:val="24"/>
          <w:szCs w:val="24"/>
          <w:color w:val="auto"/>
        </w:rPr>
      </w:pPr>
    </w:p>
    <w:p>
      <w:pPr>
        <w:ind w:left="1"/>
        <w:spacing w:after="0" w:line="334"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2"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27"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pacing w:after="0" w:line="70" w:lineRule="exact"/>
        <w:rPr>
          <w:sz w:val="24"/>
          <w:szCs w:val="24"/>
          <w:color w:val="auto"/>
        </w:rPr>
      </w:pPr>
    </w:p>
    <w:p>
      <w:pPr>
        <w:sectPr>
          <w:pgSz w:w="11900" w:h="16838" w:orient="portrait"/>
          <w:cols w:equalWidth="0" w:num="3">
            <w:col w:w="1301" w:space="100"/>
            <w:col w:w="2900" w:space="720"/>
            <w:col w:w="5040"/>
          </w:cols>
          <w:pgMar w:left="919" w:top="665" w:right="919" w:bottom="1440" w:gutter="0" w:footer="0" w:header="0"/>
          <w:type w:val="continuous"/>
        </w:sectPr>
      </w:pPr>
    </w:p>
    <w:p>
      <w:pPr>
        <w:ind w:left="1" w:right="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left="1"/>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ind w:left="1" w:right="80"/>
        <w:spacing w:after="0" w:line="256" w:lineRule="auto"/>
        <w:rPr>
          <w:sz w:val="20"/>
          <w:szCs w:val="20"/>
          <w:color w:val="auto"/>
        </w:rPr>
      </w:pPr>
      <w:r>
        <w:rPr>
          <w:rFonts w:ascii="Arial" w:cs="Arial" w:eastAsia="Arial" w:hAnsi="Arial"/>
          <w:sz w:val="13"/>
          <w:szCs w:val="13"/>
          <w:color w:val="auto"/>
        </w:rPr>
        <w:t>The aggregate market value of the registrant’s common stock held by non-affiliates on June 30, 2019, the last business day of the registrant’s most recently completed second fiscal quarter, was approximately $2.9 billion. Shares of common stock held by directors and executive officers and any ten percent or greater stockholders and their respective affiliates have been excluded from this calculation, because such stockholders may be deemed to be "affiliates" of the Registrant. This is not necessarily determinative of affiliate status of other purposes. As of February 17, 2020, there were 126,498,470 shares of the registrant’s common stock outstanding.</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left="1" w:right="340" w:firstLine="492"/>
        <w:spacing w:after="0" w:line="234" w:lineRule="auto"/>
        <w:rPr>
          <w:sz w:val="20"/>
          <w:szCs w:val="20"/>
          <w:color w:val="auto"/>
        </w:rPr>
      </w:pPr>
      <w:r>
        <w:rPr>
          <w:rFonts w:ascii="Arial" w:cs="Arial" w:eastAsia="Arial" w:hAnsi="Arial"/>
          <w:sz w:val="14"/>
          <w:szCs w:val="14"/>
          <w:color w:val="auto"/>
        </w:rPr>
        <w:t>Portions of registrant’s proxy statement relating to registrant’s 2020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822325</wp:posOffset>
            </wp:positionV>
            <wp:extent cx="638873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wp:posOffset>
            </wp:positionV>
            <wp:extent cx="638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638873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34290"/>
                    </a:xfrm>
                    <a:prstGeom prst="rect">
                      <a:avLst/>
                    </a:prstGeom>
                    <a:noFill/>
                  </pic:spPr>
                </pic:pic>
              </a:graphicData>
            </a:graphic>
          </wp:anchor>
        </w:drawing>
      </w:r>
    </w:p>
    <w:p>
      <w:pPr>
        <w:sectPr>
          <w:pgSz w:w="11900" w:h="16838" w:orient="portrait"/>
          <w:cols w:equalWidth="0" w:num="1">
            <w:col w:w="10061"/>
          </w:cols>
          <w:pgMar w:left="919" w:top="665" w:right="9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60" w:type="dxa"/>
            <w:vAlign w:val="bottom"/>
            <w:gridSpan w:val="3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9"/>
          </w:tcPr>
          <w:p>
            <w:pPr>
              <w:ind w:left="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PART I</w:t>
              </w:r>
            </w:hyperlink>
          </w:p>
        </w:tc>
        <w:tc>
          <w:tcPr>
            <w:tcW w:w="480" w:type="dxa"/>
            <w:vAlign w:val="bottom"/>
            <w:tcBorders>
              <w:bottom w:val="single" w:sz="8" w:color="CCEEFF"/>
            </w:tcBorders>
            <w:gridSpan w:val="5"/>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40" w:type="dxa"/>
            <w:vAlign w:val="bottom"/>
            <w:gridSpan w:val="2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1A.</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714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1B.</w:t>
              </w:r>
            </w:hyperlink>
          </w:p>
        </w:tc>
        <w:tc>
          <w:tcPr>
            <w:tcW w:w="8040" w:type="dxa"/>
            <w:vAlign w:val="bottom"/>
            <w:gridSpan w:val="22"/>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Unresolved Staff Comments</w:t>
              </w:r>
            </w:hyperlink>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2.</w:t>
              </w:r>
            </w:hyperlink>
          </w:p>
        </w:tc>
        <w:tc>
          <w:tcPr>
            <w:tcW w:w="8040" w:type="dxa"/>
            <w:vAlign w:val="bottom"/>
            <w:gridSpan w:val="22"/>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Properties</w:t>
              </w:r>
            </w:hyperlink>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3.</w:t>
              </w:r>
            </w:hyperlink>
          </w:p>
        </w:tc>
        <w:tc>
          <w:tcPr>
            <w:tcW w:w="8040" w:type="dxa"/>
            <w:vAlign w:val="bottom"/>
            <w:gridSpan w:val="22"/>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Legal Proceedings.</w:t>
              </w:r>
            </w:hyperlink>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4.</w:t>
              </w:r>
            </w:hyperlink>
          </w:p>
        </w:tc>
        <w:tc>
          <w:tcPr>
            <w:tcW w:w="8040" w:type="dxa"/>
            <w:vAlign w:val="bottom"/>
            <w:gridSpan w:val="2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Mine Safety Disclosures.</w:t>
              </w:r>
            </w:hyperlink>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82">
              <w:r>
                <w:rPr>
                  <w:rFonts w:ascii="Arial" w:cs="Arial" w:eastAsia="Arial" w:hAnsi="Arial"/>
                  <w:sz w:val="18"/>
                  <w:szCs w:val="18"/>
                  <w:color w:val="0000EE"/>
                  <w:w w:val="95"/>
                </w:rPr>
                <w:t>PART II</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5.</w:t>
              </w:r>
            </w:hyperlink>
          </w:p>
        </w:tc>
        <w:tc>
          <w:tcPr>
            <w:tcW w:w="8040" w:type="dxa"/>
            <w:vAlign w:val="bottom"/>
            <w:gridSpan w:val="22"/>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Market for Common Equity, Related Stockholder Matters and Issuer Purchases of Equity Securities</w:t>
              </w:r>
            </w:hyperlink>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6.</w:t>
              </w:r>
            </w:hyperlink>
          </w:p>
        </w:tc>
        <w:tc>
          <w:tcPr>
            <w:tcW w:w="8040" w:type="dxa"/>
            <w:vAlign w:val="bottom"/>
            <w:gridSpan w:val="22"/>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Selected Financial Data</w:t>
              </w:r>
            </w:hyperlink>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7.</w:t>
              </w:r>
            </w:hyperlink>
          </w:p>
        </w:tc>
        <w:tc>
          <w:tcPr>
            <w:tcW w:w="8040" w:type="dxa"/>
            <w:vAlign w:val="bottom"/>
            <w:gridSpan w:val="22"/>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Item 7A.</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Quantitative and Qualitative Disclosures About Market Risk</w:t>
              </w:r>
            </w:hyperlink>
          </w:p>
        </w:tc>
        <w:tc>
          <w:tcPr>
            <w:tcW w:w="368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8.</w:t>
              </w:r>
            </w:hyperlink>
          </w:p>
        </w:tc>
        <w:tc>
          <w:tcPr>
            <w:tcW w:w="8040" w:type="dxa"/>
            <w:vAlign w:val="bottom"/>
            <w:gridSpan w:val="22"/>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Financial Statements and Supplementary Data</w:t>
              </w:r>
            </w:hyperlink>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9.</w:t>
              </w:r>
            </w:hyperlink>
          </w:p>
        </w:tc>
        <w:tc>
          <w:tcPr>
            <w:tcW w:w="8040" w:type="dxa"/>
            <w:vAlign w:val="bottom"/>
            <w:gridSpan w:val="22"/>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9A.</w:t>
              </w:r>
            </w:hyperlink>
          </w:p>
        </w:tc>
        <w:tc>
          <w:tcPr>
            <w:tcW w:w="8040" w:type="dxa"/>
            <w:vAlign w:val="bottom"/>
            <w:gridSpan w:val="22"/>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7"/>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Item 9B.</w:t>
              </w:r>
            </w:hyperlink>
          </w:p>
        </w:tc>
        <w:tc>
          <w:tcPr>
            <w:tcW w:w="8040" w:type="dxa"/>
            <w:vAlign w:val="bottom"/>
            <w:gridSpan w:val="22"/>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PART III</w:t>
              </w:r>
            </w:hyperlink>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Item 10.</w:t>
              </w:r>
            </w:hyperlink>
          </w:p>
        </w:tc>
        <w:tc>
          <w:tcPr>
            <w:tcW w:w="8040" w:type="dxa"/>
            <w:vAlign w:val="bottom"/>
            <w:gridSpan w:val="22"/>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Directors, Executive Officers and Corporate Governance</w:t>
              </w:r>
            </w:hyperlink>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Item 11.</w:t>
              </w:r>
            </w:hyperlink>
          </w:p>
        </w:tc>
        <w:tc>
          <w:tcPr>
            <w:tcW w:w="420" w:type="dxa"/>
            <w:vAlign w:val="bottom"/>
            <w:tcBorders>
              <w:bottom w:val="single" w:sz="8" w:color="CCEEFF"/>
            </w:tcBorders>
            <w:gridSpan w:val="4"/>
            <w:shd w:val="clear" w:color="auto" w:fill="CCEEFF"/>
          </w:tcPr>
          <w:p>
            <w:pPr>
              <w:spacing w:after="0"/>
              <w:rPr>
                <w:sz w:val="17"/>
                <w:szCs w:val="17"/>
                <w:color w:val="auto"/>
              </w:rPr>
            </w:pPr>
          </w:p>
        </w:tc>
        <w:tc>
          <w:tcPr>
            <w:tcW w:w="18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Executive Compensation</w:t>
              </w:r>
            </w:hyperlink>
          </w:p>
        </w:tc>
        <w:tc>
          <w:tcPr>
            <w:tcW w:w="624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Item 12.</w:t>
              </w:r>
            </w:hyperlink>
          </w:p>
        </w:tc>
        <w:tc>
          <w:tcPr>
            <w:tcW w:w="8040" w:type="dxa"/>
            <w:vAlign w:val="bottom"/>
            <w:gridSpan w:val="22"/>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Security Ownership of Certain Beneficial Owners and Management and Related Stockholder Matters</w:t>
              </w:r>
            </w:hyperlink>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Item 13.</w:t>
              </w:r>
            </w:hyperlink>
          </w:p>
        </w:tc>
        <w:tc>
          <w:tcPr>
            <w:tcW w:w="420" w:type="dxa"/>
            <w:vAlign w:val="bottom"/>
            <w:gridSpan w:val="4"/>
            <w:shd w:val="clear" w:color="auto" w:fill="CCEEFF"/>
          </w:tcPr>
          <w:p>
            <w:pPr>
              <w:spacing w:after="0"/>
              <w:rPr>
                <w:sz w:val="17"/>
                <w:szCs w:val="17"/>
                <w:color w:val="auto"/>
              </w:rPr>
            </w:pPr>
          </w:p>
        </w:tc>
        <w:tc>
          <w:tcPr>
            <w:tcW w:w="8040" w:type="dxa"/>
            <w:vAlign w:val="bottom"/>
            <w:gridSpan w:val="22"/>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Transactions, and Director Independence.</w:t>
              </w:r>
            </w:hyperlink>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gridSpan w:val="3"/>
          </w:tcPr>
          <w:p>
            <w:pPr>
              <w:spacing w:after="0" w:line="17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Item 14.</w:t>
              </w:r>
            </w:hyperlink>
          </w:p>
        </w:tc>
        <w:tc>
          <w:tcPr>
            <w:tcW w:w="420" w:type="dxa"/>
            <w:vAlign w:val="bottom"/>
            <w:tcBorders>
              <w:top w:val="single" w:sz="8" w:color="CCEEFF"/>
            </w:tcBorders>
            <w:gridSpan w:val="4"/>
          </w:tcPr>
          <w:p>
            <w:pPr>
              <w:spacing w:after="0"/>
              <w:rPr>
                <w:sz w:val="15"/>
                <w:szCs w:val="15"/>
                <w:color w:val="auto"/>
              </w:rPr>
            </w:pPr>
          </w:p>
        </w:tc>
        <w:tc>
          <w:tcPr>
            <w:tcW w:w="548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2560" w:type="dxa"/>
            <w:vAlign w:val="bottom"/>
            <w:tcBorders>
              <w:top w:val="single" w:sz="8" w:color="CCEEFF"/>
            </w:tcBorders>
            <w:gridSpan w:val="5"/>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7"/>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PART IV</w:t>
              </w:r>
            </w:hyperlink>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gridSpan w:val="3"/>
            <w:shd w:val="clear" w:color="auto" w:fill="CCEEFF"/>
          </w:tcPr>
          <w:p>
            <w:pPr>
              <w:spacing w:after="0" w:line="17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Item 15.</w:t>
              </w:r>
            </w:hyperlink>
          </w:p>
        </w:tc>
        <w:tc>
          <w:tcPr>
            <w:tcW w:w="420" w:type="dxa"/>
            <w:vAlign w:val="bottom"/>
            <w:gridSpan w:val="4"/>
            <w:shd w:val="clear" w:color="auto" w:fill="CCEEFF"/>
          </w:tcPr>
          <w:p>
            <w:pPr>
              <w:spacing w:after="0"/>
              <w:rPr>
                <w:sz w:val="17"/>
                <w:szCs w:val="17"/>
                <w:color w:val="auto"/>
              </w:rPr>
            </w:pPr>
          </w:p>
        </w:tc>
        <w:tc>
          <w:tcPr>
            <w:tcW w:w="8040" w:type="dxa"/>
            <w:vAlign w:val="bottom"/>
            <w:gridSpan w:val="22"/>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Exhibits, Financial Statements Schedules.</w:t>
              </w:r>
            </w:hyperlink>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bottom w:val="single" w:sz="8" w:color="0000EE"/>
            </w:tcBorders>
          </w:tcPr>
          <w:p>
            <w:pPr>
              <w:spacing w:after="0"/>
              <w:rPr>
                <w:sz w:val="15"/>
                <w:szCs w:val="15"/>
                <w:color w:val="auto"/>
              </w:rPr>
            </w:pPr>
          </w:p>
        </w:tc>
        <w:tc>
          <w:tcPr>
            <w:tcW w:w="58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Item 16.</w:t>
              </w:r>
            </w:hyperlink>
          </w:p>
        </w:tc>
        <w:tc>
          <w:tcPr>
            <w:tcW w:w="420" w:type="dxa"/>
            <w:vAlign w:val="bottom"/>
            <w:tcBorders>
              <w:top w:val="single" w:sz="8" w:color="CCEEFF"/>
            </w:tcBorders>
            <w:gridSpan w:val="4"/>
          </w:tcPr>
          <w:p>
            <w:pPr>
              <w:spacing w:after="0"/>
              <w:rPr>
                <w:sz w:val="15"/>
                <w:szCs w:val="15"/>
                <w:color w:val="auto"/>
              </w:rPr>
            </w:pPr>
          </w:p>
        </w:tc>
        <w:tc>
          <w:tcPr>
            <w:tcW w:w="1140" w:type="dxa"/>
            <w:vAlign w:val="bottom"/>
            <w:tcBorders>
              <w:top w:val="single" w:sz="8" w:color="0000EE"/>
              <w:bottom w:val="single" w:sz="8" w:color="0000EE"/>
            </w:tcBorders>
            <w:gridSpan w:val="5"/>
          </w:tcPr>
          <w:p>
            <w:pPr>
              <w:spacing w:after="0" w:line="17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10-K Summary.</w:t>
              </w:r>
            </w:hyperlink>
          </w:p>
        </w:tc>
        <w:tc>
          <w:tcPr>
            <w:tcW w:w="1860" w:type="dxa"/>
            <w:vAlign w:val="bottom"/>
            <w:tcBorders>
              <w:top w:val="single" w:sz="8" w:color="0000EE"/>
            </w:tcBorders>
            <w:gridSpan w:val="8"/>
          </w:tcPr>
          <w:p>
            <w:pPr>
              <w:spacing w:after="0"/>
              <w:rPr>
                <w:sz w:val="15"/>
                <w:szCs w:val="15"/>
                <w:color w:val="auto"/>
              </w:rPr>
            </w:pPr>
          </w:p>
        </w:tc>
        <w:tc>
          <w:tcPr>
            <w:tcW w:w="504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80" w:type="dxa"/>
            <w:vAlign w:val="bottom"/>
            <w:gridSpan w:val="15"/>
          </w:tcPr>
          <w:p>
            <w:pPr>
              <w:ind w:left="3960"/>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648" w:right="9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This Annual Report on Form 10-K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“could,” “would,” “should,” “expect,” “intend,” “plan,” “anticipate,” “believe,” “estimate,” “predict,” “project,” “aim,” “potential,” “continue,” “ongoing,” “goal,” or the negative of these terms or other similar expressions, although not all forward-looking statements contain these words.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Annual Report on Form 10-K include, but are not limited to, statements about:</w:t>
      </w:r>
    </w:p>
    <w:p>
      <w:pPr>
        <w:spacing w:after="0" w:line="173" w:lineRule="exact"/>
        <w:rPr>
          <w:sz w:val="20"/>
          <w:szCs w:val="20"/>
          <w:color w:val="auto"/>
        </w:rPr>
      </w:pP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enrollment, and timing of our clinical trials;</w:t>
      </w:r>
    </w:p>
    <w:p>
      <w:pPr>
        <w:spacing w:after="0" w:line="23" w:lineRule="exact"/>
        <w:rPr>
          <w:rFonts w:ascii="Arial" w:cs="Arial" w:eastAsia="Arial" w:hAnsi="Arial"/>
          <w:sz w:val="18"/>
          <w:szCs w:val="18"/>
          <w:color w:val="auto"/>
        </w:rPr>
      </w:pP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80" w:right="700" w:hanging="330"/>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manufactures to continue to manufacture tumor infiltrating lymphocytes, or TIL, in accordance with our selected process;</w:t>
      </w:r>
    </w:p>
    <w:p>
      <w:pPr>
        <w:ind w:left="680" w:hanging="33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design, construct and staff our own manufacturing facility on a timely basis and within the estimated expenses;</w:t>
      </w:r>
    </w:p>
    <w:p>
      <w:pPr>
        <w:spacing w:after="0" w:line="20" w:lineRule="exact"/>
        <w:rPr>
          <w:rFonts w:ascii="Arial" w:cs="Arial" w:eastAsia="Arial" w:hAnsi="Arial"/>
          <w:sz w:val="17"/>
          <w:szCs w:val="17"/>
          <w:color w:val="auto"/>
        </w:rPr>
      </w:pP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680" w:right="280" w:hanging="330"/>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U.S. Food and Drug Administration, or FDA, or other regulatory authority approval of, or other action with respect to, our product candidates;</w:t>
      </w: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0" w:lineRule="exact"/>
        <w:rPr>
          <w:rFonts w:ascii="Arial" w:cs="Arial" w:eastAsia="Arial" w:hAnsi="Arial"/>
          <w:sz w:val="17"/>
          <w:szCs w:val="17"/>
          <w:color w:val="auto"/>
        </w:rPr>
      </w:pPr>
    </w:p>
    <w:p>
      <w:pPr>
        <w:ind w:left="680" w:right="1200" w:hanging="330"/>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ind w:left="680" w:right="320" w:hanging="330"/>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other research and development and strategic collaborations;</w:t>
      </w:r>
    </w:p>
    <w:p>
      <w:pPr>
        <w:spacing w:after="0" w:line="9" w:lineRule="exact"/>
        <w:rPr>
          <w:rFonts w:ascii="Arial" w:cs="Arial" w:eastAsia="Arial" w:hAnsi="Arial"/>
          <w:sz w:val="18"/>
          <w:szCs w:val="18"/>
          <w:color w:val="auto"/>
        </w:rPr>
      </w:pPr>
    </w:p>
    <w:p>
      <w:pPr>
        <w:ind w:left="680" w:right="140" w:hanging="330"/>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manufacturing methods and product candidates;</w:t>
      </w: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trading price of our common stock; and</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cash and other resources.</w:t>
      </w:r>
    </w:p>
    <w:p>
      <w:pPr>
        <w:spacing w:after="0" w:line="21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Actual results may differ from those set forth in this Annual Report on Form 10-K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may not be reflected in the final analyses of these trials including new cohorts within these trials; the results obtained in our ongoing clinical trials, such as the studies and trials referred to in this 10-K,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information;we may not be able to obtain or maintain FDA or other regulatory authority approval of its product candidates;our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Annual Report on Form 10-K speaks only as of the date of this Annual Report on Form 10-K or as of the date on which it is made. Except as required by law, we undertake no obligation to publicly update any forward-looking statements, whether because of new information, future events or otherwise, after the date of this Annual Report on Form 10-K.</w:t>
      </w:r>
    </w:p>
    <w:p>
      <w:pPr>
        <w:spacing w:after="0" w:line="15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Unless the context requires otherwise, in this report the terms “Iovance,” the “Company,” “we,” “us” and “our” refer to Iovance Biotherapeutics, Inc.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an autologous cell therapy platform technology that was originally developed by the National Cancer Institute, or NCI, which conducted initial clinical trials in diseases such as metastatic melanoma and cervical cancer. We have developed a new, shorter manufacturing process for TIL known as Generation 2, or Gen 2, which yields a cryopreserved TIL product. This proprietary and scalable manufacturing method is being further investigated in multiple indications. Our lead product candidates include lifileucel for metastatic melanoma and LN-145 for metastatic cervical cancer. In addition to metastatic melanoma and metastatic cervical cancer, we are investigating the effectiveness and safety of TIL therapy for the treatment of squamous cell carcinoma of the head and neck, non-small cell lung cancer, and peripheral blood lymphocyte, or PBL, therapy for treatment of chronic lymphocytic leukemia through our sponsored trials, as well as in other oncology indications through collaborations.</w:t>
      </w:r>
    </w:p>
    <w:p>
      <w:pPr>
        <w:spacing w:after="0" w:line="169"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are conducting a Phase 2 clinical trial, C-144-01, of our lead product candidate, lifileucel, for the treatment of metastatic melanoma. This multicenter pivotal trial enrolled patients with melanoma whose disease has progressed following treatment with at least one systemic therapy, including a PD-1 inhibitor and if BRAF mutated, a BRAF inhibitor, or a combination of BRAF and MEK inhibitors. The C-144-01 trial has National Clinical Trial identification number NCT02360579. Cohort 4 of the C-144-01 clinical trial is a single-arm cohort intended to be used for the registration of lifileucel. The C-144-01 trial uses our proprietary Gen 2 manufacturing process. We completed and closed enrollment of patients into Cohort 2 of the C-144-01 trial in 2018. We announced that the last patient was dosed in Cohort 4 of this trial in January 2020. Cohort 4 was enrolled with a prospective definition of objective response rate, or ORR, read out by an Independent Review Committee, or IRC, as the primary endpoint based on our interpretation of discussions with the U.S. Food and Drug Administration, or FDA. FDA also acknowledged the potential acceptability of single-arm data from Cohort 4 for registration. In October 2018, we announced that lifileucel had received a Regenerative Medicine Advanced Therapy, or RMAT, designation from the FDA. Updated results from Cohort 2 of the C-144-01 clinical trial were initially reported at the American Society of Clinical Oncology, or ASCO, annual meeting on June 1, 2019 and subsequently updated at the Society for Immunotherapy of Cancer, or SITC, annual meeting in November 2019. In 66 patients with metastatic melanoma, treatment with lifileucel resulted in an ORR of 36%, as assessed by investigator, with 2 complete responses and 22 partial responses. The disease control rate, or DCR, was 80%. Patients were heavily pretreated and had a mean of 3.3 prior therapies. For both the ASCO and SITC updates, the median duration of response, or DOR, had not been reached. In January 2020, with a median follow up of 15.5 months for Cohort 2 patients,the median DOR has not been reached per investigator assessment. The adverse event profile was generally consistent with the underlying advanced disease and the profile of the lymphodepletion and IL-2 regimens.</w:t>
      </w:r>
    </w:p>
    <w:p>
      <w:pPr>
        <w:spacing w:after="0" w:line="19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addition to our ongoing trial in metastatic melanoma, we are conducting clinical trials with LN-145 TIL therapy, in cervical, head and neck , lung and other cancers. C-145-04 , or NCT03108495, is an ongoing Phase 2, multicenter pivotal trial that will assess the safety and efficacy of LN-145 for the treatment of patients with recurrent, metastatic or persistent cervical cancer. In February 2019, LN-145 received Fast Track designation from the FDA for development in the treatment of cervical cancer with disease progression on or after chemotherapy. In March 2019, the protocol for this trial was amended to modify the primary endpoint of ORR to be determined by IRC. In May 2019, LN-145 received Breakthrough Therapy designation, or BTD, from the FDA for the development in the treatment of cervical cancer. Updated results from the C-145-04 clinical trial were reported at the ASCO annual meeting on June 1, 2019. In 27 patients with metastatic cervical cancer, treatment with LN-145 resulted in an ORR of 44%. At the time of study data cut,there were 3 complete responses and 9 partial responses. The DCR was 85%. Patients were heavily pretreated and had a mean of 2.4 prior therapies. The DOR had not been reached. The median follow-up was 7.4 months. The adverse event</w:t>
      </w:r>
    </w:p>
    <w:p>
      <w:pPr>
        <w:sectPr>
          <w:pgSz w:w="11900" w:h="16838" w:orient="portrait"/>
          <w:cols w:equalWidth="0" w:num="1">
            <w:col w:w="10040"/>
          </w:cols>
          <w:pgMar w:left="920" w:top="665" w:right="9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profile was generally consistent with the underlying advanced disease and the profile of the lymphodepletion and IL-2 regimens. Based on an End of Phase 2 meeting held with the FDA in June 2019, the FDA has acknowledged that results from the C-145-04 clinical trial may be sufficient to support registration in the treatment of patients with metastatic cervical cancer. In accordance with the FDA’s recommendations, the protocol was amended to further define the patient population. In November 2019, in order to position LN-145 for potential future use in broader lines of therapy in cervical cancer, we have amended the C-145-04 trial to collect additional data on early-line patients as well as later-line patients. Enrollment in these additional cohorts is not expected to impact the timing of the completion of Cohort 1.As a result of this amendment, the C-145-04 trial now consists of the following cohorts of cervical cancer patients with recurrent, persistent, or metastatic disease:</w:t>
      </w:r>
    </w:p>
    <w:p>
      <w:pPr>
        <w:spacing w:after="0" w:line="192" w:lineRule="exact"/>
        <w:rPr>
          <w:sz w:val="20"/>
          <w:szCs w:val="20"/>
          <w:color w:val="auto"/>
        </w:rPr>
      </w:pPr>
    </w:p>
    <w:p>
      <w:pPr>
        <w:ind w:left="680" w:right="280" w:hanging="330"/>
        <w:spacing w:after="0" w:line="258"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1 is the expected pivotal cohort for LN-145 and is anticipated to enroll 75 patients who have progressed during or after chemotherapy;</w:t>
      </w:r>
    </w:p>
    <w:p>
      <w:pPr>
        <w:spacing w:after="0" w:line="1" w:lineRule="exact"/>
        <w:rPr>
          <w:rFonts w:ascii="Arial" w:cs="Arial" w:eastAsia="Arial" w:hAnsi="Arial"/>
          <w:sz w:val="18"/>
          <w:szCs w:val="18"/>
          <w:color w:val="auto"/>
        </w:rPr>
      </w:pPr>
    </w:p>
    <w:p>
      <w:pPr>
        <w:ind w:left="680" w:right="40" w:hanging="330"/>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Cohort 2 will enroll patients for treatment with LN-145 who have progressed during or after treatment with anti-PD-1/anti-PD-L1 checkpoint inhibitor;</w:t>
      </w:r>
    </w:p>
    <w:p>
      <w:pPr>
        <w:ind w:left="680" w:right="320" w:hanging="330"/>
        <w:spacing w:after="0" w:line="265"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Cohort 3 will enroll patients who have not received prior systemic therapy for recurrent, metastatic, or persistent disease. This Cohort will explore safety and efficacy of the combination of the LN-145 regimen with pembrolizumab;</w:t>
      </w:r>
    </w:p>
    <w:p>
      <w:pPr>
        <w:ind w:left="680" w:right="240" w:hanging="330"/>
        <w:spacing w:after="0" w:line="281"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Cohort 4 is intended for patients who have been previously enrolled but are not considered within the registrational population, including patients dosed with product produced by our first generation, or Gen 1, TIL manufacturing process; and</w:t>
      </w:r>
    </w:p>
    <w:p>
      <w:pPr>
        <w:spacing w:after="0" w:line="1" w:lineRule="exact"/>
        <w:rPr>
          <w:rFonts w:ascii="Arial" w:cs="Arial" w:eastAsia="Arial" w:hAnsi="Arial"/>
          <w:sz w:val="16"/>
          <w:szCs w:val="16"/>
          <w:color w:val="auto"/>
        </w:rPr>
      </w:pPr>
    </w:p>
    <w:p>
      <w:pPr>
        <w:ind w:left="680" w:hanging="33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Cohort 5 will enroll patients for retreatment with LN-145 for patients who have progressed after initial treatment with LN-145.</w:t>
      </w:r>
    </w:p>
    <w:p>
      <w:pPr>
        <w:spacing w:after="0" w:line="222"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As a result of these changes, we have also expanded the sample size of the C-145-04 clinical trial to include 138 patients from the appropriate patient populations across these five cohorts. We plan on completing enrollment into Cohort 1 of C-145-04 at approximately mid-year 2020. We currently plan to submit a BLA for this indication by the end of 2020 subsequent to consultation with the FDA.</w:t>
      </w:r>
    </w:p>
    <w:p>
      <w:pPr>
        <w:spacing w:after="0" w:line="14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C-145-03 , or NCT03083873, is an ongoing Phase 2, multicenter trial that we are conducting to assess the safety and efficacy of LN-145 for the treatment of patients with recurrent metastatic squamous cell carcinoma of the head and neck . In October 2018, we reported that, to date, preliminary data for 13 patients in the C-145-03 clinical trial yielded an ORR of 31% with a DOR ranging from 2.8 to 7.6 months. The adverse event profile remained consistent with previous reports. We continue to enroll patients in this study. We have redesigned our C-145-03 trial to include multiple cohorts, in order to allow for dosing of TIL therapies produced by multiple manufacturing methods, including our Gen 2 manufacturing process, our Generation 3, or Gen 3, manufacturing process, and our PD-1 selected TIL manufacturing process.</w:t>
      </w:r>
    </w:p>
    <w:p>
      <w:pPr>
        <w:spacing w:after="0" w:line="189"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We are also investigating the potential of our TIL therapies in earlier lines of treatment and in combination with pembrolizumab. We are also studying LN-145 as a monotherapy in relapsed refractory non-small cell lung cancer, or NSCLC, patients. IOV-COM-202 , or NCT03645928, is a Phase 2, multicenter trial that is composed of four cohorts to enroll up to a total of 48 patients. In Cohort 1A, we are enrolling advanced unresectable or metastatic melanoma patients who have not received prior immunotherapy, including checkpoint inhibitors such as anti-PD-1/anti-PD-L1 therapy. The patients receive lifileucel in combination with pembrolizumab. In Cohort 2A, we are enrolling advanced head and neck squamous cell carcinoma patients who are naïve to prior immunotherapy including anti-PD-1/anti-PD-L1 therapy. The patients will receive LN-145 in combination with pembrolizumab. Cohort 3A is enrolling non-small cell lung cancer patients who are naïve to prior immunotherapy including anti-PD-1/anti-PD-L1 therapy. The patients in Cohort 3A will receive LN-145 in combination with pembrolizumab. In Cohort 3B, we are enrolling non-small cell lung cancer patients who have previously received systemic therapy which could include checkpoint inhibitors. The patients are receiving LN-145. In May 2019, we reported that the first patient was dosed in the IOV-COM-202 trial. In addition to its ongoing enrollment in the U.S., the IOV-COM-202 trial has also received regulatory approval in Canada and in certain European countries.</w:t>
      </w:r>
    </w:p>
    <w:p>
      <w:pPr>
        <w:spacing w:after="0" w:line="18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November 2019, we announced that our investigational new drug application, or IND, for our PBL therapy, IOV-2001, was approved by the FDA and our sponsored clinical trial using this therapy, IOV-CLL-01, was cleared to proceed. IOV-2001 is a non-genetically modified, polyclonal T cell product that is manufactured using a nine-day process from 50 mL of patient's blood. IOV-CLL-01 , or NCT04155710, is Phase 1/2 clinical trial evaluating the safety and efficacy of IOV-2001 in patients with relapsed or refractory chronic lymphocytic leukemia or small lymphocytic leukemia. The IOV-CLL-01 trial is expected to enroll up to approximately 70 patients.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April 2019, we closed the IOV-LUN-201 clinical trial, investigating TIL therapy in NSCLC, in combination with anti-PD-L1 therapy, and instead opened Cohorts 3A and 3B of the IOV-COM-202 trial as described above, to adapt our clinical development plans to reflect advances in the treatment landscape for non-small cell lung cancer.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part of our collaboration program with the MD Anderson Cancer Center, or MDACC, two Phase 2 trials were initiated in 2018. Both trials are sponsored by MDACC. The first trial, 2017-0672 or NCT03449108, is intended to allow for investigation of LN-145 manufactured by us using our manufacturing process to treat patients with soft tissue sarcoma, osteosarcoma and platinum resistant ovarian cancer. A second trial under the collaboration with MDACC , NCT03610490, is active as well. This trial is treating patients with platinum resistant ovarian cancer, pancreatic and colorectal cancer. This trial uses TIL manufactured by MDACC using urelumab, a 4-1BB agonistic antibody, as part of the manufacturing process. The data obtained using this manufacturing process may not be representative of our data using our Gen 2 manufacturing process.</w:t>
      </w:r>
    </w:p>
    <w:p>
      <w:pPr>
        <w:spacing w:after="0" w:line="18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current product candidate pipeline and selected investigator-sponsored proof-of-concept studies are summarized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117475</wp:posOffset>
            </wp:positionV>
            <wp:extent cx="5840095" cy="2847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0095"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also entered into a collaboration with a Canadian institution, Centre hospitalier de l’Université de Montreal, or CHUM, under which CHUM agreed to conduct a clinical study using a PD-1 selected TIL product manufactured by a CHUM collaborator using a process developed by CHUM. We are also developing a PD-1 selected TIL product to be manufactured by Iovance. This product, known as LN-145-S1, will initially be tested in the C-145-03 trial in head and neck cancer patients.</w:t>
      </w:r>
    </w:p>
    <w:p>
      <w:pPr>
        <w:spacing w:after="0" w:line="18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have developed a third-generation manufacturing process known as Gen 3. Gen 3 is a shorter process than Gen 2. We are using Gen 3 in the C-145-03 trial in head and neck cancers.</w:t>
      </w:r>
    </w:p>
    <w:p>
      <w:pPr>
        <w:spacing w:after="0" w:line="17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currently own ten granted or allowed U.S. patents for compositions and methods of treatment in a broad range of cancers relating to our Gen 2 manufacturing process, including U.S. Patent Nos. 10,130,659, 10,166,257, 10,272,113, 10,363,273, 10,398,734, 10,420,799, 10,463,697, and 10,537,595. Our owned and licensed intellectual property portfolio also includes patent applications relating to TIL, marrow infiltrating, and peripheral blood lymphocyte therapies, methods of manufacturing, the use of costimulatory molecules in TIL therapy and manufacturing, stable and transient genetically-modified TIL therapies, and methods of treating patient subpopulations.</w:t>
      </w:r>
    </w:p>
    <w:p>
      <w:pPr>
        <w:spacing w:after="0" w:line="15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previously collaborated with Roswell Park Cancer Institute, or RPCI, on a clinical trial using our LN-145 product for the treatment of patients with bladder cancer in combination with the anti-PD-1 antibody pembrolizumab. This trial was closed in 2019 because of a lack of enrollment.</w:t>
      </w:r>
    </w:p>
    <w:p>
      <w:pPr>
        <w:sectPr>
          <w:pgSz w:w="11900" w:h="16838" w:orient="portrait"/>
          <w:cols w:equalWidth="0" w:num="1">
            <w:col w:w="10040"/>
          </w:cols>
          <w:pgMar w:left="920" w:top="665" w:right="9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also collaborating with Yale University on a clinical trial using our LN-145 product for the treatment of patients with metastatic triple negative breast, or TNBC, cancer (NCT04111510).</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January 2020, we obtained a license from Novartis to develop and commercialize an antibody cytokine engrafted protein, which we refer to as IOV-3001. Under the agreement, we paid an upfront payment to Novartis and may pay low single digit milestones involved in initiation of patient dosing in various phases of clinical development for IOV-3001 and approval of a potential product in the U.S., EU and Japan. Novartis is also entitled to low-to-mid single digit royalties from commercial sales of IOV-3001. In addition, in January 2020, we announced a research collaboration and exclusive worldwide licensing agreement with Cellectis S.A., or Cellectis, a clinical-stage biopharmaceutical company focused on developing immunotherapies based on gene-edited allogeneic chimeric antigen receptor modified T cells, whereby we licensed certain transcription activator-like effector nuclease, or TALEN, technology from Cellectis in order to develop TIL that have been genetically edited to create potentially more potent cancer therapeutics. The worldwide exclusive license enables us to use TALEN technology addressing multiple gene targets to modify TIL for therapeutic use in several cancer indications. Financial terms of the license include development, regulatory and sales milestone payments from us to Cellectis, as well as royalty payments based on net sales of TALEN-modified TIL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goal is to be a leader in the development and commercialization of TIL-based immunotherapies to treat solid tumors. We are developing a portfolio of TIL-based product candidates with the potential to meaningfully improve survival and quality of life for cancer patients. Key elements of our strategy include:</w:t>
      </w:r>
    </w:p>
    <w:p>
      <w:pPr>
        <w:spacing w:after="0" w:line="18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b w:val="1"/>
          <w:bCs w:val="1"/>
          <w:i w:val="1"/>
          <w:iCs w:val="1"/>
          <w:color w:val="auto"/>
        </w:rPr>
        <w:t>Expedite clinical development, regulatory approval, and commercialization of our lead product candidate lifileucel for the treatment of metastatic melanoma.</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Based on results of TIL therapy from trials sponsored by the NCI and our own clinical trials in metastatic melanoma, we are focused on expediting the development, regulatory approval and commercialization of our lead product candidate, lifileucel, for the treatment of patients with metastatic melanoma. We filed an investigational new drug application, or IND, with the FDA in December 2014 to initiate a company-sponsored Phase 2 single-arm, multicenter clinical trial of lifileucel in patients with metastatic melanoma. We began enrollment of this trial in the second half of 2015 and expanded it into three cohorts in 2017. In 2019 we expanded into an additional cohort, Cohort 4, which serves as the basis for registration. Cohort 1 evaluated our first-generation TIL manufacturing process, Cohort 2 evaluated our second-generation, Gen 2, TIL manufacturing process and Cohort 3 evaluated retreatment of certain patients with a second dose of TIL. We presented updated data from Cohort 2 in November 2018 at the SITC annual meeting, in June 2019 at the ASCO annual meeting, and in November 2019 at the SITC annual meeting.</w:t>
      </w:r>
    </w:p>
    <w:p>
      <w:pPr>
        <w:spacing w:after="0" w:line="18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held an end of Phase 2 meeting with the FDA in September 2018. In addition, we received an RMAT designation for lifileucel. Based on the meeting and subsequent dialog with the FDA, we amended the protocol for the C-144-01 trial to include 75 patients in Cohort 4. The primary endpoint is ORR as determined by IRC. We have completed dosing of patients in Cohort 4.</w:t>
      </w:r>
    </w:p>
    <w:p>
      <w:pPr>
        <w:spacing w:after="0" w:line="16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Continue to improve our TIL manufacturing process and develop new TIL manufacturing technology to become the preferred provider of TIL therapy in the U.S. and the rest of the world.</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believe that we are the only company in the United States to have a centralized and commercially-viable TIL manufacturing process. In 2018, we utilized our second generation TIL manufacturing process, known as Gen 2, which reduced TIL manufacturing time from 5-6 weeks to 22 days, allowing for a more commercially-viable product candidate. Gen 2 also produces a cryopreserved product for ease of administration and handling. The Gen 2 manufacturing process was utilized in Cohort 2 and Cohort 4 of our C-144-01 trial and has also been selected for use in most of our other ongoing TIL clinical development. We have included Gen 2 as the manufacturing process for registration for our discussions with the FDA and eventually the anticipated Biologics License Application, or BLA, filing for lifileucel. Our strategy is to establish our Gen 2 process as a commercial manufacturing process for TIL therapies, including lifileucel.</w:t>
      </w:r>
    </w:p>
    <w:p>
      <w:pPr>
        <w:spacing w:after="0" w:line="167"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b w:val="1"/>
          <w:bCs w:val="1"/>
          <w:i w:val="1"/>
          <w:iCs w:val="1"/>
          <w:color w:val="auto"/>
        </w:rPr>
        <w:t>Collaborate with governmental, academic and corporate partners to improve and develop TIL and PBL therapies for new indications or for use in combination with other therapies, and to evaluate new manufacturing methods.</w:t>
      </w:r>
    </w:p>
    <w:p>
      <w:pPr>
        <w:spacing w:after="0" w:line="124"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For example, we</w:t>
      </w:r>
    </w:p>
    <w:p>
      <w:pPr>
        <w:sectPr>
          <w:pgSz w:w="11900" w:h="16838" w:orient="portrait"/>
          <w:cols w:equalWidth="0" w:num="1">
            <w:col w:w="10060"/>
          </w:cols>
          <w:pgMar w:left="920" w:top="665" w:right="9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have announced licensing agreements and collaborations with Yale University, Cellectis, and Novartis, as described above or in the following sections, and continued our collaborations with Moffitt, MDACC, and the Ohio State University, to evaluate several new solid tumor and hematologic indications for TIL and PBL therapy in clinical and preclinical studies as well as, in some cases, new TIL manufacturing approaches. In August 2016, we expanded our Cooperative Research and Development Agreement, or CRADA, with the NCI for another 5-year term. This collaboration with the NCI is directed at research on unmodified TIL therapy and also addresses human papilloma virus, or HPV-associated cancers (cervical and head and neck), lung, bladder, and breast cancer. A description of certain of these collaborations and related agreements is provided in the following sections of this Annual Report on Form 10-K.</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Continue to establish manufacturing capacity for TIL products.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continue to invest in improving the process and efficiency of manufacturing our product candidates in the United States and Europe for TIL manufacturing. Currently we use several contract manufacturing organizations, or CMOs, to supply our TIL-based products for our clinical trials under various MSAs. CMOs limit the amount of upfront capital investment as they have existing manufacturing facilities that we can utilize in TIL production.</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began construction of our own manufacturing facility in 2019, in order to provide for better margins and rapid implementation of innovative changes for TIL therapies that we may develop or commercialize. We intend to carefully manage our cost structure, and reduce the long-term cost of manufacturing our products, although there can be no assurance that we will be able to reduce our manufacturing costs to commercially attractive levels.</w:t>
      </w:r>
    </w:p>
    <w:p>
      <w:pPr>
        <w:spacing w:after="0" w:line="18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October 2018, we entered into a three-year MSA and related statement of work with MaSTherCell S.A., or MaSTherCell, a cell therapy CMO that is a subsidiary of Orgenesis Inc . that was recently acquired by Catalent, Inc. Pursuant to the MSA, MaSTherCell agreed to provide manufacturing and other services for use in our European clinical trials. In December 2019, we provided MaSTherCell with a notice of termination for the statement of work for cell therapy manufacturing. We intend to cease manufacturing at MaSTherCell in 2020.</w:t>
      </w:r>
    </w:p>
    <w:p>
      <w:pPr>
        <w:spacing w:after="0" w:line="154"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In 2017, we entered into a three-year MSA and related statements of work with PharmaCell B.V., or PharmaCell, a contract manufacturing services company based in the Netherlands, to manufacture our autologous cell therapy products for use in our European clinical trials. PharmaCell was subsequently acquired by Lonza Group Ltd., or Lonza. Lonza continues to manufacture TIL products for our European clinical trials in its clinical and commercial facility in Geleen, the Netherlands.</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Also in 2017, we entered into a two-year MSA and related statements of work with Moffitt, to manufacture our autologous cell therapy products for use in clinical trials, which has since been extended until March 2025. Moffitt continues to manufacture TIL products for our clinical trials in the U.S.</w:t>
      </w:r>
    </w:p>
    <w:p>
      <w:pPr>
        <w:spacing w:after="0" w:line="18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In 2016, we entered into a three-year MSA and related statements of work with WuXi AppTec, Inc., or WuXi, in order to increase our TIL manufacturing capacity in facilities with both clinical and commercial capability for two suites. The terms of the related statements of work for the first and second dedicated manufacturing suites currently extend to May 2020 and June 2021, respectively. We intend to use WuXi as the initial manufacturer for commercial production of lifileucel and potentially LN-145 for cervical cancer.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Iovance-Sponsored Clinical Trials</w:t>
      </w:r>
    </w:p>
    <w:p>
      <w:pPr>
        <w:spacing w:after="0" w:line="22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currently have five ongoing Phase 2 clinical studies. The ongoing studies include C-144-01, of our lead product candidate, lifileucel, for the treatment of metastatic melanoma; C-145-04, of our product candidate LN-145 for recurrent, metastatic or persistent cervical cancer; and C-145-03, of our product candidate LN-145, for recurrent and/or metastatic squamous cell carcinoma of the head and neck. During 2018, we initiated a Phase 2 clinical trial, IOV-COM-202, a basket trial that will treat checkpoint naïve patients with TIL in combination with pembro for metastatic melanoma, head and neck cancer and non-small cell lung cancer. The trial also includes a cohort that will treat relapsed and refractory NSCLC patients with TIL alone. In 2019, we announced that the FDA had cleared our Phase 1/2 clinical trial, IOV-CLL-01, using our PBL therapy, IOV-2001, to proceed. Additional information about our clinical trials is presented as follows: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Lifileucel for Metastatic Melanoma</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are developing lifileucel to treat metastatic melanoma. Melanoma is a common type of skin cancer, accounting for approximately 96,000 patients diagnosed and 7,230 deaths each year in the United States according to the NCI’s Surveillance,</w:t>
      </w:r>
    </w:p>
    <w:p>
      <w:pPr>
        <w:sectPr>
          <w:pgSz w:w="11900" w:h="16838" w:orient="portrait"/>
          <w:cols w:equalWidth="0" w:num="1">
            <w:col w:w="10060"/>
          </w:cols>
          <w:pgMar w:left="920" w:top="665" w:right="9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Epidemiology and End Results program, or SEER program, as of 2019. Our Phase 2 trial, C-144-01, is a prospective, registrational, four-cohort interventional study evaluating lifileucel in metastatic melanoma patients who have progressed after prior anti-PD-1 therapy and if BRAF mutant, after BRAF or BRAF/MEK inhibitor therapy. Patients enrolled in this trial to date have failed several prior treatment regimens.</w:t>
      </w:r>
    </w:p>
    <w:p>
      <w:pPr>
        <w:spacing w:after="0" w:line="18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Patients with metastatic melanoma who have failed at least one treatment under the current standards of care have an unfavorable prognosis with very few curative treatment options. The National Comprehensive Cancer Network, or NCCN,has recommendations for the treatment of patients with unresectable or metastatic melanoma. Initial therapy can include checkpoint inhibitors either alone or in combination (ipilimumab, nivolumab, pembrolizumab), targeted therapies for patients with BRAF mutations (dabrafenib/trametinib, vemurafenib/cobimetinib combinations or single agents) or participating in a clinical trial. For patients not responding or progressing and who have an adequate clinical status, agents selected from the previous list or of a different therapeutic class can be used as well as high dose IL-2. NCCN experts also recommend participating in a clinical trial at any stage of disease. Patients who do not respond to the current second-line therapies have very few treatment options and typically have a very poor prognosis, with limited median survival measured in months. According to estimates from SEER in the United States in 2019, approximately there were 7,230 deaths due to melanoma. If approved, we believe lifileucel may be able to treat a portion of the patients that have received all other approved treatment options.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using our Gen 2 manufacturing process for most of our ongoing Phase 2 trials, and as a result, Cohort 1 of C-144-01, using our Gen 1 manufacturing process, was closed to enrollment in 2017 and subsequent patients were enrolled in Cohort 2. The planned enrollment in C-144-01 was reached in late 2018 and Cohort 2 is closed to enrollment. Cohort 3 is a retreatment cohort. Cohort 4, a pivotal cohort, was added in 2019. We have completed dosing in Cohort 4.</w:t>
      </w:r>
    </w:p>
    <w:p>
      <w:pPr>
        <w:spacing w:after="0" w:line="18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Updated results from Cohort 2 of the C-144-01 clinical trial were initially reported at the ASCO annual meeting in June 2019 and subsequently updated at the SITC annual meeting in November 2019. In 66 patients with metastatic melanoma, treatment with lifileucel resulted in an ORR of 36%, with 2 complete responses and 22 partial responses. The disease control rate, or DCR, was 80%. Patients were heavily pretreated and had a mean of 3.3 prior therapies. For both the ASCO and SITC updates, the median duration of response, or DOR, had not been reached. In January 2020, with a median follow up of 15.5 months for Cohort 2 patients, we have reported that median DOR has not been reached as assessed by investigator. The adverse event profile was generally consistent with the underlying advanced disease and the profile of the lymphodepletion and IL-2 regimens. We have not reported any results from Cohort 4. A BLA submission to the FDA including Cohort 4 results is expected in late 2020. Lifileucel had received a Regenerative Medicine Advanced Therapy, or RMAT, designation from the FDA.</w:t>
      </w:r>
    </w:p>
    <w:p>
      <w:pPr>
        <w:spacing w:after="0" w:line="18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held an End of Phase 2 meeting with the FDA in September 2018 to discuss the C-144-01 study. In its written minutes to the meeting, the FDA acknowledged that conduct of a randomized Phase 3 study may not be feasible in its intended population of advanced melanoma patients, who have been treated with at least one systemic therapy including an anti-PD-1 antibody and if BRAF mutation positive, a BRAF inhibitor or BRAF inhibitor with MEK inhibitor, and that a randomized study is not required for the registration of lifileucel. The FDA further acknowledged that a single-arm cohort of the C-144-01 trial may be acceptable for registration in this indication. A new cohort, Cohort 4, of 75 patients was enrolled in C-144-01 with a prospective definition of the primary endpoint of ORR to be determined by IRC, to support registration of lifileucel. The FDA recommended that we validate a potency assay prior to starting Cohort 4, which we have done. We initiated Cohort 4 in early 2019 in the United States and in Europe and completed dosing in January 2020.</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LN-145 for Cervical Cancer</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We are developing LN-145 to treat cervical cancer. According to estimates from the SEER program, approximately 13,000 women were diagnosed with cervical cancer, and approximately 4,300 cervical cancer-related deaths occurred in the United States in 2019.</w:t>
      </w:r>
    </w:p>
    <w:p>
      <w:pPr>
        <w:spacing w:after="0" w:line="1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C-145-04 is an ongoing Phase 2, multicenter pivotal trial that will assess the safety and efficacy of LN-145 for the treatment of patients with recurrent, metastatic or persistent cervical cancer. In February 2019, LN-145 received Fast Track designation from the FDA for development in the treatment of cervical cancer with disease progression on or after chemotherapy. In March 2019, the protocol for this trial was amended to modify the primary endpoint of ORR to be determined by IRC. In May 2019, LN-145 received Breakthrough Therapy designation, or BTD, from the FDA for the development in the treatment of cervical cancer. Updated results from the C-145-04 clinical trial were reported at the ASCO annual meeting on June 1, 2019. In 27 patients with metastatic cervical cancer, treatment with LN-145 resulted in an ORR of 44%. In the study there were 3 complete responses and 9 partial responses. The</w:t>
      </w:r>
    </w:p>
    <w:p>
      <w:pPr>
        <w:sectPr>
          <w:pgSz w:w="11900" w:h="16838" w:orient="portrait"/>
          <w:cols w:equalWidth="0" w:num="1">
            <w:col w:w="10060"/>
          </w:cols>
          <w:pgMar w:left="920" w:top="665" w:right="9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DCR was 85%. Patients were heavily pretreated and had a mean of 2.4 prior therapies. The DOR had not been reached. The median follow-up was 7.4 months. The adverse event profile was generally consistent with the underlying advanced disease and the profile of the lymphodepletion and IL-2 regimens.</w:t>
      </w:r>
    </w:p>
    <w:p>
      <w:pPr>
        <w:spacing w:after="0" w:line="18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Based on an End of Phase 2 meeting held with the FDA in June 2019, the FDA has acknowledged that results from the C-145-04 clinical trial may be sufficient to support registration in the treatment of patients with metastatic cervical cancer. In accordance with the FDA’s recommendations, the protocol was amended, to further define the patient population. We plan to include in the BLA, patients who have progressed following initial systemic therapy for recurrent or metastatic disease. In November 2019, in order to position LN-145 for potential future use in broader lines of therapy in cervical cancer, we have amended the C-145-04 trial to collect additional data on early-line patients as well as late-line patients. These additional cohorts also allow access to TIL therapy when the pivotal Cohort 1 is completed and also may support a request from FDA to provide expanded access to LN-145. Enrollment in these additional cohorts will not impact the timing of the completion of the pivotal cohort nor the size of the registrational program. As a result of this amendment, the C-145-04 trial now consists of the following cohorts of cervical cancer patients with recurrent, persistent, or metastatic disease:</w:t>
      </w:r>
    </w:p>
    <w:p>
      <w:pPr>
        <w:spacing w:after="0" w:line="167" w:lineRule="exact"/>
        <w:rPr>
          <w:sz w:val="20"/>
          <w:szCs w:val="20"/>
          <w:color w:val="auto"/>
        </w:rPr>
      </w:pPr>
    </w:p>
    <w:p>
      <w:pPr>
        <w:ind w:left="680" w:right="260" w:hanging="330"/>
        <w:spacing w:after="0" w:line="258"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1 is the expected pivotal cohort for LN-145 and is anticipated to enroll 75 patients who have progressed during or after chemotherapy;</w:t>
      </w:r>
    </w:p>
    <w:p>
      <w:pPr>
        <w:spacing w:after="0" w:line="1" w:lineRule="exact"/>
        <w:rPr>
          <w:rFonts w:ascii="Arial" w:cs="Arial" w:eastAsia="Arial" w:hAnsi="Arial"/>
          <w:sz w:val="18"/>
          <w:szCs w:val="18"/>
          <w:color w:val="auto"/>
        </w:rPr>
      </w:pPr>
    </w:p>
    <w:p>
      <w:pPr>
        <w:ind w:left="680" w:right="20" w:hanging="330"/>
        <w:spacing w:after="0" w:line="250"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Cohort 2 will enroll patients for treatment with LN-145 who have progressed during or after treatment with anti-PD-1/anti-PD-L1 checkpoint inhibitor;</w:t>
      </w:r>
    </w:p>
    <w:p>
      <w:pPr>
        <w:ind w:left="680" w:right="300" w:hanging="330"/>
        <w:spacing w:after="0" w:line="265"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Cohort 3 will enroll patients who have not received prior systemic therapy for recurrent, metastatic, or persistent disease. This Cohort will explore safety and efficacy of the combination of the LN-145 regimen with pembrolizumab;</w:t>
      </w:r>
    </w:p>
    <w:p>
      <w:pPr>
        <w:ind w:left="680" w:right="220" w:hanging="330"/>
        <w:spacing w:after="0" w:line="281"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Cohort 4 is intended for patients who have been previously enrolled but are not considered within the registrational population, including patients dosed with product produced by first generation, or our Gen 1, TIL manufacturing process; and</w:t>
      </w:r>
    </w:p>
    <w:p>
      <w:pPr>
        <w:spacing w:after="0" w:line="1" w:lineRule="exact"/>
        <w:rPr>
          <w:rFonts w:ascii="Arial" w:cs="Arial" w:eastAsia="Arial" w:hAnsi="Arial"/>
          <w:sz w:val="16"/>
          <w:szCs w:val="16"/>
          <w:color w:val="auto"/>
        </w:rPr>
      </w:pPr>
    </w:p>
    <w:p>
      <w:pPr>
        <w:ind w:left="680" w:hanging="330"/>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Cohort 5 will enroll patients for retreatment with LN-145 for patients who have progressed after initial treatment with LN-145.</w:t>
      </w:r>
    </w:p>
    <w:p>
      <w:pPr>
        <w:spacing w:after="0" w:line="22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a result of these changes, we have also expanded the sample size of the C-145-04 clinical trial to include 138 patients from the appropriate patient populations across these five cohorts.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LN-145 for Head and Neck Cancer</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According to estimates from the SEER program, approximately 53,000 people were diagnosed with head and neck-related cancers, and approximately 11,000 head and neck- related cancer deaths occurred in the United States in 2019.</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are developing LN-145 to treat head and neck cancers. In June 2017, we enrolled our first patient in our ongoing Phase 2 trial, C-145-03, for the treatment of patients with recurrent and/or metastatic squamous cell carcinoma of the head and neck, who have failed one prior therapy. In 2018, preliminary data for 13 patients who were administered a mix of Gen 1 and Gen 2 products, was released showing an ORR of 31%, with 4 partial responses, with the DOR ranging from 2.8 to 7.6 months. Patients in the study had a median of three prior therapies. The safety findings from this study were also consistent with previous reports. The most common treatment emergent adverse events observed at the time of that data cut included chills, hypotension, pyrexia, hyponatremia, and anemia. As additional patients are enrolled in the C-145-03 study, the safety profile of LN-145 may change. We continue to enroll patients to the full target sample size of 55 patients. The trial is enrolling patients in the United States. We have since changed the design of our C-145-03 trial so that enrolled patients will be treated using either LN-145 produced from the Gen 3 manufacturing process or PD-1 selected TIL, or LN-145-S1, from the PD-1 selected TIL manufacturing process in two separate cohorts.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Lifileucel and LN-145 in combination with pembrolizumab</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addition to the monotherapy trials for lifileucel and LN-145 mentioned above, we are developing these products in combination with pembrolizumab for melanoma, head and neck and NSCLC. We also have a monotherapy arm for LN-145 in NSCLC. According to estimates from the SEER program, approximately 228,000 people were diagnosed with lung and bronchus cancers, and approximately 143,000 deaths occurred related to these cancers in the United States in 2019.</w:t>
      </w:r>
    </w:p>
    <w:p>
      <w:pPr>
        <w:spacing w:after="0" w:line="187"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IOV-COM-202 is a Phase 2, multicenter trial that is composed of four cohorts to enroll up to a total of 48 patients. In Cohort 1A, we are enrolling advanced unresectable or metastatic melanoma patients who have not received prior immunotherapy, including checkpoint inhibitors such as anti-PD-1/anti-PD-L1 therapy. The patients receive lifileucel in combination with pembrolizumab. In</w:t>
      </w:r>
    </w:p>
    <w:p>
      <w:pPr>
        <w:sectPr>
          <w:pgSz w:w="11900" w:h="16838" w:orient="portrait"/>
          <w:cols w:equalWidth="0" w:num="1">
            <w:col w:w="10040"/>
          </w:cols>
          <w:pgMar w:left="920" w:top="665" w:right="9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Cohort 2A, we are enrolling advanced head and neck squamous cell carcinoma patients who are also naïve to prior immunotherapy including anti-PD-1/anti-PD-L1 therapy. The patients will receive LN-145 in combination with pembrolizumab. Cohort 3A is enrolling non-small cell lung cancer patients who are naïve to prior immunotherapy including anti-PD-1/anti-PD-L1 therapy. The patients in Cohort 3A will receive LN-145 in combination with pembrolizumab. In Cohort 3B, we are enrolling non-small cell lung cancer patients who have previously received systemic therapy which could include checkpoint inhibitors. The patients are receiving LN-145. In May 2019, we reported that the first patient was dosed in the -IOV-COM-202 trial. In addition to the U.S., the IOV-COM-202 trial has also received regulatory approval in Canada and in certain European countries.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IOV-2001 PBL for CLL/SLL</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November 2019, we announced that our investigational new drug application, or IND, for IOV-2001 was approved by the FDA and our sponsored clinical trial using this therapy, IOV-CLL-01, was cleared to proceed. IOV-2001 is a non-genetically modified, polyclonal T cell product that is manufactured using a nine-day process from 50 mL of patient's blood. IOV-CLL-01 is Phase 1/2 clinical trial evaluating the safety and efficacy of IOV-2001 in patients with relapsed or refractory chronic lymphocytic leukemia, or CLL, or small lymphocytic leukemia, or SLL. The IOV-CLL-01 trial is expected to enroll up to approximately 70 patients.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Investigator-Sponsored Clinical Trials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TIL in Other Solid Tumor Indications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are collaborating with MDACC on clinical trials to evaluate TIL therapy in sarcomas, ovarian, colorectal and pancreatic cancers. These trials, NCT03610490 and NCT03449108, began enrolling patients in 2018. Patients in these trials will be treated with LN-145 or TIL manufactured by MDACC.</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are collaborating with Yale University on a clinical trial to evaluate TIL therapy in TNBC cancer. This trial is expected to begin enrolling patients in 2020. Patients in this trial will be treated with LN-145.</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TIL in Combination with Other Immunotherapy Drugs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Checkpoint inhibitors are a class of immunotherapy drugs that seek to overcome one of cancer’s main defenses against an immune system attack. PD-1 is a checkpoint protein found on immune cells called T cells. It normally acts as a type of “off switch” that helps prevent T cells from attacking other cells in the body. It does this by attaching to PD-L1, a protein found on both normal and cancerous cells, which may then shut down an attack by a T cell. Some cancer cells have large amounts of PD-L1 expressed on their surfaces, which helps them evade T cell attack.</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provide funding for a clinical trial, NCT03215810, conducted by Moffitt, which seeks to evaluate TIL therapy in combination with the checkpoint inhibitor nivolumab in NSCLC. An additional clinical trial, NCT03374839, is being conducted by Moffitt to evaluate TIL therapy in combination with nivolumab in metastatic melanoma. We have also previously collaborated with Moffitt on a clinical trial, NCT01701674, to evaluate TIL therapy in combination with the CTLA-4 checkpoint inhibitor ipilimumab.</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2019 we entered into a collaboration with Moffitt to fund a phase 1 trial of lymphodepletion plus TIL therapy with high-dose IL-2 in adolescent and young adult patients with soft tissue sarcoma in clinical trial NCT04052334.</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Under our CRADA, we are collaborating with the NCI on the clinical trial NCT02621021 to evaluate TIL therapy in combination with the checkpoint inhibitor pembrolizumab in a 170-patient clinical trial in patients with advanced melanoma. This study is currently enrolling.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 Therapy Background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Immune system</w:t>
      </w:r>
    </w:p>
    <w:p>
      <w:pPr>
        <w:spacing w:after="0" w:line="225"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immune system recognizes danger signals and responds to threats at a cellular level. The most significant components of the cellular aspect of the adaptive immune response are T cells, or T lymphocytes, so called because they mature in the thymus and are distinguished from B cells which mature in the bone marrow. T cells can be distinguished from other white blood cells by T cell receptors present on their cell surface. These receptors contribute to tumor surveillance by helping T cells recognize infected cells as</w:t>
      </w:r>
    </w:p>
    <w:p>
      <w:pPr>
        <w:sectPr>
          <w:pgSz w:w="11900" w:h="16838" w:orient="portrait"/>
          <w:cols w:equalWidth="0" w:num="1">
            <w:col w:w="10040"/>
          </w:cols>
          <w:pgMar w:left="920" w:top="665" w:right="9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11" w:name="page12"/>
    <w:bookmarkEnd w:id="11"/>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
        <w:spacing w:after="0" w:line="277" w:lineRule="auto"/>
        <w:rPr>
          <w:sz w:val="20"/>
          <w:szCs w:val="20"/>
          <w:color w:val="auto"/>
        </w:rPr>
      </w:pPr>
      <w:r>
        <w:rPr>
          <w:rFonts w:ascii="Arial" w:cs="Arial" w:eastAsia="Arial" w:hAnsi="Arial"/>
          <w:sz w:val="18"/>
          <w:szCs w:val="18"/>
          <w:color w:val="auto"/>
        </w:rPr>
        <w:t>well as cancerous cells. T cells are involved in both sensing and killing infected or cancerous cells, as well as coordinating the activation of other cells in an immune response.</w:t>
      </w:r>
    </w:p>
    <w:p>
      <w:pPr>
        <w:spacing w:after="0" w:line="170" w:lineRule="exact"/>
        <w:rPr>
          <w:sz w:val="20"/>
          <w:szCs w:val="20"/>
          <w:color w:val="auto"/>
        </w:rPr>
      </w:pPr>
    </w:p>
    <w:p>
      <w:pPr>
        <w:ind w:left="321"/>
        <w:spacing w:after="0"/>
        <w:rPr>
          <w:sz w:val="20"/>
          <w:szCs w:val="20"/>
          <w:color w:val="auto"/>
        </w:rPr>
      </w:pPr>
      <w:r>
        <w:rPr>
          <w:rFonts w:ascii="Arial" w:cs="Arial" w:eastAsia="Arial" w:hAnsi="Arial"/>
          <w:sz w:val="18"/>
          <w:szCs w:val="18"/>
          <w:b w:val="1"/>
          <w:bCs w:val="1"/>
          <w:i w:val="1"/>
          <w:iCs w:val="1"/>
          <w:color w:val="auto"/>
        </w:rPr>
        <w:t>Cancer immunotherapy</w:t>
      </w:r>
    </w:p>
    <w:p>
      <w:pPr>
        <w:spacing w:after="0" w:line="225" w:lineRule="exact"/>
        <w:rPr>
          <w:sz w:val="20"/>
          <w:szCs w:val="20"/>
          <w:color w:val="auto"/>
        </w:rPr>
      </w:pPr>
    </w:p>
    <w:p>
      <w:pPr>
        <w:jc w:val="both"/>
        <w:ind w:left="1" w:right="20" w:firstLine="324"/>
        <w:spacing w:after="0" w:line="288" w:lineRule="auto"/>
        <w:rPr>
          <w:sz w:val="20"/>
          <w:szCs w:val="20"/>
          <w:color w:val="auto"/>
        </w:rPr>
      </w:pPr>
      <w:r>
        <w:rPr>
          <w:rFonts w:ascii="Arial" w:cs="Arial" w:eastAsia="Arial" w:hAnsi="Arial"/>
          <w:sz w:val="16"/>
          <w:szCs w:val="16"/>
          <w:color w:val="auto"/>
        </w:rPr>
        <w:t>Despite the progress that has been made over the past several decades, effective treatment of cancer, especially solid tumors, continues to be challenging. Some reasons solid tumors are so difficult to treat are: (i) in many solid tumors, multiple genes (as many as hundreds or thousands of genes) are mutated, and solid tumors are heterogeneous, (ii) it is not always clear which particular mutations are critical, and</w:t>
      </w:r>
    </w:p>
    <w:p>
      <w:pPr>
        <w:jc w:val="both"/>
        <w:ind w:left="1" w:right="120" w:hanging="1"/>
        <w:spacing w:after="0" w:line="254"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tumors can adapt and find a way to evade treatments that target a single mutation. In addition, the tumor can suppress the patient’s natural immune response. When T cells with cancer-specific receptors are absent, present in low numbers, of poor quality, or rendered inactive by suppressive mechanisms employed by tumor tissue, the cancer can grow and spread to various organs. In addition, standard of care treatments for cancer can be deleterious to T cells’ ability to kill cancer.</w:t>
      </w:r>
    </w:p>
    <w:p>
      <w:pPr>
        <w:spacing w:after="0" w:line="190" w:lineRule="exact"/>
        <w:rPr>
          <w:sz w:val="20"/>
          <w:szCs w:val="20"/>
          <w:color w:val="auto"/>
        </w:rPr>
      </w:pPr>
    </w:p>
    <w:p>
      <w:pPr>
        <w:ind w:left="1" w:right="20" w:firstLine="324"/>
        <w:spacing w:after="0" w:line="293" w:lineRule="auto"/>
        <w:rPr>
          <w:sz w:val="20"/>
          <w:szCs w:val="20"/>
          <w:color w:val="auto"/>
        </w:rPr>
      </w:pPr>
      <w:r>
        <w:rPr>
          <w:rFonts w:ascii="Arial" w:cs="Arial" w:eastAsia="Arial" w:hAnsi="Arial"/>
          <w:sz w:val="16"/>
          <w:szCs w:val="16"/>
          <w:color w:val="auto"/>
        </w:rPr>
        <w:t>We believe that adoptive cell therapy, with the use of human cells as therapeutic entities to reengage the immune system, may be a significant advancement in the treatment of cancer. These one-time cellular therapies may avoid the long-term side effects associated with current treatments and have the potential to be effective. We believe TIL therapy, in particular, has the potential to treat solid tumors by increasing the effectiveness and number of a patient’s cancer-specific T cells. TIL therapy is polyclonal, and we believe that it is capable of targeting multiple tumor antigens on cancer cells. Furthermore, the non-myeloablative lymphodepleting chemotherapy administered prior to TIL infusion is capable of suppressing the hostile tumor microenvironment, which we believe will enhance the efficacy of TIL therapy.</w:t>
      </w:r>
    </w:p>
    <w:p>
      <w:pPr>
        <w:spacing w:after="0" w:line="165" w:lineRule="exact"/>
        <w:rPr>
          <w:sz w:val="20"/>
          <w:szCs w:val="20"/>
          <w:color w:val="auto"/>
        </w:rPr>
      </w:pPr>
    </w:p>
    <w:p>
      <w:pPr>
        <w:ind w:left="321"/>
        <w:spacing w:after="0"/>
        <w:rPr>
          <w:sz w:val="20"/>
          <w:szCs w:val="20"/>
          <w:color w:val="auto"/>
        </w:rPr>
      </w:pPr>
      <w:r>
        <w:rPr>
          <w:rFonts w:ascii="Arial" w:cs="Arial" w:eastAsia="Arial" w:hAnsi="Arial"/>
          <w:sz w:val="18"/>
          <w:szCs w:val="18"/>
          <w:b w:val="1"/>
          <w:bCs w:val="1"/>
          <w:i w:val="1"/>
          <w:iCs w:val="1"/>
          <w:color w:val="auto"/>
        </w:rPr>
        <w:t>Tumor-infiltrating lymphocytes</w:t>
      </w:r>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auto"/>
        </w:rPr>
        <w:t>Adoptive cell therapy with TIL involves the following steps:</w:t>
      </w:r>
    </w:p>
    <w:p>
      <w:pPr>
        <w:spacing w:after="0" w:line="225" w:lineRule="exact"/>
        <w:rPr>
          <w:sz w:val="20"/>
          <w:szCs w:val="20"/>
          <w:color w:val="auto"/>
        </w:rPr>
      </w:pPr>
    </w:p>
    <w:p>
      <w:pPr>
        <w:ind w:left="681" w:hanging="330"/>
        <w:spacing w:after="0"/>
        <w:tabs>
          <w:tab w:leader="none" w:pos="681"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Excision: After a surgical resection of a lesion, a patient’s TIL are removed from the tumor</w:t>
      </w:r>
    </w:p>
    <w:p>
      <w:pPr>
        <w:spacing w:after="0" w:line="23" w:lineRule="exact"/>
        <w:rPr>
          <w:rFonts w:ascii="Arial" w:cs="Arial" w:eastAsia="Arial" w:hAnsi="Arial"/>
          <w:sz w:val="18"/>
          <w:szCs w:val="18"/>
          <w:color w:val="auto"/>
        </w:rPr>
      </w:pPr>
    </w:p>
    <w:p>
      <w:pPr>
        <w:ind w:left="681" w:hanging="330"/>
        <w:spacing w:after="0"/>
        <w:tabs>
          <w:tab w:leader="none" w:pos="681"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Extraction: Tumor is fragmented and placed in media for TIL to leave the tumor</w:t>
      </w:r>
    </w:p>
    <w:p>
      <w:pPr>
        <w:spacing w:after="0" w:line="9" w:lineRule="exact"/>
        <w:rPr>
          <w:rFonts w:ascii="Arial" w:cs="Arial" w:eastAsia="Arial" w:hAnsi="Arial"/>
          <w:sz w:val="18"/>
          <w:szCs w:val="18"/>
          <w:color w:val="auto"/>
        </w:rPr>
      </w:pPr>
    </w:p>
    <w:p>
      <w:pPr>
        <w:ind w:left="681" w:hanging="330"/>
        <w:spacing w:after="0" w:line="181" w:lineRule="auto"/>
        <w:tabs>
          <w:tab w:leader="none" w:pos="681"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Expansion: TIL expanded exponentially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to yield 10</w:t>
      </w:r>
      <w:r>
        <w:rPr>
          <w:rFonts w:ascii="Arial" w:cs="Arial" w:eastAsia="Arial" w:hAnsi="Arial"/>
          <w:sz w:val="25"/>
          <w:szCs w:val="25"/>
          <w:color w:val="auto"/>
          <w:vertAlign w:val="superscript"/>
        </w:rPr>
        <w:t>9</w:t>
      </w:r>
      <w:r>
        <w:rPr>
          <w:rFonts w:ascii="Arial" w:cs="Arial" w:eastAsia="Arial" w:hAnsi="Arial"/>
          <w:sz w:val="17"/>
          <w:szCs w:val="17"/>
          <w:color w:val="auto"/>
        </w:rPr>
        <w:t xml:space="preserve"> – 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TIL</w:t>
      </w:r>
    </w:p>
    <w:p>
      <w:pPr>
        <w:ind w:left="681" w:right="240" w:hanging="330"/>
        <w:spacing w:after="0" w:line="276" w:lineRule="auto"/>
        <w:tabs>
          <w:tab w:leader="none" w:pos="681"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Preparation and Infusion: Patient receives non-myeloablative lymphodepletion to eliminate potentially suppressive tumor microenvironment and maximize engraftment and potential potency of TIL therapy; patient is infused with their expanded TIL and up to 6 doses of IL-2 to promote activation, proliferation and anti-tumor cytolytic activity of TIL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665" w:right="9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358140</wp:posOffset>
            </wp:positionV>
            <wp:extent cx="3593465" cy="3610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93465" cy="361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Currently, our Gen 2 manufacturing process takes 22 days from receipt of the patient’s tumor at the manufacturing facility until shipping of the final TIL product to the institution for infusion of the TIL back into the patient. We currently treat patients with a single infusion of TIL, although our protocols allow for evaluation of more than one administration of TIL. After infusion, TIL can potentially infiltrate the tumor microenvironment to eliminate large numbers of cancer cells. TIL can also further proliferate in the body. TIL therapy can potentially overcome several mechanisms of tumor escape to which endogenous T cells may be susceptible due to the hostile tumor microenvironment.</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Historical clinical results with TIL in metastatic melanoma</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To date, hundreds of metastatic melanoma patients have already been treated with TIL therapy produced locally using different manufacturing methods at different academic institutions and hospitals in the United States, Europe, Canada, and Israel. At NCI, clinical responses have been relatively consistent in several trials: over 50% of the melanoma patients treated with TIL have an objective response (i.e. tumor regression of 30% or more, as defined by RECIST criteria) and approximately 22-24% of patients have a complete response (tumor regression of 100%) with no evidence of disease remaining after only one administration. Most patients who have had a complete response remained in response in 3-7 years of follow up. Furthermore, patients can respond to TIL therapy regardless of their prior therapies.</w:t>
      </w:r>
    </w:p>
    <w:p>
      <w:pPr>
        <w:spacing w:after="0" w:line="1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September 2015, Dr. Rosenberg, a recognized pioneer in immuno-oncology and adoptive cell therapy using TIL, presented updated findings from a Phase 2 clinical trial of TIL therapy in metastatic melanoma at the American Association for Cancer Research Inaugural International Cancer Immunotherapy Conference. Data was presented from a 101 patient, Phase 2 clinical trial conducted at the NCI. In the trial, patients with advanced metastatic melanoma were equally divided in two groups. Both groups were treated according to a standard TIL protocol using nonmyeloablative, or NMA, chemotherapy, with the second group also receiving total body irradiation. 54% of the patients treated with TIL therapy achieved an objective response. An objective response occurs when there is a complete remission or a partial remission of the tumor. Out of the 101 patients, 24, or 24%, had experienced a complete remission and 23 of the 24, or 96%, showed ongoing durability of this response at 30 to 47 months following treatment, at the time of publication. Median follow-up time was approximately 40.9 months. Overall survival, or OS, was approximately 80% at 12 months, and median OS had not yet been achieved. Median progression-free survival was approximately 8-10 months. This observation was</w:t>
      </w:r>
    </w:p>
    <w:p>
      <w:pPr>
        <w:sectPr>
          <w:pgSz w:w="11900" w:h="16838" w:orient="portrait"/>
          <w:cols w:equalWidth="0" w:num="1">
            <w:col w:w="10060"/>
          </w:cols>
          <w:pgMar w:left="920" w:top="665" w:right="9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also presented by Dr. Stephanie Goff at the 2016 ASCO meeting and published in the Journal of Clinical Oncology in June 2016. At the ASCO 2018 meeting, Dr. Goff presented updated findings from the study. Patients that had prior anti PD-1 treatment had an ORR of 20-25%.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 Survival of patients in TIL ± TBI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154940</wp:posOffset>
            </wp:positionV>
            <wp:extent cx="4279265" cy="2933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79265"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i w:val="1"/>
          <w:iCs w:val="1"/>
          <w:color w:val="auto"/>
        </w:rPr>
        <w:t>Source: Goff, S.L. et al. Randomized, Prospective Evaluation Comparing Intensity of Lymphodepletion Before Adoptive Transfer of Tumor-Infiltrating Lymphocytes for Patients With Metastatic Melanoma. Journal of Clinical Oncology, 34(20), 2389-2397.</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Clinical results with TIL in other solid tumor indications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Under our CRADA with the NCI, we are providing research, development and clinical funding for the development of unmodified TIL therapy for a variety of solid tumor indications, including HPV-associated cancers (cervical, head and neck), bladder, breast, and lung cancers. The NCI has an ongoing clinical trial involving TIL therapy to treat advanced HPV-positive cervical cancer. Data from this trial was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April 2015 and in </w:t>
      </w:r>
      <w:r>
        <w:rPr>
          <w:rFonts w:ascii="Arial" w:cs="Arial" w:eastAsia="Arial" w:hAnsi="Arial"/>
          <w:sz w:val="16"/>
          <w:szCs w:val="16"/>
          <w:i w:val="1"/>
          <w:iCs w:val="1"/>
          <w:color w:val="auto"/>
        </w:rPr>
        <w:t>Science</w:t>
      </w:r>
      <w:r>
        <w:rPr>
          <w:rFonts w:ascii="Arial" w:cs="Arial" w:eastAsia="Arial" w:hAnsi="Arial"/>
          <w:sz w:val="16"/>
          <w:szCs w:val="16"/>
          <w:color w:val="auto"/>
        </w:rPr>
        <w:t xml:space="preserve"> in April 2017 and was updated at the ASCO meeting in 2018. Out of 18 cervical cancer patients treated with HPV-TIL, two experienced complete remissions reported as ongoing at 53 and</w:t>
      </w:r>
    </w:p>
    <w:p>
      <w:pPr>
        <w:spacing w:after="0" w:line="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67 months. Another three patients experienced a three-month partial response. Additionally, the NCI has ongoing trials to treat patients using TIL with colorectal cancer, gastric cancer, pancreatic cancer, hepatocellular carcinoma and cholangiocarcinoma and lung cancer. Depending on results from the research and development and clinical trials conducted at the NCI under our CRADA, we may pursue the development and regulatory approval of TIL therapy for additional indications.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We continue to enroll patients in our ongoing TIL programs and we closely monitor our studies to learn about all safety events occurring, as described elsewhere in this Annual Report on Form 10-K. Some of these events may be associated with TIL therapy. Historically, the largest set of data for TIL therapy was generated by the NCI as part of their multiple clinical studies. Per publications from the NCI, toxicities or adverse events during TIL therapy have been mostly associated with either the lymphodepletion regimen or the high-dose IL-2 therapy given after TIL infusion as described by Goff et al. in the </w:t>
      </w:r>
      <w:r>
        <w:rPr>
          <w:rFonts w:ascii="Arial" w:cs="Arial" w:eastAsia="Arial" w:hAnsi="Arial"/>
          <w:sz w:val="18"/>
          <w:szCs w:val="18"/>
          <w:i w:val="1"/>
          <w:iCs w:val="1"/>
          <w:color w:val="auto"/>
        </w:rPr>
        <w:t>Journal of Clinical Oncology</w:t>
      </w:r>
      <w:r>
        <w:rPr>
          <w:rFonts w:ascii="Arial" w:cs="Arial" w:eastAsia="Arial" w:hAnsi="Arial"/>
          <w:sz w:val="18"/>
          <w:szCs w:val="18"/>
          <w:color w:val="auto"/>
        </w:rPr>
        <w:t xml:space="preserve"> in June 2016. The standard approach to the administration of high-dose IL-2 is to continue dosing until patients can no longer tolerate treatment. Our trials, however, have limited administration of IL-2 to up to 6 doses.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Generation TIL Product Strategies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are developing next generation TIL products using owned and licensed intellectual property rights, in some cases in combination with collaborators such as Cellectis and the University of Montreal, as described elsewhere in this Annual Report on Form 10-K. These products include both genetically-modified TIL and PD-1 selected TIL therapies. We are also developing PBL therapy for chronic lymphocytic leukemia.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Development, Manufacturing, and Manufacturing Agreements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first generation TIL manufacturing process was based on the NCI’s original manufacturing and processing of TIL, which we modified so that it could be reproduced in a cGMP environment. This first-generation process expanded the number of TIL over a 5 to 6 week period and produced a non-cryopreserved product for administration to the patient. Our Gen 2 TIL manufacturing process, which was developed by our internal research and process development team, shortens the manufacturing process to 22 days while allowing for a cryopreserved product. The Gen 2 process is currently in use in almost all of our trials in which we manufacture TIL products, including lifileucel and LN-145. We have selected Gen 2 for product registration and ongoing and future TIL clinical development, although we continue to develop new TIL manufacturing processes. We have developed a third-generation manufacturing process, known as Gen 3 which has a shorter manufacturing process than Gen 2. We are testing Gen 3 in the C-145-03 head and neck study. We have also developed a manufacturing process that specifically selects for TIL that are PD-1 positive. This product is known as LN-145-S1 and is currently being studied in the C-145-03 head and neck study.</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Gen 2 manufacturing process begins with the collection of the patient’s tumor, which is then sent to a central manufacturing facility, where the T cells are isolated. These cells are stimulated to proliferate, then propagated in cell culture flasks until sufficient cells are available for infusion back into the patient. The TIL is then washed and put in media suitable for cryopreservation and infusion. The final product is shipped back to the clinical center where it can be administered to the patient. The following diagram illustrates our Gen 2 TIL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128905</wp:posOffset>
            </wp:positionV>
            <wp:extent cx="5565775" cy="2452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6577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entered into MSAs with WuXi, Moffitt, and PharmaCell, which was acquired by Lonza, pursuant to which they have agreed to manufacture, package, ship and handle quality assurance and quality control of certain clinical trials for our TIL products working closely with our employees. We have two suites for clinical manufacturing at WuXi, and one of two suites is also available to manufacture TIL for commercial use. Cell processing activities will be conducted at all companies under cGMP, using qualified equipment and materials. We believe that all materials and components utilized in the production of the final TIL product are readily available from qualified suppliers. We expect to rely on these CMOs, to meet anticipated clinical trial and if approved, commercial demands. In the future, we may rely on them or other third parties, or our own manufacturing capabilities for the manufacturing and processing of TIL-based product candidates for our clinical trials.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meet projected needs for commercial sale quantities, we are building our own commercial manufacturing facility to supply and process products. Developing our own manufacturing capabilities may be costlier than we anticipate or result in significant delays. If we are unable to develop our own manufacturing capabilities, we may need to rely on CMOs, including both current and alternate suppliers, to ensure sufficient capacity is available for commercial purposes.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WuXi</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November 2016, we entered into a three-year manufacturing and services agreement, or MSA, with WuXi, pursuant to which WuXi agreed to provide manufacturing and other services. Under the agreement, we entered into two statements of work for two cGMP manufacturing suites to be established and operated by WuXi for our product manufacturing. The statements of work for each of the suites were amended in 2019 and include a fixed component to reserve a dedicated suite and a trained work force, and a variable component, mainly materials and testing used during the manufacturing process. Both statements of work provide for adjustments to the targeted production capacity levels and corresponding fixed quarterly fees upon written notice from us of 30 and 90 days for the first and second dedicated suites, respectively. The quarterly fixed fees payable for each of the dedicated manufacturing suites range from $1.2 million to $2.7 million depending on the production capacity level targeted. The terms of the related statements of work for the first and second dedicated manufacturing suites currently extend to May 2020 and June 2021,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Personalized Patient Product</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September 2017, we entered into an agreement with TrakCel Ltd., or TrakCel, to build a scheduling and logistics software tool that automates the supply chain for our TIL therapy products. The TrakCel software will electronically link us with our clinical sites, CMOs and couriers to schedule and track TIL therapies for each patient. The TrakCel software is also intended to help manage capacity utilization and throughput and will provide efficiencies in the delivery of TIL treatment.</w:t>
      </w:r>
    </w:p>
    <w:p>
      <w:pPr>
        <w:spacing w:after="0" w:line="18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TrakCel software is also designed to ensure chain of identity for each patient’s product. Because our product candidates are specifically manufactured for each individual patient, we will be required to maintain a chain of identity with respect to the patient’s tumor as it moves from the patient to the manufacturing facility, through the manufacturing process, and back to the patient.</w:t>
      </w:r>
    </w:p>
    <w:p>
      <w:pPr>
        <w:spacing w:after="0" w:line="16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continue to explore optimized scheduling and logistics software tools useful in the commercialization of our TIL therapies, including tools from vendors other than TrakCel.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229"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During 2015, we received an orphan-drug designation for lifileucel in the United States to treat malignant melanoma stages IIB-IV. If approved, this designation provides seven years of market exclusivity in the United States, subject to certain limited exceptions. However, the orphan drug designation does not convey any advantage in, or shorten the duration of, the regulatory review or approval process.</w:t>
      </w:r>
    </w:p>
    <w:p>
      <w:pPr>
        <w:spacing w:after="0" w:line="14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2018, we received an orphan drug designation from the FDA for LN-145 for the treatment of cervical cancer with a tumor size of greater than 2 cm in diameter.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August 2017, we announced that the FDA had granted Fast Track designation for lifileucel for the treatment of advanced melanoma. The FDA’s Fast Track process is designed to facilitate the development and expedite the review of drugs that treat serious conditions and fill an unmet medical need. Fast Track designation allows more frequent meetings and communications with the FDA to discuss the drug’s development plans and review process. The Fast Track designation also allows for the possibility for rolling review of a BLA by FDA, and also potential eligibility (if criteria are met) for accelerated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Regenerative Medicine Advanced Therapy Designation</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October 2018, we announced that the FDA had granted RMAT designation for lifileucel for the treatment of patients with metastatic melanoma. The RMAT designation is based on data provided to the FDA from our C-144-01 study. RMAT designation is granted for regenerative medicine drugs and allows for increased access to FDA during development. Under this designation,</w:t>
      </w:r>
    </w:p>
    <w:p>
      <w:pPr>
        <w:sectPr>
          <w:pgSz w:w="11900" w:h="16838" w:orient="portrait"/>
          <w:cols w:equalWidth="0" w:num="1">
            <w:col w:w="10060"/>
          </w:cols>
          <w:pgMar w:left="920" w:top="665" w:right="9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surrogate endpoints can be used to receive approval for a product, accelerated approval may be granted, and a rolling review of a BLA may be permitted by FDA.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currently have limited sales, marketing or commercial product distribution capabilities and as a company we have no experience in commercializing a cell therapy products. We are in the process of building our U.S. commercial and medical affairs infrastructure and intend to build our own global commercialization capabilities over time in certain geographies for our TIL product candidates including lifileucel for metastatic melanoma and LN-145 for metastatic cervical cancer. Melanoma is a common type of skin cancer, accounting for approximately 96,000 patients diagnosed and 7,230 deaths each year in the United States according to SEER as of 2019. In cervical cancer approximately 13,000 women were diagnosed and approximately 4,300 cervical cancer-related deaths occurred in the United States in 2019. If any of our TIL product candidates are approved, we expect to commercialize those products in the United States with an experienced sales, marketing, payer access and distribution organization including a national specialty oncology sales force. We have started and continue to build a dedicated team of Medical Affairs professionals to help educate health professionals about our TIL therapy and to assist in any training necessary for individual centers to administer our therapy. Outside the United States, we are in the process of defining our regulatory and commercial strategy. As additional product candidates advance through our pipeline, our commercial plans will evolve as we consider elements such as the market potential.</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five primary areas of our pre-launch efforts include:</w:t>
      </w:r>
    </w:p>
    <w:p>
      <w:pPr>
        <w:spacing w:after="0" w:line="225" w:lineRule="exact"/>
        <w:rPr>
          <w:sz w:val="20"/>
          <w:szCs w:val="20"/>
          <w:color w:val="auto"/>
        </w:rPr>
      </w:pPr>
    </w:p>
    <w:p>
      <w:pPr>
        <w:ind w:left="680" w:hanging="33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center engagement for commercial launch;</w:t>
      </w:r>
    </w:p>
    <w:p>
      <w:pPr>
        <w:spacing w:after="0" w:line="23" w:lineRule="exact"/>
        <w:rPr>
          <w:rFonts w:ascii="Arial" w:cs="Arial" w:eastAsia="Arial" w:hAnsi="Arial"/>
          <w:sz w:val="18"/>
          <w:szCs w:val="18"/>
          <w:color w:val="auto"/>
        </w:rPr>
      </w:pPr>
    </w:p>
    <w:p>
      <w:pPr>
        <w:ind w:left="680" w:hanging="330"/>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development of a close collaboration with healthcare professionals, or HCPs, who will be handling or administering our product;</w:t>
      </w:r>
    </w:p>
    <w:p>
      <w:pPr>
        <w:spacing w:after="0" w:line="32" w:lineRule="exact"/>
        <w:rPr>
          <w:rFonts w:ascii="Arial" w:cs="Arial" w:eastAsia="Arial" w:hAnsi="Arial"/>
          <w:sz w:val="16"/>
          <w:szCs w:val="16"/>
          <w:color w:val="auto"/>
        </w:rPr>
      </w:pPr>
    </w:p>
    <w:p>
      <w:pPr>
        <w:ind w:left="680" w:hanging="33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excellence by us in provision of our product;</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communication with payors; and</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building a patient-centric organization</w:t>
      </w:r>
    </w:p>
    <w:p>
      <w:pPr>
        <w:spacing w:after="0" w:line="21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To date, in the United States lifileucel has been administered in 23 centers and LN-145 for cervical cancer has been administered in 19 centers. We anticipate that centers with prior TIL experience will be the initial targets for launch upon approval.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Intellectual property is of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also plan to rely on regulatory protection afforded through orphan drug designations, available regulatory exclusivities and patent term extensions where available. To achieve this objective, a strategic focus for us has been to develop our own intellectual property, while also identifying and licensing patents that provide protection and serve as an optimal platform to enhance our intellectual property and technology base.</w:t>
      </w:r>
    </w:p>
    <w:p>
      <w:pPr>
        <w:spacing w:after="0" w:line="16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have engaged in the development of our own patent portfolio based on internal research and development activities in 2018. As a result, we now own a number of pending patent applications and granted patents in the fields of TIL therapy, marrow infiltrating lymphocyte or MIL therapy, PBL therapy, TIL, MIL, and PBL manufacturing processes, and TIL, MIL, and PBL expansion methods. Our patent portfolio includes nine recently-granted U.S. patents related to our Gen 2 TIL manufacturing process. We expect to further develop our own patent portfolio as a strategic focus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License Agreements</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Currently, preclinical research and development is conducted primarily at our own internal research and development laboratory in Tampa, Florida, and additionally with the NCI, Moffitt, and MDACC, as described below. We also have preclinical collaborations with MDACC and Ohio State University. We sponsor our own clinical trials and also collaborate on investigator-sponsored clinical trials with the NCI, Moffitt, and MDACC.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addition, we hold exclusive, co-exclusive, and non-exclusive licenses to certain patent and other intellectual property rights with the National Institutes of Health, or NIH, an agency of the United States Public Health Service within the Department of Health and Human Services, Moffitt, MDACC, Novartis, and Cellectis as described in this Annual Report on Form 10-K.</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Cooperative Research and Development Agreement</w:t>
      </w:r>
    </w:p>
    <w:p>
      <w:pPr>
        <w:spacing w:after="0" w:line="225"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In August 2011, we signed a five-year CRADA with the NCI to work with Dr. Steven Rosenberg on developing adoptive cell immunotherapies that are designed to destroy metastatic melanoma cells using a patient’s tumor infiltrating lymphocytes.</w:t>
      </w:r>
    </w:p>
    <w:p>
      <w:pPr>
        <w:spacing w:after="0" w:line="124"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In January 2015, we executed an amendment to the CRADA to include four new indications. As amended, in addition to metastatic melanoma, the CRADA included the development of TIL therapy for the treatment of patients with bladder, lung, triple-negative breast, and HPV-associated cancers.</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August 2016, we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FDA-licensed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Pursuant to the terms of the CRADA, as amended, we are required to make quarterly payments of $0.5 million to the NCI for support of research activities. To the extent we license patent rights relating to a TIL-based product candidate, we will be responsible for all patent-related expenses and fees, past and future, relating to the TIL-based product candidate. In addition, we may be required to supply certain test articles, including TIL, grown and processed under cGMP conditions, suitable for use in clinical trials, where we hold the investigational new drug application for such clinical trial. The extended CRADA has a five-year term expiring in August 2021. We or the NCI may unilaterally terminate the CRADA for any reason or for no reason at any time by providing written notice at least 60 days before the desired termination date.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Effective October 5, 2011, we entered into an Exclusive Patent License Agreement, or the Patent License Agreement, with the NIH, an agency of the United States Public Health Service within the Department of Health and Human Services, which was subsequently amended on February 9, 2015 and October 2, 2015. Pursuant to the Patent License Agreement as amended, the NIH granted us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w:t>
      </w:r>
    </w:p>
    <w:p>
      <w:pPr>
        <w:spacing w:after="0" w:line="5"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On February 10, 2015, we entered into an exclusive patent license Agreement, or the Exclusive Patent License Agreement, with the NIH under which we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 Lee Moffitt Cancer Center</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December 2016, we entered into a new three-year Sponsored Research Agreement with H. Lee Moffitt Cancer Center, or Moffitt. At the same time, we have entered into a clinical grant agreement with Moffitt under which we provide support for an ongoing clinical trial at Moffitt that combines TIL therapy with nivolumab for the treatment of patients with metastatic melanoma. In June 2017, we entered into a second clinical grant agreement with Moffitt to support a new clinical trial at Moffitt that combines TIL therapy with nivolumab for the treatment of patients with non-small cell lung cancer, under which we obtained a non-exclusive, royalty-free license to any new Moffitt inventions made in the performance of the agreement. Under both clinical grant agreements with Moffit, we have non-exclusive rights to clinical data arising from the respective clinical trials.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entered into a license agreement with Moffitt, or the First Moffitt License, effective as of June 28, 2014, under which we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Pursuant to the First Moffitt License, we paid an upfront licensing fee in the amount of $0.1 million. A patent issuance fee will also be payable under the First Moffitt License, upon the issuance of the first U.S. patent covering the subject technology. In addition, we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We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us in agreement with Moffitt.</w:t>
      </w:r>
    </w:p>
    <w:p>
      <w:pPr>
        <w:spacing w:after="0" w:line="1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entered into a license agreement with Moffitt effective as of May 7, 2018, or the Second Moffitt License, under which we received a license to Moffitt’s rights to patent-pending technologies related to the use of 4-1BB agonists in conjunction with TIL manufacturing processes and therapies. We continue to develop TIL therapies using a 4-1BB agonist in manufacturing in conjunction with M.D. Anderson Cancer Center.</w:t>
      </w:r>
    </w:p>
    <w:p>
      <w:pPr>
        <w:spacing w:after="0" w:line="187"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Pursuant to the Second Moffitt License, we paid an upfront licensing fee in the amount of $0.1 million in 2018. An annual license maintenance fee will be also payable commencing on the first anniversary of the effective date. In addition, we agreed to pay an annual commercial use payment for each indication for which a first sale has occurred, which in the aggregate amounts to up to $0.4 million a year.</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PolyBioCept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PolyBioCept Exclusive and Co-Exclusive License Agreement</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September 14, 2016, we entered into an exclusive and co-exclusive license Agreement, or the PolyBioCept Agreement, with PolyBioCept, AB, or PolyBioCept, a corporation organized under the laws of Sweden. Under the PolyBioCept Agreement, we received the exclusive right and license to PolyBioCept’s intellectual property to develop, manufacture, market and genetically engineer TIL produced by expansion, selection and enrichment using a proprietary cytokine cocktail. We also received a co-exclusive license (with PolyBioCept) to develop, manufacture and market genetically engineered TIL under the same intellectual property. The licenses were for use in all cancers and were worldwide in scope, with the exception that the uses in melanoma are not included for certain countries of the former Soviet Union. On June 13, 2019, we terminated the PolyBioCept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M.D. Anderson Cancer Center</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Strategic Alliance Agreement</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April 2017, we entered into a Strategic Alliance Agreement, or the SAA, with MDACC under which we and MDACC agreed to conduct clinical and preclinical research studies. We agreed in the SAA to provide total funding not to exceed approximately $14.2 million for the performance of the multi-year studies under the SAA. In return, we acquired all rights to inventions resulting from the studies and have been granted a non-exclusive, sub-licensable, royalty-free, and perpetual license to specified background intellectual property of MDACC reasonably necessary to exploit, including the commercialization thereof. We have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us of all deliverables due from MDACC thereunder. In May 2017, the Company made a prepayment of $1.4 million under this agreement.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MedImmune</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December 2015, we entered into a collaboration agreement, the MedImmune Agreement, with MedImmune, the global biologics research and development arm of AstraZeneca, to conduct clinical and preclinical research immuno-oncology. Under the MedImmune Agreement, we funded and sought to conduct at least one clinical trial combining MedImmune's PD-L1 inhibitor, durvalumab with TIL for treatment of patients. MedImmune supplied durvalumab for the clinical trials. On April 3, 2019, the Company and MedImmune announced that the study was closed because of a changing treatment landscape and a lack of enrollment, and the collaboration agreement was terminated as of April 1, 2019.</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WuXi</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November 2016, the Company entered into a three-year manufacturing and services agreement, or MSA, with WuXi pursuant to which WuXi agreed to provide manufacturing and other services. Under the agreement, the Company entered into two statements of work for two cGMP manufacturing suites to be established and operated by WuXi for the Company. The statements of work for each of the suites were amended in 2019 and include a fixed component to reserve a dedicated suite and a trained work force and a variable component, mainly materials and testing used during the manufacturing processes. Both statements of work provide for adjustments to the targeted production capacity levels and corresponding fixed quarterly fees upon written notice from the Company of 30 and 90 days for the first and second dedicated suites, respectively. The terms of the related statements of work for the first and second dedicated manufacturing suites currently extend to May 2020 and June 2021, respectively.</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Cellectis</w:t>
      </w:r>
    </w:p>
    <w:p>
      <w:pPr>
        <w:spacing w:after="0" w:line="225"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color w:val="auto"/>
        </w:rPr>
        <w:t>In June 2018, we entered into a preclinical research collaboration with Cellectis to investigate TALEN for genetic editing in conjunction with TIL therapy. In January 2020, we entered into a license agreement with Cellectis to use the TALEN technology to genetically edit TIL (see Subsequent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biotechnology and pharmaceutical industries put significant resources in developing novel and proprietary therapies for the treatment of cancer. We compete with multiple entities who have developed and are developing immuno-oncology therapies, including large and specialty pharmaceutical and biotechnology companies, academic research institutions and governmental agencies and public and private research institutions, as well as companies developing novel targeted therapies for cancer. 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University Hospital at Herlev, and the University of Manchester. While these universities and public and private research institutions primarily have educational objectives, they may develop proprietary technologies that lead to other FDA-approved therapies or that secure patent protection. We anticipate that we will face possibly increasing competition as new drugs and therapies enter the market and advanced technologies become available.</w:t>
      </w:r>
    </w:p>
    <w:p>
      <w:pPr>
        <w:spacing w:after="0" w:line="178"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Due to the promising clinical therapeutic effect of their therapies in clinical exploratory trials, we anticipate substantial direct competition from other organizations developing advanced T cell therapies targeting patients who have received prior anti-PD-1/PD-</w:t>
      </w:r>
    </w:p>
    <w:p>
      <w:pPr>
        <w:sectPr>
          <w:pgSz w:w="11900" w:h="16838" w:orient="portrait"/>
          <w:cols w:equalWidth="0" w:num="1">
            <w:col w:w="10060"/>
          </w:cols>
          <w:pgMar w:left="920" w:top="665" w:right="9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L1 therapies. In particular, we expect to compete with other new therapies for our lead indications developed by companies such as Bristol-Myers Squibb, Merck, Nektar Therapeutics, Idera Pharmaceuticals, Checkmate Pharmaceuticals, Oncosec Medical, Immetacyte, WindMIL Therapeutics, Seattle Genetics, and others. We also may compete with therapies based on genetically engineered T cells rendered reactive against tumor-associated antigens prior to their administration to patients. Genetically engineered T cells are being pursued by several companies, including Adaptimmune, Bristol-Myers Squibb’s through its acquisition of Celgene, Gilead Sciences, Novartis and others. To date, these technologies have been primarily applicable to hematologic malignancies, but their application in solid tumor indications may create competition with us.</w:t>
      </w:r>
    </w:p>
    <w:p>
      <w:pPr>
        <w:spacing w:after="0" w:line="18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Competition for late stage melanoma patients may come, if approved, from several compounds currently under development. In 2019, Idera Pharmaceuticals reported results from an ongoing Phase 3 clinical trial of the TLR9 agonist IMO-2125 in combination with ipilimumab indicating an ORR of 18% in 49 melanoma patients who had previously received anti-PD-1 therapy. Checkmate Pharmaceuticals reported preliminary results from an ongoing Phase 1b clinical trial of the TLR9 agonist CMP-001 in combination with pembrolizumab indicating an ORR of 25% in 82 patients who had received prior anti-PD-1 therapy.</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While other types of cancer immunotherapies may potentially be used in combination with TIL, such as checkpoint inhibitors, to enhance efficacy, we also expect substantial direct competition from other types of immunotherapies. We face competition from immunotherapy treatments offered by companies such as Amgen, AstraZeneca, Bristol-Myers Squibb, Merck, and Roche. Immunotherapy is also being pursued by several biotechnology companies as well as by large-cap pharmaceutical companies. We cannot predict whether other types of immunotherapies may be enhanced and show greater efficacy. As a result, we may have direct and substantial competition from such immunotherapies in the future.</w:t>
      </w:r>
    </w:p>
    <w:p>
      <w:pPr>
        <w:spacing w:after="0" w:line="193" w:lineRule="exact"/>
        <w:rPr>
          <w:sz w:val="20"/>
          <w:szCs w:val="20"/>
          <w:color w:val="auto"/>
        </w:rPr>
      </w:pPr>
    </w:p>
    <w:p>
      <w:pPr>
        <w:ind w:right="80" w:firstLine="369"/>
        <w:spacing w:after="0" w:line="271" w:lineRule="auto"/>
        <w:rPr>
          <w:sz w:val="20"/>
          <w:szCs w:val="20"/>
          <w:color w:val="auto"/>
        </w:rPr>
      </w:pPr>
      <w:r>
        <w:rPr>
          <w:rFonts w:ascii="Arial" w:cs="Arial" w:eastAsia="Arial" w:hAnsi="Arial"/>
          <w:sz w:val="17"/>
          <w:szCs w:val="17"/>
          <w:color w:val="auto"/>
        </w:rPr>
        <w:t>Many potential competitors, either alone or with their strategic partners, have substantially greater financial, technical and human resources than we do. Accordingly, our competitors may be more successful than us in obtaining approval for treatments and achieving widespread market acceptance and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9" w:lineRule="exact"/>
        <w:rPr>
          <w:sz w:val="20"/>
          <w:szCs w:val="20"/>
          <w:color w:val="auto"/>
        </w:rPr>
      </w:pPr>
    </w:p>
    <w:p>
      <w:pPr>
        <w:ind w:right="60" w:firstLine="369"/>
        <w:spacing w:after="0" w:line="289"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We may rely, in some circumstances, on trade secrets to protect our technology. However, trade secrets can be difficult to protect.</w:t>
      </w:r>
    </w:p>
    <w:p>
      <w:pPr>
        <w:spacing w:after="0" w:line="16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w:t>
      </w:r>
    </w:p>
    <w:p>
      <w:pPr>
        <w:sectPr>
          <w:pgSz w:w="11900" w:h="16838" w:orient="portrait"/>
          <w:cols w:equalWidth="0" w:num="1">
            <w:col w:w="10040"/>
          </w:cols>
          <w:pgMar w:left="920" w:top="665" w:right="9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navigate the various preclinical, clinical and commercial approval and post-approval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87" w:lineRule="exact"/>
        <w:rPr>
          <w:sz w:val="20"/>
          <w:szCs w:val="20"/>
          <w:color w:val="auto"/>
        </w:rPr>
      </w:pPr>
    </w:p>
    <w:p>
      <w:pPr>
        <w:ind w:right="80" w:firstLine="369"/>
        <w:spacing w:after="0" w:line="288" w:lineRule="auto"/>
        <w:rPr>
          <w:sz w:val="20"/>
          <w:szCs w:val="20"/>
          <w:color w:val="auto"/>
        </w:rPr>
      </w:pPr>
      <w:r>
        <w:rPr>
          <w:rFonts w:ascii="Arial" w:cs="Arial" w:eastAsia="Arial" w:hAnsi="Arial"/>
          <w:sz w:val="16"/>
          <w:szCs w:val="16"/>
          <w:color w:val="auto"/>
        </w:rPr>
        <w:t>Biologic products are regulated by the FDA under a combination of the federal Food, Drug, and Cosmetic Act, or FDCA, and Public Health Services Act, or PHSA, and the FDA’s implementing regulations.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Risk Evaluation and Mitigation Strategy, or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w:t>
      </w:r>
    </w:p>
    <w:p>
      <w:pPr>
        <w:spacing w:after="0" w:line="16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70" w:lineRule="exact"/>
        <w:rPr>
          <w:sz w:val="20"/>
          <w:szCs w:val="20"/>
          <w:color w:val="auto"/>
        </w:rPr>
      </w:pPr>
    </w:p>
    <w:p>
      <w:pPr>
        <w:ind w:left="680" w:right="200" w:hanging="330"/>
        <w:spacing w:after="0" w:line="258"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or GLP, regulation, as well as manufacturing development and formulation studies;</w:t>
      </w:r>
    </w:p>
    <w:p>
      <w:pPr>
        <w:spacing w:after="0" w:line="1" w:lineRule="exact"/>
        <w:rPr>
          <w:rFonts w:ascii="Arial" w:cs="Arial" w:eastAsia="Arial" w:hAnsi="Arial"/>
          <w:sz w:val="18"/>
          <w:szCs w:val="18"/>
          <w:color w:val="auto"/>
        </w:rPr>
      </w:pPr>
    </w:p>
    <w:p>
      <w:pPr>
        <w:ind w:left="680" w:right="340" w:hanging="330"/>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ind w:left="680" w:right="200" w:hanging="330"/>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or centrally, before the trial is begun;</w:t>
      </w:r>
    </w:p>
    <w:p>
      <w:pPr>
        <w:ind w:left="680" w:right="260" w:hanging="330"/>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proposed biologic product candidate for its intended purpose;</w:t>
      </w:r>
    </w:p>
    <w:p>
      <w:pPr>
        <w:ind w:left="680" w:hanging="33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pivotal clinical trial(s);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9" w:lineRule="exact"/>
        <w:rPr>
          <w:rFonts w:ascii="Arial" w:cs="Arial" w:eastAsia="Arial" w:hAnsi="Arial"/>
          <w:sz w:val="18"/>
          <w:szCs w:val="18"/>
          <w:color w:val="auto"/>
        </w:rPr>
      </w:pPr>
    </w:p>
    <w:p>
      <w:pPr>
        <w:ind w:left="680" w:right="340" w:hanging="330"/>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sites to assess compliance with current Good Clinical Practices, or cGCPs; and</w:t>
      </w:r>
    </w:p>
    <w:p>
      <w:pPr>
        <w:spacing w:after="0" w:line="1" w:lineRule="exact"/>
        <w:rPr>
          <w:rFonts w:ascii="Arial" w:cs="Arial" w:eastAsia="Arial" w:hAnsi="Arial"/>
          <w:sz w:val="18"/>
          <w:szCs w:val="18"/>
          <w:color w:val="auto"/>
        </w:rPr>
      </w:pPr>
    </w:p>
    <w:p>
      <w:pPr>
        <w:ind w:left="680" w:right="380" w:hanging="330"/>
        <w:spacing w:after="0" w:line="261"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periodically when changes are made.</w:t>
      </w:r>
    </w:p>
    <w:p>
      <w:pPr>
        <w:spacing w:after="0" w:line="184" w:lineRule="exact"/>
        <w:rPr>
          <w:sz w:val="20"/>
          <w:szCs w:val="20"/>
          <w:color w:val="auto"/>
        </w:rPr>
      </w:pPr>
    </w:p>
    <w:p>
      <w:pPr>
        <w:ind w:firstLine="369"/>
        <w:spacing w:after="0" w:line="269" w:lineRule="auto"/>
        <w:rPr>
          <w:sz w:val="20"/>
          <w:szCs w:val="20"/>
          <w:color w:val="auto"/>
        </w:rPr>
      </w:pPr>
      <w:r>
        <w:rPr>
          <w:rFonts w:ascii="Arial" w:cs="Arial" w:eastAsia="Arial" w:hAnsi="Arial"/>
          <w:sz w:val="17"/>
          <w:szCs w:val="17"/>
          <w:color w:val="auto"/>
        </w:rPr>
        <w:t>The testing and approval process requires substantial time, effort and financial resources, and we cannot be certain that any approvals for our product candidates will be granted on a timely basis, if at all. Prior to beginning the first clinical trial with a new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concerns or questions about the proposed clinical trial. In such a case, the IND may be placed on clinical hold and the IND sponsor and the FDA must resolve any outstanding concerns or questions before the clinical trial can begin. Clinical holds also may be imposed by the FDA at any time before or during trials due to safety concerns or non-compliance. Submission of an IND therefore may or may not result in FDA authorization to begin a clinical trial.</w:t>
      </w:r>
    </w:p>
    <w:p>
      <w:pPr>
        <w:spacing w:after="0" w:line="18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Human immunotherapy products are a new category of therapeutics. Because this is a relatively new and expanding area of novel therapeutic interventions,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w:t>
      </w:r>
    </w:p>
    <w:p>
      <w:pPr>
        <w:sectPr>
          <w:pgSz w:w="11900" w:h="16838" w:orient="portrait"/>
          <w:cols w:equalWidth="0" w:num="1">
            <w:col w:w="10040"/>
          </w:cols>
          <w:pgMar w:left="920" w:top="665" w:right="9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and a statistical analysis plan. A separate submission to the existing IND must be made for each successive clinical trial conducted during product development and for any subsequent protocol amendments. Investigators must also provide certain information to the clinical trial sponsors to allow the sponsors to make certain financial disclosures to the FDA.</w:t>
      </w:r>
    </w:p>
    <w:p>
      <w:pPr>
        <w:spacing w:after="0" w:line="18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Furthermore, an independent IRB for each site proposing to conduct the clinical trial or centrally must review and approve the plan for any clinical trial, its informed consent form and any subject communications, before the clinical trial begins at that site, and upon amendment of the trial, and must monitor the study until completed. An IRB considers, among other things, whether the risks to individuals participating in the trials are minimized and are reasonable in relation to anticipated benefits and whether the planned human subject protections are adequate. Informed consent must be received from each study subject prior to participation in a clinical study. Progress reports detailing the results of the clinical trials must also be submitted at least annually to the FDA and the IRB and more frequently if serious adverse events or other significant safety information is found.</w:t>
      </w:r>
    </w:p>
    <w:p>
      <w:pPr>
        <w:spacing w:after="0" w:line="17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Regulatory authorities, the IRB, or the sponsor may suspend a clinical trial at any time on various grounds, including a finding that the subjects are being exposed to an unacceptable health risk, that the trial is not being conducted in accordance with regulatory or IRB requirements, or that the trial is unlikely to meet its stated objectives. Sponsors may also discontinue studies or development programs for many reasons, including changing business objectives. Some studies also include oversight by an independent group of qualified experts organized by the clinical study sponsor, known as a data safety monitoring board, or DSMB, which provides recommendations and assessments for whether or not a study should move forward at designated check points based on access to certain data from the study. Following a review by a DSMB, the study may be halted if there is an unacceptable safety risk for subjects or on other grounds, such as failure to demonstrate efficacy. There are also requirements governing the reporting of ongoing clinical studies and clinical study results to public registries. For instance, we are required to register certain clinical trials and post the results of certain completed clinical trials on a government-sponsored database, ClinicalTrials.gov, within specified timeframes, and also to certify to FDA our compliance with these requirements when we make FDA submissions. Failure to make required ClinicalTrials.gov submissions, submitting false or misleading information to ClinicalTrials.gov, or making false certifications to FDA could result in enforcement actions, including civil money penalties and adverse publicity.</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 Although these are the typical phases for progression, and characteristics of the phases of a clinical development program, certain expedited programs allow for variations that could support a marketing application based on surrogate endpoints, intermediate clinical endpoints, or single-arm as opposed to comparative or placebo-controlled studies.</w:t>
      </w:r>
    </w:p>
    <w:p>
      <w:pPr>
        <w:spacing w:after="0" w:line="187" w:lineRule="exact"/>
        <w:rPr>
          <w:sz w:val="20"/>
          <w:szCs w:val="20"/>
          <w:color w:val="auto"/>
        </w:rPr>
      </w:pPr>
    </w:p>
    <w:p>
      <w:pPr>
        <w:ind w:left="680" w:right="300" w:hanging="330"/>
        <w:spacing w:after="0" w:line="25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1 -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2" w:lineRule="exact"/>
        <w:rPr>
          <w:rFonts w:ascii="Arial" w:cs="Arial" w:eastAsia="Arial" w:hAnsi="Arial"/>
          <w:sz w:val="18"/>
          <w:szCs w:val="18"/>
          <w:color w:val="auto"/>
        </w:rPr>
      </w:pPr>
    </w:p>
    <w:p>
      <w:pPr>
        <w:ind w:left="680" w:right="60" w:hanging="330"/>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 w:lineRule="exact"/>
        <w:rPr>
          <w:rFonts w:ascii="Arial" w:cs="Arial" w:eastAsia="Arial" w:hAnsi="Arial"/>
          <w:sz w:val="18"/>
          <w:szCs w:val="18"/>
          <w:color w:val="auto"/>
        </w:rPr>
      </w:pPr>
    </w:p>
    <w:p>
      <w:pPr>
        <w:ind w:left="680" w:hanging="330"/>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3 - The investigational product is administered to an expanded patient population in adequate and well-controlled studies to further evaluate dosage, to provide statistically significant evidence of clinical efficacy and to further test for safety, generally at multiple geographically dispersed clinical trial sites. These clinical trials are intended to establish the overall risk/benefit relationship of the investigational product and to provide an adequate basis for product approval. Typically, two Phase 3 studies are required by the FDA for product approval.</w:t>
      </w:r>
    </w:p>
    <w:p>
      <w:pPr>
        <w:spacing w:after="0" w:line="2" w:lineRule="exact"/>
        <w:rPr>
          <w:rFonts w:ascii="Arial" w:cs="Arial" w:eastAsia="Arial" w:hAnsi="Arial"/>
          <w:sz w:val="18"/>
          <w:szCs w:val="18"/>
          <w:color w:val="auto"/>
        </w:rPr>
      </w:pPr>
    </w:p>
    <w:p>
      <w:pPr>
        <w:ind w:left="680" w:hanging="330"/>
        <w:spacing w:after="0" w:line="255"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4 - 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90"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Additional types of data may also help to support a BLA, such as real-world evidence and patient experience data. Phase 1, Phase 2 and Phase 3, and Phase 4 testing, if applicable, may not be completed successfully within a specified period, if at all, and there can be no assurance that the data collected will support FDA approval or licensure of the product. Concurrent with clinical trials,</w:t>
      </w:r>
    </w:p>
    <w:p>
      <w:pPr>
        <w:sectPr>
          <w:pgSz w:w="11900" w:h="16838" w:orient="portrait"/>
          <w:cols w:equalWidth="0" w:num="1">
            <w:col w:w="10040"/>
          </w:cols>
          <w:pgMar w:left="920" w:top="665" w:right="9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and manufacturing processes must be validated.</w:t>
      </w:r>
    </w:p>
    <w:p>
      <w:pPr>
        <w:spacing w:after="0" w:line="16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manufacture of investigational biologics for the conduct of human clinical trials is subject to cGMP requirements. Investigational biologics and active ingredients imported into the United States are also subject to regulation by the FDA relating to their labeling and distribution. Further, the export of investigational products outside of the United States is subject to regulatory requirements of the importing country as well as U.S. export requirements under the FDCA. Additional United States and foreign laws and regulations may also be applicable to the handling, import, export, and transportation of biological materials, including tissue samples.</w:t>
      </w:r>
    </w:p>
    <w:p>
      <w:pPr>
        <w:spacing w:after="0" w:line="1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During the development of a new therapeutic, a sponsor may be able to request a Special Protocol Assessment, or SPA, the purpose of which is to reach an agreement with the FDA on the Phase 3 clinical trial protocol design and analysis that will form the primary basis of product approval and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product was identified after the testing began. An SPA is intended to provide assurance that, in the case of clinical trials, if the agreed upon clinical trial protocol is followed, the clinical trial endpoints are achieved, and there is a favorable risk-benefit profile, the data may serve as the primary basis for an efficacy claim in support of a BLA. However, SPA agreements are not a guarantee of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8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 beginning in 2020, sponsors submitting applications for product candidates intended for the treatment of adult cancer which are directed at molecular targets that the FDA determines to be substantially relevant to the growth or progression of pediatric cancer must submit, with the application, reports from molecularly targeted pediatric cancer investigations designed to yield clinically meaningful pediatric study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PREA requirements.</w:t>
      </w:r>
    </w:p>
    <w:p>
      <w:pPr>
        <w:spacing w:after="0" w:line="16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FDA also may require submission of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biologic outweigh the risks.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under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Prescription Drug User Fee Act, and the sponsor of an approved BLA is also subject to annual program fees. These fees are typically increased annually. A waiver of user fees may be obtained under certain limited circumstances.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Once a BLA has been submitted, the FDA has sixty days to determine whether it will accept the application for filing. The FDA accepts applications for filing if it determines that the application is substantially complete to permit a substantive review.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FDA’s goal is to review the application within ten months after it accepts the application for filing, or, if the application relates to a serious or life-threatening indication and, if approved, the product would provide a significant improvement in safety and efficacy, six months after the FDA accepts the application for filing, which is referred to as Priority Review. The review process is often significantly extended if the FDA requests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There are numerous FDA personnel assigned to review different aspects of a BLA, and uncertainties can be presented by their ability to exercise judgment and discretion during the review process. The development and provision of additional data and information requested by FDA during review of a BLA may be time consuming and expensive.</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FDA may convene an advisory committee to provide clinical insight on application review questions. Before approving a novel biologic, the FDA must either refer that biologic to an external advisory committee or provide in an action letter, a summary of the reasons why the FDA did not refer the product candidate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3"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the FDA determines that the application, manufacturing process or manufacturing facilities are not acceptable, it will outline the deficiencies in the submission and often will request additional testing, clinical studies, application modifications, or information in a complete response letter, or CRL. A CRL indicates that the review cycle for the application is complete and that the application is not ready for approval. If a CRL is issued, the applicant may either: resubmit the BLA, addressing all the deficiencies identified in the letter; withdraw the application; or request an opportunity for a hearing. Notwithstanding the submission of any requested additional information, the FDA ultimately may decide that the application does not satisfy the regulatory criteria for approval. Data obtained from clinical trials are not always conclusive and the FDA may interpret data differently than an applicant interprets the same data.</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the FDA finds that a BLA is approvable, the FDA may issue an approval letter. An approval letter authorizes commercial marketing of the product with specific prescribing information for specific indications. However, 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9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If compliance with the pre-and post-marketing regulatory standards are not maintained or if problems occur after the product reaches the marketplace, the FDA may also withdraw the product approval. Further, should new safety information arise, additional testing, product labeling, or FDA notification may be required.</w:t>
      </w:r>
    </w:p>
    <w:p>
      <w:pPr>
        <w:spacing w:after="0" w:line="181"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w:t>
      </w:r>
    </w:p>
    <w:p>
      <w:pPr>
        <w:sectPr>
          <w:pgSz w:w="11900" w:h="16838" w:orient="portrait"/>
          <w:cols w:equalWidth="0" w:num="1">
            <w:col w:w="10060"/>
          </w:cols>
          <w:pgMar w:left="920" w:top="665" w:right="9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needs for the condition. For a Fast Track designation, the FDA may consider sections of the BLA for review on a rolling basis before the complete application is submitted if relevant criteria are met. Fast Track-designated products are also eligible for more frequent FDA interactions. A Fast Track-designated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the FDA accepts the application for filing. Priority Review designation does not change the scientific/medical standard for approval or the quality of evidence necessary to support approval.</w:t>
      </w:r>
    </w:p>
    <w:p>
      <w:pPr>
        <w:spacing w:after="0" w:line="17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To qualify for Accelerated Approval, the product must be intended to treat a serious condition and must generally provide a meaningful advantage over available therapies. Post-marketing studies or completion of ongoing studies after marketing approval are required to verify the biologic’s clinical benefit in relationship to the surrogate endpoint or ultimate outcome in relationship to the clinical benefit. If this trial is not conducted, if it fails to verify the benefit, if other evidence demonstrates that the product is not safe, pure or potent, or if the applicant disseminates false or misleading promotional material, the FDA may withdraw approval of the application on an expedited basis. Sponsors of products under the Accelerated Approval Pathway must further submit promotional materials to the FDA before dissemination.</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addition, the Food and Drug Administration Safety and Innovation Act, or FDASIA, which was enacted and signed into law in 2012, established the new Breakthrough Therapy Designation.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also allows the sponsor to file sections of the BLA for review on a rolling basis.</w:t>
      </w:r>
    </w:p>
    <w:p>
      <w:pPr>
        <w:spacing w:after="0" w:line="18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Through the 21st Century Cures Act, or Cures Act, Congress also established another expedited program, called a Regenerative Medicine Advanced Therapy, or RMAT, designation. The Cures Act directs the FDA to facilitate an efficient development program for and expedite review of RMATs. To qualify for this program, the product must be a cell therapy, therapeutic tissue engineering product, human cell and tissue product, or a combination of such products, and not a product solely regulated as a human cell and tissue product. The product must be intended to treat, modify, reverse, or cure a serious or life-threatening disease or condition, and preliminary clinical evidence must indicate that the product has the potential to address an unmet need for such disease or condition. Advantages of the RMAT designation include all the benefits of the Fast Track and breakthrough therapy designation programs, including early interactions with the FDA. These early interactions may be used to discuss potential surrogate or intermediate endpoints to support accelerated approval.</w:t>
      </w:r>
    </w:p>
    <w:p>
      <w:pPr>
        <w:spacing w:after="0" w:line="16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August 2017, we announced that the FDA had granted Fast Track designation for lifileucel, for advanced metastatic melanoma. The Fast Track designation does not change the standards for approval but may expedite the development or approval process. In October 2018, we announced that lifileucel had received the RMAT designation for metastatic melanoma. In 2019 the FDA granted Fast Track designation and Breakthrough Therapy Designation for LN-145 for metastatic cervical cancer.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2015, we received an orphan drug designation for lifileucel in the United States to treat malignant melanoma stages IIB-IV. We plan to seek orphan drug designation for some or all our other product candidates in specific orphan indications in which there is a medically plausible basis for the use of such products.</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During 2018, we received an orphan-drug designation from the FDA for LN-145 for the treatment of cervical cancer with a tumor size of greater than 2cm in diameter.</w:t>
      </w:r>
    </w:p>
    <w:p>
      <w:pPr>
        <w:spacing w:after="0" w:line="170" w:lineRule="exact"/>
        <w:rPr>
          <w:sz w:val="20"/>
          <w:szCs w:val="20"/>
          <w:color w:val="auto"/>
        </w:rPr>
      </w:pPr>
    </w:p>
    <w:p>
      <w:pPr>
        <w:ind w:right="200" w:firstLine="324"/>
        <w:spacing w:after="0" w:line="270" w:lineRule="auto"/>
        <w:rPr>
          <w:sz w:val="20"/>
          <w:szCs w:val="20"/>
          <w:color w:val="auto"/>
        </w:rPr>
      </w:pPr>
      <w:r>
        <w:rPr>
          <w:rFonts w:ascii="Arial" w:cs="Arial" w:eastAsia="Arial" w:hAnsi="Arial"/>
          <w:sz w:val="17"/>
          <w:szCs w:val="17"/>
          <w:color w:val="auto"/>
        </w:rPr>
        <w:t>Under the Orphan Drug Act, the FDA may grant orphan drug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Additionally, sponsors must present a plausible hypothesis for clinical superiority to obtain orphan drug designation if there is a product already approved by the FDA that is intended for the same indication and that is considered by the FDA to be the same product as the already approved product. This hypothesis for clinical superiority must be demonstrated to obtain orphan exclusivity. Orphan drug designation must be requested before submitting a BLA. After the FDA grants orphan drug designation, the generic identity of the therapeutic agent and its potential orphan use are disclosed publicly by the FDA.</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as sameness is defined in the FDA’s regulations,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opportunities for certain research grant funding, and a waiver of the BLA application fees. The tax credit, however, was recently limited through Congress’s tax reform efforts. Despite these benefits, the orphan drug designation does not convey any advantage in, or shorten the duration of, the regulatory review or approval process.</w:t>
      </w:r>
    </w:p>
    <w:p>
      <w:pPr>
        <w:spacing w:after="0" w:line="18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 The FDA may also approve a product deemed to be the same as an approved orphan product for the same orphan indication, despite periods of exclusivity, if the new product is demonstrated to be clinically superior to the former product.</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and Data Exclusivity and Biosimilars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While the FDA may eventually license products, as further described below, that are biosimilar to any of our product candidates that are approved, our products may receive periods of regulatory exclusivity, in addition to orphan drug exclusivity for those products with orphan drug designations, providing additional protection from certain forms of competition. For instance, our products may receive 12 years of reference product exclusivity that begins running at the time of first licensure. During this time, the FDA may not make an approval of a biosimilar product effective and may not accept a biosimilar application for four years from the date of licensure. However, certain changes and supplements to an approved BLA, and subsequent applications filed by the same sponsor, manufacturer, licensor, predecessor in interest, or other related entity do not qualify for the exclusivity period. The PHSA also includes provisions to protect reference products that have patent protection. The biosimilar product sponsor and reference product sponsor may, but are not required to,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80"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Biologics Price Competition and Innovation Act, or BPCIA, created an abbreviated approval pathway for biological products shown to be highly similar to or interchangeable with an FDA-licensed reference biological product. Accordingly, if we receive FDA</w:t>
      </w:r>
    </w:p>
    <w:p>
      <w:pPr>
        <w:sectPr>
          <w:pgSz w:w="11900" w:h="16838" w:orient="portrait"/>
          <w:cols w:equalWidth="0" w:num="1">
            <w:col w:w="10040"/>
          </w:cols>
          <w:pgMar w:left="920" w:top="665" w:right="9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licensure, we may face competition from biosimilar products.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Pediatric Exclusivity and Patent Term Extension</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This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whatever regulatory periods of exclusivity that already cover the product are extended by six months.</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If approved, biologics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 Whether any of our product candidates will be eligible for patent term restoration is currently unknown. Even if any of our product candidates are found to be eligible for patent term protection, the applicable authorities may subsequently determine that we are not eligible for such restoration periods.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Any products for which we receive FDA approvals are subject to continuing regulation by the FDA, including, among other things, record-keeping requirements, reporting of adverse experiences with the product and deviations, annual reporting and monitoring and providing the FDA with updated safety and efficacy information, product sampling and distribution requirements, certain electronic records and signature requirements, fulfilling post-marketing study and REMS commitments, and complying with FDA promotion and advertising requirements, which include, among other things, standards for direct-to-consumer advertising, restrictions on promoting products for uses or in patient populations that are not described in the product’s approved uses or otherwise consistent with the FDA-approved product labeling (known as “off-label use”), limitations on industry-sponsored scientific and educational activities, rules regarding communication of health care economic information regarding biopharmaceutical products to payors and formularies, and requirements for promotional activities involving the internet. Although physicians may prescribe legally available products for off-label use, if they deem such use to be appropriate in their professional medical judgment, manufacturers may not market or promote such off-label uses. Recent court decisions have impacted FDA’s enforcement activity regarding off-label promotion in light of First Amendment considerations; however, there are still significant risks in this area, in part due to the potential for False Claims Act exposure.</w:t>
      </w:r>
    </w:p>
    <w:p>
      <w:pPr>
        <w:spacing w:after="0" w:line="16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that list their products,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among other things, withdrawal of approval, recall or withdrawal of the product from the market. In addition, changes to the manufacturing process are strictly regulated, and depending on the significance of the change, may require</w:t>
      </w:r>
    </w:p>
    <w:p>
      <w:pPr>
        <w:sectPr>
          <w:pgSz w:w="11900" w:h="16838" w:orient="portrait"/>
          <w:cols w:equalWidth="0" w:num="1">
            <w:col w:w="10060"/>
          </w:cols>
          <w:pgMar w:left="920" w:top="665" w:right="9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prior FDA approval or notification before being implemented. Other types of changes to the approved product, such as adding new indications and claims, are also subject to further FDA review and approval.</w:t>
      </w:r>
    </w:p>
    <w:p>
      <w:pPr>
        <w:spacing w:after="0" w:line="170"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The Drug Supply Chain Security Act, or DSCSA,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including manufacturers and repackagers, wholesale distributors, third-party logistics providers, and dispensers. The DSCSA preempts previously enacted state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As of November 27, 2018, product identifier information, an aspect of the product tracing scheme, is required.</w:t>
      </w:r>
    </w:p>
    <w:p>
      <w:pPr>
        <w:spacing w:after="0" w:line="18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previously mentioned, the FDA may also require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Additional Biologic Requirements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the manufacturer's tests performed on the lot. The FDA may also perform certain confirmatory tests on lots of some products before releasing the lots for distribution by the manufacturer.</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sales, promotion, medical education and other activities following product approval will be subject to regulation by numerous regulatory and law enforcement authorities in the United States, and in addition to the FDA, these entities may include the Federal Trade Commission, the Department of Justice, the Centers for Medicare &amp; Medicaid Services, other divisions of the Department of Health and Human Services and state and local governments. Our promotional and scientific/educational programs must comply with the federal Anti-Kickback Statute, or AKS, the Foreign Corrupt Practices Act, or FCPA, the False Claims Act, or FCA, the Veterans Health Care Act, physician payment transparency laws, privacy laws, security laws, and additional state laws similar to the foregoing.</w:t>
      </w:r>
    </w:p>
    <w:p>
      <w:pPr>
        <w:spacing w:after="0" w:line="178"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in whole or in part. The term remuneration has been interpreted broadly to include anything of value. The federal AKS has been interpreted broadly to apply to arrangements between pharmaceutical manufacturers on the one hand and prescribers, purchasers, and formulary managers on the other. The term "remuneration" includes kickbacks, bribes or rebates and also has been</w:t>
      </w:r>
    </w:p>
    <w:p>
      <w:pPr>
        <w:sectPr>
          <w:pgSz w:w="11900" w:h="16838" w:orient="portrait"/>
          <w:cols w:equalWidth="0" w:num="1">
            <w:col w:w="10060"/>
          </w:cols>
          <w:pgMar w:left="920" w:top="665" w:right="9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broadly interpreted to include anything of value, including, for example, gifts, discounts, waivers of payment, ownership interest and providing anything at less than its fair market value. There are a number of statutory exceptions and regulatory safe harbors protecting some common activities from prosecution or other regulatory sanctions.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AKS. Instead, the legality of the arrangement will be evaluated on a case-by-case basis based on a cumulative review of all its facts and circumstances. Our practices may not in all cases meet all the criteria for protection under a statutory exception or regulatory safe harbor.</w:t>
      </w:r>
    </w:p>
    <w:p>
      <w:pPr>
        <w:spacing w:after="0" w:line="166"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Additionally, the intent standard under the federal AKS was amended by the Patient Protection Affordable Care Act of 2010, as amended by the Health Care and Education Reconciliation Act of 2010, which is collectively referred to as the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AKS constitutes a false or fraudulent claim for purposes of the federal civil False Claims Act.</w:t>
      </w:r>
    </w:p>
    <w:p>
      <w:pPr>
        <w:spacing w:after="0" w:line="1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for payment, or approval to a federal healthcare program that the person knows or should know is for an item or service that was not provided as claimed or is false or fraudulent.</w:t>
      </w:r>
    </w:p>
    <w:p>
      <w:pPr>
        <w:spacing w:after="0" w:line="181"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FCA imposes liability on persons who, among other things, knowingly present or cause to be presented false or fraudulent claims for payment to, or approval by the federal government knowingly making or using, or causing to be made or used a false statement or record material to a claim to the federal government, or avoiding, decreasing or concealing an obligation to pay money to the federal government. As a result of a modification made by the Fraud Enforcement and Recovery Act of 2009, a claim includes "any request or demand" for money or property presented to the federal government. The civil FCA has been or can be used to assert liability on the basis of kickbacks and other improper referrals, improperly reported government pricing metrics such as Best Price and Average Manufacturer Price, improper promotion of uses not expressly approved by the FDA in a drug’s label, false statements associated with government grants, and allegations of misrepresentations with respect to services rendered, as well as claims for payment that are inaccurate or fraudulent, that are for services not provided as claimed, or for services that are not medically necessary. FCA claims may be based on noncompliance with regulatory requirements under an implied certification theory if material to the government’s decision to buy or pay for a drug. Intent to deceive is not required to establish liability under the civil FCA. Civil FCA liability may also be imposed for Medicare or Medicaid overpayments caused by understated rebate amounts that are not refunded within 60 days of discovering the overpayment, even if the overpayment was not caused by a false or fraudulent act. Actions under the FCA may be brought by the government or as a qui tam action by a private individual in the name of the government. If the government intervenes in a qui tam action, and prevails, the qui tam plaintiff will share in the proceeds from damages and fines or settlement funds. If the government declines to intervene, the qui tam plaintiff may pursue the case alone. Violations of the FCA can result in significant monetary penalties and treble damages. The government may further prosecute conduct under the criminal FCA, which prohibits the making or presenting of a claim to the government knowing the claim to be false, fictitious or fraudulent. Unlike the civil FCA, conviction requires proof of intent to submit a false claim. In addition, federal AKS violations (which may be alleged based on certain marketing practices, including allegations of off-label promotion) implicate the FCA.</w:t>
      </w:r>
    </w:p>
    <w:p>
      <w:pPr>
        <w:spacing w:after="0" w:line="18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Additionally, the FCPA, and similar worldwide anti-bribery laws, generally prohibit companies and their intermediaries from making, offering or authorizing improper payments or other items of value, directly or indirectly, to foreign officials, political parties, or candidates for the purpose of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78" w:lineRule="exact"/>
        <w:rPr>
          <w:sz w:val="20"/>
          <w:szCs w:val="20"/>
          <w:color w:val="auto"/>
        </w:rPr>
      </w:pPr>
    </w:p>
    <w:p>
      <w:pPr>
        <w:ind w:right="500" w:firstLine="324"/>
        <w:spacing w:after="0" w:line="302" w:lineRule="auto"/>
        <w:rPr>
          <w:sz w:val="20"/>
          <w:szCs w:val="20"/>
          <w:color w:val="auto"/>
        </w:rPr>
      </w:pPr>
      <w:r>
        <w:rPr>
          <w:rFonts w:ascii="Arial" w:cs="Arial" w:eastAsia="Arial" w:hAnsi="Arial"/>
          <w:sz w:val="16"/>
          <w:szCs w:val="16"/>
          <w:color w:val="auto"/>
        </w:rPr>
        <w:t>Payment or reimbursement of prescription drugs by Medicaid or Medicare requires manufacturers of the drugs to submit pricing information to the Centers for Medicare &amp; Medicaid Services, or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w:t>
      </w:r>
    </w:p>
    <w:p>
      <w:pPr>
        <w:sectPr>
          <w:pgSz w:w="11900" w:h="16838" w:orient="portrait"/>
          <w:cols w:equalWidth="0" w:num="1">
            <w:col w:w="10060"/>
          </w:cols>
          <w:pgMar w:left="920" w:top="665" w:right="9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report their Average Sales Price or ASP, which is used to determine the Medicare Part B payment rate for the drug. Drugs that are approved under a Biologic License Application, or BLA, or a New Drug Application, or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6"/>
          <w:szCs w:val="16"/>
          <w:color w:val="auto"/>
        </w:rPr>
        <w:t>‑</w:t>
      </w:r>
      <w:r>
        <w:rPr>
          <w:rFonts w:ascii="Arial" w:cs="Arial" w:eastAsia="Arial" w:hAnsi="Arial"/>
          <w:sz w:val="16"/>
          <w:szCs w:val="16"/>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drugs dispensed by retail pharmacies when paid by the TRICARE Program. All these price reporting requirements create risk of submitting false information to the government, and potential FCA liability.</w:t>
      </w:r>
    </w:p>
    <w:p>
      <w:pPr>
        <w:spacing w:after="0" w:line="203"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w:t>
      </w:r>
    </w:p>
    <w:p>
      <w:pPr>
        <w:spacing w:after="0" w:line="15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federal Health Insurance Portability and Accountability Act of 1996, or HIPAA, which imposes criminal and civil prohibits, among other actions, knowingly and willfully executing, or attempting to execute, a scheme to defraud or to obtain, by means of false or fraudulent pretenses, representations, or promises, any of the money or property owned by, or under the custody or control of, any healthcare benefit program, regardless of whether the payor is public or private third-party,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amended the intent requirement of certain of these criminal statutes under HIPAA so that a person or entity no longer needs to have actual knowledge of the statute, or the specific intent to violate it, to have committed a violation.</w:t>
      </w:r>
    </w:p>
    <w:p>
      <w:pPr>
        <w:spacing w:after="0" w:line="18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specific requirements relating to the privacy, security and transmission of individually identifiable health information. Among other things, HITECH makes HIPAA’s privacy and security standards directly applicable to “business associates,” defined as a person or entity that performs certain functions or activities that involve the use or disclosure of protected health information in connection with providing a service for or on behalf of, or provide services to,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The Department of Health and Human Services Office of Civil Rights, or the OCR, has increased its focus on compliance and continues to train state attorneys general for enforcement purposes. The OCR has increased both its efforts to audit HIPAA compliance and its level of enforcement, with one recent penalty exceeding $5 million.</w:t>
      </w:r>
    </w:p>
    <w:p>
      <w:pPr>
        <w:spacing w:after="0" w:line="17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7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Payments made to physicians and other healthcare providers, and other financial interests, have been the subject of a range of federal and state laws. The federal physician payment transparency requirements, sometimes referred to as the Physician Payments Sunshine Act, or the Sunshine Act, was created under the ACA. The Sunshine Act, among other things, imposes reporting requirements on drug manufacturers for payments or other transfers of value made by them to physicians and teaching hospitals, as well as ownership and investment interests held by physicians, other healthcare providers, and their immediate family members.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Failure to submit required information may result in civil monetary penalties of up to an aggregate of $150,000 per year and up to an additional aggregate of $1 million per year for “knowing failures,” for all payments, transfers of value or ownership or investment interests that are not timely, accurately and completely reported in an annual submission. In the future, the reporting and transparency requirements for payments and transfers of value will be extend (based on 2018 legislation) beyond physicians to physician assistants, nurse practitioners, and other mid-level HCPs, (with reporting requirements going into effect in 2022 for payments made in 2021). Additionally, certain states also mandate implementation of commercial compliance programs, impose restrictions on drug manufacturer marketing practices and/or require the tracking and reporting of gifts, compensation and other remuneration to physicians and other HCPs.</w:t>
      </w:r>
    </w:p>
    <w:p>
      <w:pPr>
        <w:spacing w:after="0" w:line="16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Analogous state laws and regulations, such as state anti-kickback and false claims laws, and other state laws addressing the pharmaceutical and healthcare industries, which may apply to items or services reimbursed by any third-party payor, including commercial insurers, and in some cases may apply regardless of payor, i.e. even if reimbursement is not available. Some state laws require pharmaceutical companies to comply with the pharmaceutical industry's voluntary compliance guidelines (the PhRMA Code) and the relevant compliance program guidance promulgated by the federal government (HHS-OIG) in addition to requiring drug manufacturers to report pricing and marketing information, including, among other things, information related to gifts, payments, or other remuneration to physicians and other healthcare providers or marketing expenditures, state and local laws that require the registration of pharmaceutical sales representatives, and state laws governing the privacy and security of health information and the use of prescriber-identifiable data in certain circumstances, many of which differ from each other in significant ways and may not have the same effect, thus complicating compliance efforts. For example, California enacted legislation – the California Consumer Privacy Act, or CCPA, – which went into effect on January 1, 2020. The CCPA, among other things, creates new data privacy obligations for covered companies and provides new privacy rights to California residents, including the right to opt out of certain disclosures of their information.</w:t>
      </w:r>
    </w:p>
    <w:p>
      <w:pPr>
        <w:spacing w:after="0" w:line="169" w:lineRule="exact"/>
        <w:rPr>
          <w:sz w:val="20"/>
          <w:szCs w:val="20"/>
          <w:color w:val="auto"/>
        </w:rPr>
      </w:pPr>
    </w:p>
    <w:p>
      <w:pPr>
        <w:ind w:right="140" w:firstLine="369"/>
        <w:spacing w:after="0" w:line="221" w:lineRule="exact"/>
        <w:rPr>
          <w:sz w:val="20"/>
          <w:szCs w:val="20"/>
          <w:color w:val="auto"/>
        </w:rPr>
      </w:pPr>
      <w:r>
        <w:rPr>
          <w:rFonts w:ascii="Arial" w:cs="Arial" w:eastAsia="Arial" w:hAnsi="Arial"/>
          <w:sz w:val="17"/>
          <w:szCs w:val="17"/>
          <w:color w:val="auto"/>
        </w:rPr>
        <w:t>To the extent that any of our products are sold in a foreign country, we may be subject to similar foreign laws and regulations, which may include, for instance, applicable post-marketing requirements, including safety surveillance, anti</w:t>
      </w:r>
      <w:r>
        <w:rPr>
          <w:rFonts w:ascii="MS PGothic" w:cs="MS PGothic" w:eastAsia="MS PGothic" w:hAnsi="MS PGothic"/>
          <w:sz w:val="17"/>
          <w:szCs w:val="17"/>
          <w:color w:val="auto"/>
        </w:rPr>
        <w:t>‑</w:t>
      </w:r>
      <w:r>
        <w:rPr>
          <w:rFonts w:ascii="Arial" w:cs="Arial" w:eastAsia="Arial" w:hAnsi="Arial"/>
          <w:sz w:val="17"/>
          <w:szCs w:val="17"/>
          <w:color w:val="auto"/>
        </w:rPr>
        <w:t>fraud and abuse laws, and implementation of corporate compliance programs and reporting of payments or transfers of value to HCPs.</w:t>
      </w:r>
    </w:p>
    <w:p>
      <w:pPr>
        <w:spacing w:after="0" w:line="202"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our operations are found to be in violation of any of such health regulatory laws described above or any other governmental laws and regulations that apply to us, we may be subject to penalties, including, without limitation, civil, administrative, and criminal penalties, damages, fines, disgorgement, the curtailment or restructuring of our operations, exclusion from participation in federal and state healthcare programs and individual imprisonment, injunctions, private qui tam actions brought by individual whistleblowers in the name of the government,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Medicare, Medicaid, and other government programs at the federal and state level, managed care providers, private health insurers and other organizations. Third party payors decide which drugs they will pay for on behalf of their beneficiaries and establish reimbursement levels for health care. Although we currently believe that third-party payors will provide coverage and reimbursement for our product candidates, if approved, these third-party payors are increasingly challenging the price and examining the cost-effectiveness of medical products and services, with a recent focus on prioritization of “equivalent,” less expensive alternatives when available.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w:t>
      </w:r>
    </w:p>
    <w:p>
      <w:pPr>
        <w:sectPr>
          <w:pgSz w:w="11900" w:h="16838" w:orient="portrait"/>
          <w:cols w:equalWidth="0" w:num="1">
            <w:col w:w="10060"/>
          </w:cols>
          <w:pgMar w:left="920" w:top="665" w:right="9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and reimbursement from third-party payors. Moreover, a payor’s decision to provide coverage for a drug product does not imply that an adequate reimbursement rate will be approved, especially for product candidates such as ours, which are used in the inpatient setting, usually resulting in no separate reimbursement for pharmaceuticals. There are additional pressures on pricing as a result of other, peripheral policies impacting reimbursement across both government and private payors. Non-health specific policies may impart downstream impacts on private insurance reimbursement decision-making. In consideration of these numerous factors, reimbursement may not be available or sufficient to allow us to sell our products on a competitive and profitable basis.</w:t>
      </w:r>
    </w:p>
    <w:p>
      <w:pPr>
        <w:spacing w:after="0" w:line="17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Medicare is a federally-funded program managed by CMS through local contractors that administer coverage and reimbursement for certain healthcare items and services furnished to the elderly and disabled. Medicare Part A covers inpatient hospitalization and Medicare Part B covers outpatient medical services. Medicare coverage of drugs and biological products and payment rates to providers are established by federal law and regulations. Medicaid is an insurance program for certain categories of low income patients who are otherwise uninsured and is both federally and state funded and managed by each state. The federal government sets general guidelines for Medicaid and requires rebates on outpatient drugs and biological products, including those administered by physicians if the cost is billed separately. Each state creates specific regulations that govern its individual program, including supplemental rebate programs that prioritize coverage for drugs on the state Preferred Drug List. Government laws and regulations also establish price controls on prescription drugs purchased by government agencies that provide health care and certain federally funded hospital outpatient departments and clinics. In the United States, private health insurers and other third-party payors often provide reimbursement for products and services based on the level at which the government provides reimbursement through the Medicare or Medicaid programs for such products and services. These restrictions and limitations influence the purchase of healthcare services and products. In addition, government programs like Medicaid include substantial penalties for increasing commercial prices over the rate of inflation which can affect realization and return on investment. Further, some stakeholders have recently questioned whether the market price of prescription drugs may be inflated by virtue of the built-in cost imparted by the government rebate model, often negotiated indirectly in exchange for a coverage determination or formulary placement where relevant.</w:t>
      </w:r>
    </w:p>
    <w:p>
      <w:pPr>
        <w:spacing w:after="0" w:line="385" w:lineRule="exact"/>
        <w:rPr>
          <w:sz w:val="20"/>
          <w:szCs w:val="20"/>
          <w:color w:val="auto"/>
        </w:rPr>
      </w:pPr>
    </w:p>
    <w:p>
      <w:pPr>
        <w:ind w:right="20" w:firstLine="324"/>
        <w:spacing w:after="0" w:line="217" w:lineRule="exact"/>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private third-party payors are increasingly attempting to limit or regulate the price of medical products and services, particularly for new and innovative products and therapies, which often has resulted in average selling prices lower than they would otherwise be. Manufacturers frequently must rebate a portion of the prescription price to the third</w:t>
      </w:r>
      <w:r>
        <w:rPr>
          <w:rFonts w:ascii="MS PGothic" w:cs="MS PGothic" w:eastAsia="MS PGothic" w:hAnsi="MS PGothic"/>
          <w:sz w:val="16"/>
          <w:szCs w:val="16"/>
          <w:color w:val="auto"/>
        </w:rPr>
        <w:t>‑</w:t>
      </w:r>
      <w:r>
        <w:rPr>
          <w:rFonts w:ascii="Arial" w:cs="Arial" w:eastAsia="Arial" w:hAnsi="Arial"/>
          <w:sz w:val="16"/>
          <w:szCs w:val="16"/>
          <w:color w:val="auto"/>
        </w:rPr>
        <w:t>party payors as a condition of coverage, which can greatly reduce realization on the sale. Third-party payors are increasingly challenging the price and examining the medical necessity and cost-effectiveness of medical products and services, in addition to their safety and efficacy, and are developing increasingly sophisticated methods of controlling healthcare costs. They may limit coverage to specific drug products on an approved list, or formulary, which might not include all the FDA-approved drug products for a particular indication, or they may control costs, particularly for new expensive therapies, by requiring prior authorization or imposing other restrictions before covering certain products, or they may condition payment based on achieving performance metrics. Legislative proposals to reform healthcare or reduce costs under government programs may result in lower reimbursement for our product candidates or exclusion of our product candidates from coverage.</w:t>
      </w:r>
    </w:p>
    <w:p>
      <w:pPr>
        <w:spacing w:after="0" w:line="20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Achieving favorable CMS coverage and reimbursement is usually a significant gating issue for successful introduction of a new product, because Medicare and Medicaid can represent a sizeable share of the market and because private payors often rely on the lead of the governmental payors in rendering coverage and reimbursement determinations. Further, the increased emphasis on managed healthcare in the United States and on country and regional pricing and reimbursement controls in the European Union will likely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8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As a result of the above,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ensure</w:t>
      </w:r>
    </w:p>
    <w:p>
      <w:pPr>
        <w:sectPr>
          <w:pgSz w:w="11900" w:h="16838" w:orient="portrait"/>
          <w:cols w:equalWidth="0" w:num="1">
            <w:col w:w="10060"/>
          </w:cols>
          <w:pgMar w:left="920" w:top="665" w:right="9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acceptance and use of our products and product candidates or enable us to maintain price levels sufficient to realize an appropriate return on our investment in drug development. Legislative and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federal and state legislative initiatives.</w:t>
      </w:r>
    </w:p>
    <w:p>
      <w:pPr>
        <w:spacing w:after="0" w:line="15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addition, other legislative and regulatory changes have been proposed and adopted since the ACA was enacted. These changes include aggregate reductions to Medicare payments to providers of up to 2% per fiscal year, starting in 2013, which will remain in effect through 2025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In 2017, CMS promulgated a rule reducing Medicare Part B reimbursement to hospitals for drugs purchased under the 340B program by 30%. Although hospital trade associations filed a lawsuit challenging the regulation, the final rule is now in effect. These new laws may result in additional reductions in Medicare and other healthcare funding, which could have a material adverse effect on customers for our product candidates, if approved, and, accordingly, our financial operations.</w:t>
      </w:r>
    </w:p>
    <w:p>
      <w:pPr>
        <w:spacing w:after="0" w:line="18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cost of pharmaceuticals continues to generate substantial governmental and third-party payor interest and states have begun to take action to increase transparency in drug pricing through mandatory reporting requirements.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54"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6"/>
          <w:szCs w:val="16"/>
          <w:color w:val="auto"/>
        </w:rPr>
        <w:t>In the EU, member states require both regulatory clearances by the national competent authority and a favorable ethics committee opinion prior to the commencement of a clinical trial. Under the EU regulatory systems, marketing authorization applications may be submitted under either a centralized or decentralized procedure. The centralized procedure provides for the grant of a single marketing authorization that is valid for all EU member states. It is compulsory for medicines produced by certain biotechnological processes.</w:t>
      </w:r>
    </w:p>
    <w:p>
      <w:pPr>
        <w:spacing w:after="0" w:line="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Because our products are produced in that way, we would be subject to the centralized process. Under the centralized procedure, pharmaceutical companies submit a single marketing authorization application to the European Medicines Agency. Once granted by the European Commission, a centralized marketing authorization is valid in all EU member states, as well as the European Economic Area countries. By law, a company can only start to market a medicine once it has received a marketing authorization.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December 31, 2019, we had 148 employees, 112 of whom were engaged in research and development activities and 36 of whom were engaged in general and administrative support activities. None of our employees are subject to a collective bargaining agreement. We consider our relationship with our employees to be good. Our future performance depends significantly upon the continued service of our key scientific, technical and senior management personnel.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maintain a website at www.iovance.com and make available there, free of charge, our periodic reports filed with the Securities and Exchange Commission, or SEC, as soon as is reasonably practicable after filing. The SEC maintains a website at http:/www.sec.gov that contains reports, proxy and information statements, and other information regarding issuers such as us that file electronically with the SEC.</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Annual Report on Form 10-K, including our financial statements and related notes, and our other filings from time to time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December 31, 2019, we had an accumulated deficit of $570.6 million. In addition, during the year ended December 31, 2019, we incurred a net loss of $197.6 million. Since our inception we have not generated any revenues from operations. We are preparing for the commercial launch of our products, if approved, in 2021.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9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8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w:t>
      </w:r>
    </w:p>
    <w:p>
      <w:pPr>
        <w:sectPr>
          <w:pgSz w:w="11900" w:h="16838" w:orient="portrait"/>
          <w:cols w:equalWidth="0" w:num="1">
            <w:col w:w="10040"/>
          </w:cols>
          <w:pgMar w:left="920" w:top="665" w:right="9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 the shift from development to commercialization of new products based on innovative technologies. There can be no assurance that we will be successful in developing our business.</w:t>
      </w:r>
    </w:p>
    <w:p>
      <w:pPr>
        <w:spacing w:after="0" w:line="170"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1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currently have no products approved for commercial sale. We have invested a significant portion of our efforts and financial resources in the development of our current product candidates, lifileucel and LN-145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8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w:t>
      </w:r>
    </w:p>
    <w:p>
      <w:pPr>
        <w:spacing w:after="0" w:line="18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FDA to base its determination with respect to product approval on such comparisons, FDA may factor these comparisons into its decision whether to approve our TIL therapies, including lifileucel and LN-145 for metastatic cervical cancer. FDA may also consider its approvals of competing products, which may alter the treatment landscape concurrently with their review of our BLA filings, and which may lead to changes in FDA’s review 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9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8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70" w:lineRule="exact"/>
        <w:rPr>
          <w:sz w:val="20"/>
          <w:szCs w:val="20"/>
          <w:color w:val="auto"/>
        </w:rPr>
      </w:pPr>
    </w:p>
    <w:p>
      <w:pPr>
        <w:ind w:left="680" w:hanging="330"/>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price our product candidates competitively such that third-party and government reimbursement leads to broad product adoption;</w:t>
      </w:r>
    </w:p>
    <w:p>
      <w:pPr>
        <w:spacing w:after="0" w:line="46" w:lineRule="exact"/>
        <w:rPr>
          <w:rFonts w:ascii="Arial" w:cs="Arial" w:eastAsia="Arial" w:hAnsi="Arial"/>
          <w:sz w:val="16"/>
          <w:szCs w:val="16"/>
          <w:color w:val="auto"/>
        </w:rPr>
      </w:pPr>
    </w:p>
    <w:p>
      <w:pPr>
        <w:ind w:left="680" w:hanging="330"/>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680" w:right="160" w:hanging="330"/>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680" w:right="640" w:hanging="330"/>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680" w:right="260" w:hanging="330"/>
        <w:spacing w:after="0" w:line="250"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and deploy a commercial team including a sales force to commercialize product candidates in the United States and abroad;</w:t>
      </w:r>
    </w:p>
    <w:p>
      <w:pPr>
        <w:ind w:left="680" w:right="340" w:hanging="330"/>
        <w:spacing w:after="0" w:line="261"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sectPr>
          <w:pgSz w:w="11900" w:h="16838" w:orient="portrait"/>
          <w:cols w:equalWidth="0" w:num="1">
            <w:col w:w="10040"/>
          </w:cols>
          <w:pgMar w:left="920" w:top="665" w:right="9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940" w:hanging="330"/>
        <w:spacing w:after="0" w:line="258"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spacing w:after="0" w:line="1" w:lineRule="exact"/>
        <w:rPr>
          <w:rFonts w:ascii="Arial" w:cs="Arial" w:eastAsia="Arial" w:hAnsi="Arial"/>
          <w:sz w:val="18"/>
          <w:szCs w:val="18"/>
          <w:color w:val="auto"/>
        </w:rPr>
      </w:pP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680" w:right="280" w:hanging="330"/>
        <w:spacing w:after="0" w:line="265"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 compliance with applicable laws, regulations, and guidance specific to commercialization including interactions with HCPs, patient advocacy groups, and communication of health care economic information to payors and formularies;</w:t>
      </w: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680" w:right="180" w:hanging="330"/>
        <w:spacing w:after="0" w:line="250"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have a brief history as a company conducting clinical trials and face risks due to the need to rely on third parties.</w:t>
      </w:r>
    </w:p>
    <w:p>
      <w:pPr>
        <w:spacing w:after="0" w:line="23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initiated our clinical development efforts in 2015 and expanded those efforts in 2017. As such, we have a brief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We have limited experience in designing clinical trials and may be unable to design and execute a clinical trial to support marketing approval.</w:t>
      </w:r>
    </w:p>
    <w:p>
      <w:pPr>
        <w:spacing w:after="0" w:line="166"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United States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6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8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our regulatory responsibilities. For example, we will remain responsible for ensuring that each of our clinical trials is conducted in accordance with</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7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8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81" w:lineRule="exact"/>
        <w:rPr>
          <w:sz w:val="20"/>
          <w:szCs w:val="20"/>
          <w:color w:val="auto"/>
        </w:rPr>
      </w:pPr>
    </w:p>
    <w:p>
      <w:pPr>
        <w:jc w:val="both"/>
        <w:ind w:right="520" w:firstLine="324"/>
        <w:spacing w:after="0" w:line="312"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w:t>
      </w:r>
    </w:p>
    <w:p>
      <w:pPr>
        <w:sectPr>
          <w:pgSz w:w="11900" w:h="16838" w:orient="portrait"/>
          <w:cols w:equalWidth="0" w:num="1">
            <w:col w:w="10060"/>
          </w:cols>
          <w:pgMar w:left="920" w:top="665" w:right="9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in other indications in collaboration with third parties.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65" w:lineRule="exact"/>
        <w:rPr>
          <w:sz w:val="20"/>
          <w:szCs w:val="20"/>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3" w:lineRule="exact"/>
        <w:rPr>
          <w:rFonts w:ascii="Arial" w:cs="Arial" w:eastAsia="Arial" w:hAnsi="Arial"/>
          <w:sz w:val="18"/>
          <w:szCs w:val="18"/>
          <w:color w:val="auto"/>
        </w:rPr>
      </w:pPr>
    </w:p>
    <w:p>
      <w:pPr>
        <w:jc w:val="both"/>
        <w:ind w:left="640" w:right="80" w:hanging="317"/>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640" w:right="420" w:hanging="317"/>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640" w:right="740" w:hanging="317"/>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640" w:right="100" w:hanging="317"/>
        <w:spacing w:after="0" w:line="281"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6"/>
          <w:szCs w:val="16"/>
          <w:color w:val="auto"/>
        </w:rPr>
      </w:pPr>
    </w:p>
    <w:p>
      <w:pPr>
        <w:ind w:left="640" w:right="120" w:hanging="317"/>
        <w:spacing w:after="0" w:line="265"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640" w:right="80" w:hanging="317"/>
        <w:spacing w:after="0" w:line="265"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ind w:left="640" w:right="40" w:hanging="317"/>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or from different interpretations of investigator results by IRC;</w:t>
      </w:r>
    </w:p>
    <w:p>
      <w:pPr>
        <w:spacing w:after="0" w:line="1" w:lineRule="exact"/>
        <w:rPr>
          <w:rFonts w:ascii="Arial" w:cs="Arial" w:eastAsia="Arial" w:hAnsi="Arial"/>
          <w:sz w:val="18"/>
          <w:szCs w:val="18"/>
          <w:color w:val="auto"/>
        </w:rPr>
      </w:pPr>
    </w:p>
    <w:p>
      <w:pPr>
        <w:ind w:left="640" w:right="320" w:hanging="317"/>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640" w:hanging="317"/>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perform in accordance with the FDA’s cGCP requirements, or applicable regulatory guidelines in other countries;</w:t>
      </w:r>
    </w:p>
    <w:p>
      <w:pPr>
        <w:spacing w:after="0" w:line="20" w:lineRule="exact"/>
        <w:rPr>
          <w:rFonts w:ascii="Arial" w:cs="Arial" w:eastAsia="Arial" w:hAnsi="Arial"/>
          <w:sz w:val="17"/>
          <w:szCs w:val="17"/>
          <w:color w:val="auto"/>
        </w:rPr>
      </w:pPr>
    </w:p>
    <w:p>
      <w:pPr>
        <w:ind w:left="640" w:right="40" w:hanging="317"/>
        <w:spacing w:after="0" w:line="281"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6"/>
          <w:szCs w:val="16"/>
          <w:color w:val="auto"/>
        </w:rPr>
      </w:pPr>
    </w:p>
    <w:p>
      <w:pPr>
        <w:ind w:left="640" w:right="240" w:hanging="317"/>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 w:lineRule="exact"/>
        <w:rPr>
          <w:rFonts w:ascii="Arial" w:cs="Arial" w:eastAsia="Arial" w:hAnsi="Arial"/>
          <w:sz w:val="18"/>
          <w:szCs w:val="18"/>
          <w:color w:val="auto"/>
        </w:rPr>
      </w:pPr>
    </w:p>
    <w:p>
      <w:pPr>
        <w:ind w:left="640" w:right="640" w:hanging="317"/>
        <w:spacing w:after="0" w:line="281"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640" w:right="120" w:hanging="317"/>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640" w:hanging="317"/>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the standard of care on which a clinical development plan was based, which may require new or additional trials;</w:t>
      </w:r>
    </w:p>
    <w:p>
      <w:pPr>
        <w:spacing w:after="0" w:line="20" w:lineRule="exact"/>
        <w:rPr>
          <w:rFonts w:ascii="Arial" w:cs="Arial" w:eastAsia="Arial" w:hAnsi="Arial"/>
          <w:sz w:val="17"/>
          <w:szCs w:val="17"/>
          <w:color w:val="auto"/>
        </w:rPr>
      </w:pPr>
    </w:p>
    <w:p>
      <w:pPr>
        <w:ind w:left="640" w:right="400" w:hanging="317"/>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640" w:right="580" w:hanging="317"/>
        <w:spacing w:after="0" w:line="323"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clinical studies of our product candidates producing negative or inconclusive results may fail to provide sufficient data and information to support product approval, or our studies may fail to reach the necessary level of statistical or clinical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40" w:right="400"/>
        <w:spacing w:after="0" w:line="258" w:lineRule="auto"/>
        <w:rPr>
          <w:sz w:val="20"/>
          <w:szCs w:val="20"/>
          <w:color w:val="auto"/>
        </w:rPr>
      </w:pPr>
      <w:r>
        <w:rPr>
          <w:rFonts w:ascii="Arial" w:cs="Arial" w:eastAsia="Arial" w:hAnsi="Arial"/>
          <w:sz w:val="18"/>
          <w:szCs w:val="18"/>
          <w:color w:val="auto"/>
        </w:rPr>
        <w:t>significance, which may result in our deciding, or regulators requiring us, to conduct additional clinical studies, or preclinical studies, or abandon product development programs;</w:t>
      </w:r>
    </w:p>
    <w:p>
      <w:pPr>
        <w:spacing w:after="0" w:line="1" w:lineRule="exact"/>
        <w:rPr>
          <w:sz w:val="20"/>
          <w:szCs w:val="20"/>
          <w:color w:val="auto"/>
        </w:rPr>
      </w:pPr>
    </w:p>
    <w:p>
      <w:pPr>
        <w:ind w:left="640" w:right="120" w:hanging="317"/>
        <w:spacing w:after="0" w:line="265"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ind w:left="640" w:right="360" w:hanging="317"/>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640" w:right="280" w:hanging="317"/>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640" w:right="500" w:hanging="317"/>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640" w:hanging="317"/>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or comparable regulatory authorities may take longer than we anticipate making a decision on our product candidates;</w:t>
      </w:r>
    </w:p>
    <w:p>
      <w:pPr>
        <w:spacing w:after="0" w:line="32" w:lineRule="exact"/>
        <w:rPr>
          <w:rFonts w:ascii="Arial" w:cs="Arial" w:eastAsia="Arial" w:hAnsi="Arial"/>
          <w:sz w:val="16"/>
          <w:szCs w:val="16"/>
          <w:color w:val="auto"/>
        </w:rPr>
      </w:pPr>
    </w:p>
    <w:p>
      <w:pPr>
        <w:ind w:left="640" w:right="300" w:hanging="317"/>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640" w:right="120" w:hanging="317"/>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640" w:hanging="317"/>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9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5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For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refusal to file or non-approval of a BLA.</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It may take longer and cost more to complete our clinical trials than we project, or we may not be able to complete them at all.</w:t>
      </w:r>
    </w:p>
    <w:p>
      <w:pPr>
        <w:spacing w:after="0" w:line="24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7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are currently enrolling our company-sponsored, Phase 2 clinical trials to establish the feasibility of our product, and to assess its overall safety and efficacy in patients with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TIL therapy LN-145 in patients with recurrent, metastatic or persistent cervical cancers and TIL therapy lifileucel in advanced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LN-145 in patients with recurrent, metastatic or persistent cervical cancers and TIL therapy lifileucel in advanced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39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Furthermore,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9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7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8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78"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ectPr>
          <w:pgSz w:w="11900" w:h="16838" w:orient="portrait"/>
          <w:cols w:equalWidth="0" w:num="1">
            <w:col w:w="10060"/>
          </w:cols>
          <w:pgMar w:left="920" w:top="665" w:right="9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70"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66" w:lineRule="exact"/>
        <w:rPr>
          <w:sz w:val="20"/>
          <w:szCs w:val="20"/>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 w:lineRule="exact"/>
        <w:rPr>
          <w:rFonts w:ascii="Arial" w:cs="Arial" w:eastAsia="Arial" w:hAnsi="Arial"/>
          <w:sz w:val="18"/>
          <w:szCs w:val="18"/>
          <w:color w:val="auto"/>
        </w:rPr>
      </w:pPr>
    </w:p>
    <w:p>
      <w:pPr>
        <w:jc w:val="both"/>
        <w:ind w:left="640" w:right="500" w:hanging="317"/>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 w:lineRule="exact"/>
        <w:rPr>
          <w:rFonts w:ascii="Arial" w:cs="Arial" w:eastAsia="Arial" w:hAnsi="Arial"/>
          <w:sz w:val="18"/>
          <w:szCs w:val="18"/>
          <w:color w:val="auto"/>
        </w:rPr>
      </w:pPr>
    </w:p>
    <w:p>
      <w:pPr>
        <w:ind w:left="640" w:right="260" w:hanging="317"/>
        <w:spacing w:after="0" w:line="250"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640" w:right="120" w:hanging="317"/>
        <w:spacing w:after="0" w:line="25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9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ectPr>
          <w:pgSz w:w="11900" w:h="16838" w:orient="portrait"/>
          <w:cols w:equalWidth="0" w:num="1">
            <w:col w:w="10060"/>
          </w:cols>
          <w:pgMar w:left="920" w:top="665" w:right="9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81" w:lineRule="exact"/>
        <w:rPr>
          <w:sz w:val="20"/>
          <w:szCs w:val="20"/>
          <w:color w:val="auto"/>
        </w:rPr>
      </w:pPr>
    </w:p>
    <w:p>
      <w:pPr>
        <w:ind w:right="420" w:firstLine="324"/>
        <w:spacing w:after="0" w:line="381" w:lineRule="auto"/>
        <w:rPr>
          <w:sz w:val="20"/>
          <w:szCs w:val="20"/>
          <w:color w:val="auto"/>
        </w:rPr>
      </w:pPr>
      <w:r>
        <w:rPr>
          <w:rFonts w:ascii="Arial" w:cs="Arial" w:eastAsia="Arial" w:hAnsi="Arial"/>
          <w:sz w:val="15"/>
          <w:szCs w:val="15"/>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0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6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7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7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5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product candidates are biologics and the process of manufacturing our products is complex, highly-regulated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w:t>
      </w:r>
    </w:p>
    <w:p>
      <w:pPr>
        <w:sectPr>
          <w:pgSz w:w="11900" w:h="16838" w:orient="portrait"/>
          <w:cols w:equalWidth="0" w:num="1">
            <w:col w:w="10040"/>
          </w:cols>
          <w:pgMar w:left="920" w:top="665" w:right="9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44" w:name="page45"/>
    <w:bookmarkEnd w:id="44"/>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60"/>
        <w:spacing w:after="0" w:line="277" w:lineRule="auto"/>
        <w:rPr>
          <w:sz w:val="20"/>
          <w:szCs w:val="20"/>
          <w:color w:val="auto"/>
        </w:rPr>
      </w:pPr>
      <w:r>
        <w:rPr>
          <w:rFonts w:ascii="Arial" w:cs="Arial" w:eastAsia="Arial" w:hAnsi="Arial"/>
          <w:sz w:val="18"/>
          <w:szCs w:val="18"/>
          <w:color w:val="auto"/>
        </w:rPr>
        <w:t>product candidates are made, such manufacturing facilities may need to be closed for an extended period of time to investigate and remedy the contamination.</w:t>
      </w:r>
    </w:p>
    <w:p>
      <w:pPr>
        <w:spacing w:after="0" w:line="170" w:lineRule="exact"/>
        <w:rPr>
          <w:sz w:val="20"/>
          <w:szCs w:val="20"/>
          <w:color w:val="auto"/>
        </w:rPr>
      </w:pPr>
    </w:p>
    <w:p>
      <w:pPr>
        <w:ind w:left="1" w:firstLine="324"/>
        <w:spacing w:after="0" w:line="290" w:lineRule="auto"/>
        <w:rPr>
          <w:sz w:val="20"/>
          <w:szCs w:val="20"/>
          <w:color w:val="auto"/>
        </w:rPr>
      </w:pPr>
      <w:r>
        <w:rPr>
          <w:rFonts w:ascii="Arial" w:cs="Arial" w:eastAsia="Arial" w:hAnsi="Arial"/>
          <w:sz w:val="16"/>
          <w:szCs w:val="16"/>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66" w:lineRule="exact"/>
        <w:rPr>
          <w:sz w:val="20"/>
          <w:szCs w:val="20"/>
          <w:color w:val="auto"/>
        </w:rPr>
      </w:pPr>
    </w:p>
    <w:p>
      <w:pPr>
        <w:ind w:left="1" w:right="40" w:firstLine="324"/>
        <w:spacing w:after="0" w:line="284"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FDA not agreeing with all of the details of our validation data or our potency assay for Cohort 4 of our C-144-01 clinical trial. Furthermore, some of our CMOs may not be able to establish comparability of their products with TIL product used in Cohort 2 or may not be fully validated prior to starting Cohort</w:t>
      </w:r>
    </w:p>
    <w:p>
      <w:pPr>
        <w:spacing w:after="0" w:line="1" w:lineRule="exact"/>
        <w:rPr>
          <w:sz w:val="20"/>
          <w:szCs w:val="20"/>
          <w:color w:val="auto"/>
        </w:rPr>
      </w:pPr>
    </w:p>
    <w:p>
      <w:pPr>
        <w:ind w:left="1" w:right="60" w:hanging="1"/>
        <w:spacing w:after="0" w:line="255" w:lineRule="auto"/>
        <w:tabs>
          <w:tab w:leader="none" w:pos="1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90" w:lineRule="exact"/>
        <w:rPr>
          <w:sz w:val="20"/>
          <w:szCs w:val="20"/>
          <w:color w:val="auto"/>
        </w:rPr>
      </w:pPr>
    </w:p>
    <w:p>
      <w:pPr>
        <w:ind w:left="1" w:right="80" w:firstLine="324"/>
        <w:spacing w:after="0" w:line="270"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Netherlands, MasTHerCell,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78" w:lineRule="exact"/>
        <w:rPr>
          <w:sz w:val="20"/>
          <w:szCs w:val="20"/>
          <w:color w:val="auto"/>
        </w:rPr>
      </w:pPr>
    </w:p>
    <w:p>
      <w:pPr>
        <w:ind w:left="1" w:right="440" w:firstLine="324"/>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70" w:lineRule="exact"/>
        <w:rPr>
          <w:sz w:val="20"/>
          <w:szCs w:val="20"/>
          <w:color w:val="auto"/>
        </w:rPr>
      </w:pPr>
    </w:p>
    <w:p>
      <w:pPr>
        <w:ind w:left="641" w:hanging="317"/>
        <w:spacing w:after="0"/>
        <w:tabs>
          <w:tab w:leader="none" w:pos="6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negotiate manufacturing and quality agreements with third parties under commercially reasonable terms;</w:t>
      </w:r>
    </w:p>
    <w:p>
      <w:pPr>
        <w:spacing w:after="0" w:line="23" w:lineRule="exact"/>
        <w:rPr>
          <w:rFonts w:ascii="Arial" w:cs="Arial" w:eastAsia="Arial" w:hAnsi="Arial"/>
          <w:sz w:val="18"/>
          <w:szCs w:val="18"/>
          <w:color w:val="auto"/>
        </w:rPr>
      </w:pPr>
    </w:p>
    <w:p>
      <w:pPr>
        <w:ind w:left="641" w:right="1000" w:hanging="317"/>
        <w:spacing w:after="0" w:line="250" w:lineRule="auto"/>
        <w:tabs>
          <w:tab w:leader="none" w:pos="6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641" w:hanging="317"/>
        <w:spacing w:after="0"/>
        <w:tabs>
          <w:tab w:leader="none" w:pos="6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20" w:lineRule="exact"/>
        <w:rPr>
          <w:rFonts w:ascii="Arial" w:cs="Arial" w:eastAsia="Arial" w:hAnsi="Arial"/>
          <w:sz w:val="17"/>
          <w:szCs w:val="17"/>
          <w:color w:val="auto"/>
        </w:rPr>
      </w:pPr>
    </w:p>
    <w:p>
      <w:pPr>
        <w:ind w:left="641" w:right="20" w:hanging="317"/>
        <w:spacing w:after="0" w:line="250" w:lineRule="auto"/>
        <w:tabs>
          <w:tab w:leader="none" w:pos="6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ind w:left="641" w:right="520" w:hanging="317"/>
        <w:spacing w:after="0" w:line="261" w:lineRule="auto"/>
        <w:tabs>
          <w:tab w:leader="none" w:pos="6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84" w:lineRule="exact"/>
        <w:rPr>
          <w:sz w:val="20"/>
          <w:szCs w:val="20"/>
          <w:color w:val="auto"/>
        </w:rPr>
      </w:pPr>
    </w:p>
    <w:p>
      <w:pPr>
        <w:ind w:left="1" w:right="20" w:firstLine="324"/>
        <w:spacing w:after="0" w:line="272" w:lineRule="auto"/>
        <w:rPr>
          <w:sz w:val="20"/>
          <w:szCs w:val="20"/>
          <w:color w:val="auto"/>
        </w:rPr>
      </w:pPr>
      <w:r>
        <w:rPr>
          <w:rFonts w:ascii="Arial" w:cs="Arial" w:eastAsia="Arial" w:hAnsi="Arial"/>
          <w:sz w:val="17"/>
          <w:szCs w:val="17"/>
          <w:color w:val="auto"/>
        </w:rPr>
        <w:t>In May 2019 we entered into a lease agreement to build a commercial-scale manufacturing facility in Philadelphia, Pennsylvania for commercial and clinical production of autologous TIL products, including our product candidates lifileucel and LN-145.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w:t>
      </w:r>
    </w:p>
    <w:p>
      <w:pPr>
        <w:sectPr>
          <w:pgSz w:w="11900" w:h="16838" w:orient="portrait"/>
          <w:cols w:equalWidth="0" w:num="1">
            <w:col w:w="10061"/>
          </w:cols>
          <w:pgMar w:left="919" w:top="665" w:right="9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665" w:right="9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8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7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to the agency. Manufacturers are also subject to continuing FDA and other regulatory authority inspections following marketing approval. Further, we, in cooperation with our CMOs, must supply all necessary chemistry, manufacturing, and control documentation in support of a BLA on a timely basis.</w:t>
      </w:r>
    </w:p>
    <w:p>
      <w:pPr>
        <w:spacing w:after="0" w:line="1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78"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firstLine="324"/>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3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9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With the exception of lifileucel and LN-145 for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7" w:lineRule="exact"/>
        <w:rPr>
          <w:sz w:val="20"/>
          <w:szCs w:val="20"/>
          <w:color w:val="auto"/>
        </w:rPr>
      </w:pPr>
    </w:p>
    <w:p>
      <w:pPr>
        <w:ind w:left="640" w:right="300" w:hanging="317"/>
        <w:spacing w:after="0" w:line="258"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after reviewing test results, we or our collaborators may abandon projects that we might previously have believed to be promising;</w:t>
      </w:r>
    </w:p>
    <w:p>
      <w:pPr>
        <w:spacing w:after="0" w:line="32" w:lineRule="exact"/>
        <w:rPr>
          <w:rFonts w:ascii="Arial" w:cs="Arial" w:eastAsia="Arial" w:hAnsi="Arial"/>
          <w:sz w:val="16"/>
          <w:szCs w:val="16"/>
          <w:color w:val="auto"/>
        </w:rPr>
      </w:pPr>
    </w:p>
    <w:p>
      <w:pPr>
        <w:ind w:left="640" w:right="480" w:hanging="317"/>
        <w:spacing w:after="0" w:line="25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640" w:right="980" w:hanging="317"/>
        <w:spacing w:after="0" w:line="25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640" w:right="40" w:hanging="317"/>
        <w:spacing w:after="0" w:line="250"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640" w:hanging="317"/>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find that our clinical trial design or conduct does not meet the applicable approval requirements.</w:t>
      </w:r>
    </w:p>
    <w:p>
      <w:pPr>
        <w:spacing w:after="0" w:line="222"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under development, we may not receive regulatory approval for those products, which would prevent us from generating revenues or achieving profitability.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Even if our lead products, lifileucel and LN-145, are approved and commercialized, we may not become profitable.</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lead products, lifileucel and LN-145, are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and LN-145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7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2017-2019, we announced collaborations with Moffitt, MDACC, Ohio State University, and CHUM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MDACC and CHUM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72"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b w:val="1"/>
          <w:bCs w:val="1"/>
          <w:i w:val="1"/>
          <w:iCs w:val="1"/>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5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operations have consumed substantial amounts of cash since inception. From our inception to December 31, 2019, we have an accumulated deficit of $570.6 million. In addition, our research and development and our operating costs have also been substantial and are expected to increase. In January 2018, we closed an underwritten public offering of our common stock. The net proceeds from the offering, after deducting the underwriting discounts and commissions and other offering expenses payable by us, were $162.0 million. In October 2018, we closed an underwritten public offering of our common stock. The net proceeds from the offering, after deducting the underwriting discounts and commissions and other estimated offering expenses payable by us, were $236.7 million. In September 2019, we filed a shelf registration statement with the SEC for the issuance of common stock, preferred stock, warrants, rights, debt securities and units up to an aggregate amount of $400 million. In addition to our continued spending for our product candidates, we expect to spend approximately $75 million to $85 million over the next three years for equipment and construction costs for our commercial-scale production facility under construction in Philadelphia, Pennsylvania, for which we have latitude as to the timing and amount of expenditures. As of December 31, 2019, we had $307.1 million in cash, cash equivalents and short-term investments ($14.0 million of cash and cash equivalents and $293.1 million in short-term investments) and $5.5 million in restricted cash.</w:t>
      </w:r>
    </w:p>
    <w:p>
      <w:pPr>
        <w:spacing w:after="0" w:line="169"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Accordingly, we believe that our existing cash, cash equivalents and short-term investments will be sufficient to fund our operations for at least the next twelve months from the date this Annual Report on Form 10-K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w:t>
      </w:r>
    </w:p>
    <w:p>
      <w:pPr>
        <w:sectPr>
          <w:pgSz w:w="11900" w:h="16838" w:orient="portrait"/>
          <w:cols w:equalWidth="0" w:num="1">
            <w:col w:w="10060"/>
          </w:cols>
          <w:pgMar w:left="920" w:top="665" w:right="9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88"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124" w:lineRule="exact"/>
        <w:rPr>
          <w:sz w:val="20"/>
          <w:szCs w:val="20"/>
          <w:color w:val="auto"/>
        </w:rPr>
      </w:pPr>
    </w:p>
    <w:p>
      <w:pPr>
        <w:ind w:left="640" w:right="420" w:hanging="317"/>
        <w:spacing w:after="0" w:line="258"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640" w:right="200" w:hanging="317"/>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640" w:right="400" w:hanging="317"/>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640" w:right="280" w:hanging="317"/>
        <w:spacing w:after="0" w:line="265"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640" w:right="280" w:hanging="317"/>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United States;</w:t>
      </w:r>
    </w:p>
    <w:p>
      <w:pPr>
        <w:spacing w:after="0" w:line="9" w:lineRule="exact"/>
        <w:rPr>
          <w:rFonts w:ascii="Arial" w:cs="Arial" w:eastAsia="Arial" w:hAnsi="Arial"/>
          <w:sz w:val="18"/>
          <w:szCs w:val="18"/>
          <w:color w:val="auto"/>
        </w:rPr>
      </w:pPr>
    </w:p>
    <w:p>
      <w:pPr>
        <w:ind w:left="640" w:right="180" w:hanging="317"/>
        <w:spacing w:after="0" w:line="250"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640" w:right="600" w:hanging="317"/>
        <w:spacing w:after="0" w:line="261"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84"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89" w:lineRule="exact"/>
        <w:rPr>
          <w:sz w:val="20"/>
          <w:szCs w:val="20"/>
          <w:color w:val="auto"/>
        </w:rPr>
      </w:pPr>
    </w:p>
    <w:p>
      <w:pPr>
        <w:ind w:firstLine="324"/>
        <w:spacing w:after="0" w:line="381" w:lineRule="auto"/>
        <w:rPr>
          <w:sz w:val="20"/>
          <w:szCs w:val="20"/>
          <w:color w:val="auto"/>
        </w:rPr>
      </w:pPr>
      <w:r>
        <w:rPr>
          <w:rFonts w:ascii="Arial" w:cs="Arial" w:eastAsia="Arial" w:hAnsi="Arial"/>
          <w:sz w:val="15"/>
          <w:szCs w:val="15"/>
          <w:b w:val="1"/>
          <w:bCs w:val="1"/>
          <w:i w:val="1"/>
          <w:iCs w:val="1"/>
          <w:color w:val="auto"/>
        </w:rPr>
        <w:t>Subject to various spending levels approved by our Board of Directors, our management will have broad discretion in the use of the net proceeds from our capital raises, including our October 2018 and January 2018 public offerings, and may not use them effectively.</w:t>
      </w:r>
    </w:p>
    <w:p>
      <w:pPr>
        <w:spacing w:after="0" w:line="101"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w:t>
      </w:r>
    </w:p>
    <w:p>
      <w:pPr>
        <w:sectPr>
          <w:pgSz w:w="11900" w:h="16838" w:orient="portrait"/>
          <w:cols w:equalWidth="0" w:num="1">
            <w:col w:w="10060"/>
          </w:cols>
          <w:pgMar w:left="920" w:top="665" w:right="9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2019, we had U.S. federal net operating loss carryforwards of approximately $426.7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7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have performed an IRC Section 382 analysis as of December 31, 2018. Per the analysis, the May 2013 recapitalization,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6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addition, U.S. federal, state and local tax laws are extremely complex and subject to various interpretations. Although we believe that our tax estimates and positions are reasonable, including our decision to build our commercial manufacturing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w:t>
      </w:r>
    </w:p>
    <w:p>
      <w:pPr>
        <w:sectPr>
          <w:pgSz w:w="11900" w:h="16838" w:orient="portrait"/>
          <w:cols w:equalWidth="0" w:num="1">
            <w:col w:w="10060"/>
          </w:cols>
          <w:pgMar w:left="920" w:top="665" w:right="9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47"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2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58"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who are in a position to receive second- or third-line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w:t>
      </w:r>
    </w:p>
    <w:p>
      <w:pPr>
        <w:sectPr>
          <w:pgSz w:w="11900" w:h="16838" w:orient="portrait"/>
          <w:cols w:equalWidth="0" w:num="1">
            <w:col w:w="10040"/>
          </w:cols>
          <w:pgMar w:left="920" w:top="665" w:right="9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because the potential target populations are small, we may never achieve profitability without obtaining regulatory approval for additional indications.</w:t>
      </w:r>
    </w:p>
    <w:p>
      <w:pPr>
        <w:spacing w:after="0" w:line="170"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4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our license agreements with the NIH,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65"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7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 party medical insurers.</w:t>
      </w:r>
    </w:p>
    <w:p>
      <w:pPr>
        <w:sectPr>
          <w:pgSz w:w="11900" w:h="16838" w:orient="portrait"/>
          <w:cols w:equalWidth="0" w:num="1">
            <w:col w:w="10060"/>
          </w:cols>
          <w:pgMar w:left="920" w:top="665" w:right="9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our facilities or any of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69" w:lineRule="exact"/>
        <w:rPr>
          <w:sz w:val="20"/>
          <w:szCs w:val="20"/>
          <w:color w:val="auto"/>
        </w:rPr>
      </w:pPr>
    </w:p>
    <w:p>
      <w:pPr>
        <w:ind w:right="1200" w:firstLine="324"/>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2" w:lineRule="exact"/>
        <w:rPr>
          <w:sz w:val="20"/>
          <w:szCs w:val="20"/>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 or sites and potential termination of clinical trial sites or entire clinical programs;</w:t>
      </w:r>
    </w:p>
    <w:p>
      <w:pPr>
        <w:spacing w:after="0" w:line="9" w:lineRule="exact"/>
        <w:rPr>
          <w:rFonts w:ascii="Arial" w:cs="Arial" w:eastAsia="Arial" w:hAnsi="Arial"/>
          <w:sz w:val="18"/>
          <w:szCs w:val="18"/>
          <w:color w:val="auto"/>
        </w:rPr>
      </w:pPr>
    </w:p>
    <w:p>
      <w:pPr>
        <w:ind w:left="640" w:right="140" w:hanging="317"/>
        <w:spacing w:after="0" w:line="250"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ectPr>
          <w:pgSz w:w="11900" w:h="16838" w:orient="portrait"/>
          <w:cols w:equalWidth="0" w:num="1">
            <w:col w:w="10040"/>
          </w:cols>
          <w:pgMar w:left="920" w:top="665" w:right="9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4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58" w:lineRule="exact"/>
        <w:rPr>
          <w:sz w:val="20"/>
          <w:szCs w:val="20"/>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1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Checkmate Pharmaceuticals, Immetacyte, WindMIL Therapeutics, Seattle Genetics, and others. We also may compete with therapies based on genetically engineered T cells rendered reactive against tumor-associated antigens prior to their administration to patients. Genetically engineered T cells are being pursued by several companies, including Adaptimmune, Bristol-Myers Squibb through their acquisition of Celgene, Gilead Sciences, Novartis and others. To date, these technologies have been primarily applicable to hematologic malignancies, but their application in solid tumor indications may create competition with us.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7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lead product candidates, lifileucel and LN-145, are therapies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and LN-145 face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66"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14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Ohio State University, Cellectis, Yale University, Novartis, and CHUM.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such as our collaboration with RPCI.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6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81" w:lineRule="exact"/>
        <w:rPr>
          <w:sz w:val="20"/>
          <w:szCs w:val="20"/>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640" w:right="120" w:hanging="317"/>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jc w:val="both"/>
        <w:ind w:left="640" w:right="180" w:hanging="317"/>
        <w:spacing w:after="0" w:line="281"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6"/>
          <w:szCs w:val="16"/>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640" w:right="100" w:hanging="317"/>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640" w:right="40" w:hanging="317"/>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640" w:hanging="317"/>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ind w:left="640" w:right="220" w:hanging="317"/>
        <w:spacing w:after="0" w:line="290"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920" w:top="665"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40" w:right="40" w:hanging="317"/>
        <w:spacing w:after="0" w:line="25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2" w:lineRule="exact"/>
        <w:rPr>
          <w:rFonts w:ascii="Arial" w:cs="Arial" w:eastAsia="Arial" w:hAnsi="Arial"/>
          <w:sz w:val="18"/>
          <w:szCs w:val="18"/>
          <w:color w:val="auto"/>
        </w:rPr>
      </w:pPr>
    </w:p>
    <w:p>
      <w:pPr>
        <w:ind w:left="640" w:hanging="317"/>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32" w:lineRule="exact"/>
        <w:rPr>
          <w:rFonts w:ascii="Arial" w:cs="Arial" w:eastAsia="Arial" w:hAnsi="Arial"/>
          <w:sz w:val="16"/>
          <w:szCs w:val="16"/>
          <w:color w:val="auto"/>
        </w:rPr>
      </w:pPr>
    </w:p>
    <w:p>
      <w:pPr>
        <w:ind w:left="640" w:right="240" w:hanging="317"/>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640" w:right="400" w:hanging="317"/>
        <w:spacing w:after="0" w:line="323"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3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currently developing lifileucel and LN-145 for use along with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720" w:firstLine="324"/>
        <w:spacing w:after="0" w:line="264"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81"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We were granted Fast Track designation by the FDA for lifileucel in advanced melanoma and LN-145 for metastatic cervical cancer. We were granted Breakthrough Therapy designation, or BTD, for LN-145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66"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b w:val="1"/>
          <w:bCs w:val="1"/>
          <w:i w:val="1"/>
          <w:iCs w:val="1"/>
          <w:color w:val="auto"/>
        </w:rPr>
        <w:t>While lifileucel has received orphan drug designation for melanoma stages IIB-IV and LN-145 has received orphan drug designation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received orphan drug designation in the United States for lifileucel to treat malignant melanoma stages IIB-IV and LN-145 for cervical cancer patients with tumors greater than 2 cm.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7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w:t>
      </w:r>
    </w:p>
    <w:p>
      <w:pPr>
        <w:sectPr>
          <w:pgSz w:w="11900" w:h="16838" w:orient="portrait"/>
          <w:cols w:equalWidth="0" w:num="1">
            <w:col w:w="10060"/>
          </w:cols>
          <w:pgMar w:left="920" w:top="665" w:right="9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requirements, we will likely need to invest a significant amount of time, effort, and money. Such post-approval requirements may also limit the commercial prospects of our product candidates.</w:t>
      </w:r>
    </w:p>
    <w:p>
      <w:pPr>
        <w:spacing w:after="0" w:line="170"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9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79" w:lineRule="exact"/>
        <w:rPr>
          <w:sz w:val="20"/>
          <w:szCs w:val="20"/>
          <w:color w:val="auto"/>
        </w:rPr>
      </w:pPr>
    </w:p>
    <w:p>
      <w:pPr>
        <w:ind w:left="680" w:right="740" w:hanging="330"/>
        <w:spacing w:after="0" w:line="258"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recruit, train, manage, and retain adequate numbers of effective sales, marketing and commercial support personnel;</w:t>
      </w:r>
    </w:p>
    <w:p>
      <w:pPr>
        <w:spacing w:after="0" w:line="1" w:lineRule="exact"/>
        <w:rPr>
          <w:rFonts w:ascii="Arial" w:cs="Arial" w:eastAsia="Arial" w:hAnsi="Arial"/>
          <w:sz w:val="18"/>
          <w:szCs w:val="18"/>
          <w:color w:val="auto"/>
        </w:rPr>
      </w:pPr>
    </w:p>
    <w:p>
      <w:pPr>
        <w:ind w:left="680" w:right="60" w:hanging="330"/>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680" w:hanging="33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680" w:right="540" w:hanging="330"/>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680" w:hanging="33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680" w:right="280" w:hanging="330"/>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680" w:hanging="33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680" w:right="160" w:hanging="330"/>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680" w:right="220" w:hanging="330"/>
        <w:spacing w:after="0" w:line="261"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our product candidates do not achieve broad market acceptance, the revenues that we generate from their sales will be limited.</w:t>
      </w:r>
    </w:p>
    <w:p>
      <w:pPr>
        <w:spacing w:after="0" w:line="26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87" w:lineRule="exact"/>
        <w:rPr>
          <w:sz w:val="20"/>
          <w:szCs w:val="20"/>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680" w:right="240" w:hanging="330"/>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680" w:right="40" w:hanging="330"/>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680" w:right="180" w:hanging="330"/>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680" w:right="300" w:hanging="330"/>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enactment of the Biologics Price Competition and Innovation Act of 2009,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8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w:t>
      </w:r>
    </w:p>
    <w:p>
      <w:pPr>
        <w:sectPr>
          <w:pgSz w:w="11900" w:h="16838" w:orient="portrait"/>
          <w:cols w:equalWidth="0" w:num="1">
            <w:col w:w="10060"/>
          </w:cols>
          <w:pgMar w:left="920" w:top="665" w:right="9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7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70"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6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6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w:t>
      </w:r>
    </w:p>
    <w:p>
      <w:pPr>
        <w:sectPr>
          <w:pgSz w:w="11900" w:h="16838" w:orient="portrait"/>
          <w:cols w:equalWidth="0" w:num="1">
            <w:col w:w="10020"/>
          </w:cols>
          <w:pgMar w:left="920" w:top="665" w:right="95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665" w:right="95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69"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0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 the California Consumer Privacy Act, or CCPA -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The California Attorney General will issue final regulations. Although the law includes limited exceptions, including for certain information collected as part of clinical trials as specified in the law, it may regulate or impact our processing of personal information depending on the context. It remains unclear what language the final Attorney General regulations will contain, or how the statute and regulations will be interpreted.</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We will need to grow the size and capabilities of our organization, and we may experience difficulties in managing this growth.</w:t>
      </w:r>
    </w:p>
    <w:p>
      <w:pPr>
        <w:spacing w:after="0" w:line="24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79" w:lineRule="exact"/>
        <w:rPr>
          <w:sz w:val="20"/>
          <w:szCs w:val="20"/>
          <w:color w:val="auto"/>
        </w:rPr>
      </w:pPr>
    </w:p>
    <w:p>
      <w:pPr>
        <w:ind w:left="680" w:hanging="33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680" w:right="80" w:hanging="330"/>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680" w:hanging="33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6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6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70"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24" w:lineRule="exact"/>
        <w:rPr>
          <w:sz w:val="20"/>
          <w:szCs w:val="20"/>
          <w:color w:val="auto"/>
        </w:rPr>
      </w:pPr>
    </w:p>
    <w:p>
      <w:pPr>
        <w:ind w:left="680" w:hanging="33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680" w:hanging="33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680" w:right="60" w:hanging="330"/>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680" w:right="520" w:hanging="330"/>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680" w:hanging="330"/>
        <w:spacing w:after="0"/>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0" w:lineRule="exact"/>
        <w:rPr>
          <w:rFonts w:ascii="Arial" w:cs="Arial" w:eastAsia="Arial" w:hAnsi="Arial"/>
          <w:sz w:val="17"/>
          <w:szCs w:val="17"/>
          <w:color w:val="auto"/>
        </w:rPr>
      </w:pPr>
    </w:p>
    <w:p>
      <w:pPr>
        <w:ind w:left="680" w:right="40" w:hanging="330"/>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680" w:right="260" w:hanging="330"/>
        <w:spacing w:after="0" w:line="261"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92" w:lineRule="exact"/>
        <w:rPr>
          <w:sz w:val="20"/>
          <w:szCs w:val="20"/>
          <w:color w:val="auto"/>
        </w:rPr>
      </w:pPr>
    </w:p>
    <w:p>
      <w:pPr>
        <w:ind w:right="120" w:firstLine="324"/>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4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 SEC has issued an administrative order against us that may make it more difficult for us to raise capital in the future.</w:t>
      </w:r>
    </w:p>
    <w:p>
      <w:pPr>
        <w:spacing w:after="0" w:line="24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 Some of the limitations placed on us as a result of the SEC administrative order relating to ineligibility for statutory safe harbors, including under the Private Securities Litigation Reform Act, and limitations on our communications and status as an ineligible issuer under Rule 405 of the Securities Act, are expected to end in April 2020.</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 xml:space="preserve">Shortly after the SEC announced settlements with us, with other public companies, and with unrelated parties in the </w:t>
      </w:r>
      <w:r>
        <w:rPr>
          <w:rFonts w:ascii="Arial" w:cs="Arial" w:eastAsia="Arial" w:hAnsi="Arial"/>
          <w:sz w:val="16"/>
          <w:szCs w:val="16"/>
          <w:i w:val="1"/>
          <w:iCs w:val="1"/>
          <w:color w:val="auto"/>
        </w:rPr>
        <w:t>In the Matter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Stock Promotions </w:t>
      </w:r>
      <w:r>
        <w:rPr>
          <w:rFonts w:ascii="Arial" w:cs="Arial" w:eastAsia="Arial" w:hAnsi="Arial"/>
          <w:sz w:val="16"/>
          <w:szCs w:val="16"/>
          <w:color w:val="auto"/>
        </w:rPr>
        <w:t>investigation, two securities class action complaints were filed in the U.S. District Court for the Northern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of California against our 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3:17-cv-0286)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The court retains jurisdiction over the parties and class members in the case for the purposes of administration, interpretation, implementation, and enforcement of the settlement, and related matters.</w:t>
      </w:r>
    </w:p>
    <w:p>
      <w:pPr>
        <w:spacing w:after="0" w:line="17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w:t>
      </w:r>
    </w:p>
    <w:p>
      <w:pPr>
        <w:spacing w:after="0" w:line="270" w:lineRule="auto"/>
        <w:rPr>
          <w:sz w:val="20"/>
          <w:szCs w:val="20"/>
          <w:color w:val="auto"/>
        </w:rPr>
      </w:pPr>
      <w:r>
        <w:rPr>
          <w:rFonts w:ascii="Arial" w:cs="Arial" w:eastAsia="Arial" w:hAnsi="Arial"/>
          <w:sz w:val="17"/>
          <w:szCs w:val="17"/>
          <w:color w:val="auto"/>
        </w:rPr>
        <w:t xml:space="preserve">Section 14(a) of the Securities Exchange Act of 1934 and Rule 14a-9 promulgated thereunder arising from the SEC’s investigation in the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Matter of Certain Stock Promotions </w:t>
      </w:r>
      <w:r>
        <w:rPr>
          <w:rFonts w:ascii="Arial" w:cs="Arial" w:eastAsia="Arial" w:hAnsi="Arial"/>
          <w:sz w:val="17"/>
          <w:szCs w:val="17"/>
          <w:color w:val="auto"/>
        </w:rPr>
        <w:t>matter and our April 10, 2017 settlement thereof, and seeks unspecified damages on behalf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injunctive relief. On March 28, 2018, a purported stockholder derivative complaint was filed by plaintiff Nazeer Khaleeluddin on behalf of our company, against us,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w:t>
      </w:r>
    </w:p>
    <w:p>
      <w:pPr>
        <w:sectPr>
          <w:pgSz w:w="11900" w:h="16838" w:orient="portrait"/>
          <w:cols w:equalWidth="0" w:num="1">
            <w:col w:w="10060"/>
          </w:cols>
          <w:pgMar w:left="920" w:top="665" w:right="9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On May 1, 2018, the court consolidated this case with the aforementioned purported stockholder derivative case filed by plaintiff Kevin Fong. The consolidated cases are titled </w:t>
      </w:r>
      <w:r>
        <w:rPr>
          <w:rFonts w:ascii="Arial" w:cs="Arial" w:eastAsia="Arial" w:hAnsi="Arial"/>
          <w:sz w:val="16"/>
          <w:szCs w:val="16"/>
          <w:i w:val="1"/>
          <w:iCs w:val="1"/>
          <w:color w:val="auto"/>
        </w:rPr>
        <w:t>In re Iovance Biotherapeutics, Inc. Stockholder Derivative Litigation</w:t>
      </w:r>
      <w:r>
        <w:rPr>
          <w:rFonts w:ascii="Arial" w:cs="Arial" w:eastAsia="Arial" w:hAnsi="Arial"/>
          <w:sz w:val="16"/>
          <w:szCs w:val="16"/>
          <w:color w:val="auto"/>
        </w:rPr>
        <w:t xml:space="preserve"> (lead case no. 17-cv-1806). While we have reached a preliminary settlement in this matter on January 28, 2020, the settlement is currently awaiting preliminary approval by the court. If the proposed settlement is given final approval by the court, we do not expect to incur any significant costs or expenses in connection with this settlement. However, the settlement may not be approved, in which case we intend to vigorously defend against these complaints, which may incur additional costs. Based on the current stage of the litigation matters, it is not possible to estimate the amount or range of possible loss that might result from an adverse judgment or a settlement of these matters. Furthermore, litigation is inherently uncertain, and there is no assurance as to the outcome of these,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cases also may distract the time and attention of our officers and directors or divert our other resources away from our ongoing commercial and development programs. An unfavorable outcome in these matters could damage our business and reputation or result in additional claims or proceedings against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LN-145 to at least 75 patients of the appropriate population to address the expected sample size in anticipation of a BLA submission in late 2020. Additionally, the patient population is defined per the discussion with FDA as patients who have progressed following initial systemic therapy for recurrent or metastatic disease which include many of the more advanced patients enrolled to date. Based on feedback we received from the FDA following our End of Phase 2 meeting, we are planning for a BLA submission in late 2020 subsequent to discussions with the FDA. However, our current beliefs regarding the registration pathway for the LN-145 product candidate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73" w:lineRule="exact"/>
        <w:rPr>
          <w:sz w:val="20"/>
          <w:szCs w:val="20"/>
          <w:color w:val="auto"/>
        </w:rPr>
      </w:pPr>
    </w:p>
    <w:p>
      <w:pPr>
        <w:jc w:val="both"/>
        <w:ind w:right="80" w:firstLine="324"/>
        <w:spacing w:after="0" w:line="273" w:lineRule="auto"/>
        <w:rPr>
          <w:sz w:val="20"/>
          <w:szCs w:val="20"/>
          <w:color w:val="auto"/>
        </w:rPr>
      </w:pPr>
      <w:r>
        <w:rPr>
          <w:rFonts w:ascii="Arial" w:cs="Arial" w:eastAsia="Arial" w:hAnsi="Arial"/>
          <w:sz w:val="17"/>
          <w:szCs w:val="17"/>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and C-144-01 clinical trials and future meetings. Accordingly, the regulatory approval pathway for our product candidates may be uncertain, complex, expensive and lengthy, and approval may not be obtained.</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70" w:lineRule="exact"/>
        <w:rPr>
          <w:sz w:val="20"/>
          <w:szCs w:val="20"/>
          <w:color w:val="auto"/>
        </w:rPr>
      </w:pPr>
    </w:p>
    <w:p>
      <w:pPr>
        <w:ind w:left="680" w:hanging="33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680" w:right="40" w:hanging="330"/>
        <w:spacing w:after="0" w:line="250"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680" w:hanging="33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 or central IRB;</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680" w:right="20" w:hanging="330"/>
        <w:spacing w:after="0" w:line="250"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 or</w:t>
      </w:r>
    </w:p>
    <w:p>
      <w:pPr>
        <w:ind w:left="680" w:hanging="330"/>
        <w:spacing w:after="0" w:line="261"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84"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3"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ectPr>
          <w:pgSz w:w="11900" w:h="16838" w:orient="portrait"/>
          <w:cols w:equalWidth="0" w:num="1">
            <w:col w:w="10040"/>
          </w:cols>
          <w:pgMar w:left="920" w:top="665" w:right="9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82"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6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81" w:lineRule="exact"/>
        <w:rPr>
          <w:sz w:val="20"/>
          <w:szCs w:val="20"/>
          <w:color w:val="auto"/>
        </w:rPr>
      </w:pPr>
    </w:p>
    <w:p>
      <w:pPr>
        <w:ind w:left="680" w:right="580" w:hanging="330"/>
        <w:spacing w:after="0" w:line="258"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680" w:right="600" w:hanging="330"/>
        <w:spacing w:after="0" w:line="250"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680" w:hanging="33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680" w:right="660" w:hanging="330"/>
        <w:spacing w:after="0" w:line="250"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680" w:hanging="33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680" w:right="380" w:hanging="330"/>
        <w:spacing w:after="0" w:line="250"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680" w:hanging="330"/>
        <w:spacing w:after="0" w:line="250"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680" w:hanging="33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11"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47" w:lineRule="exact"/>
        <w:rPr>
          <w:sz w:val="20"/>
          <w:szCs w:val="20"/>
          <w:color w:val="auto"/>
        </w:rPr>
      </w:pPr>
    </w:p>
    <w:p>
      <w:pPr>
        <w:jc w:val="both"/>
        <w:ind w:right="280" w:firstLine="324"/>
        <w:spacing w:after="0" w:line="312"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8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6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7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83"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6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w:t>
      </w:r>
    </w:p>
    <w:p>
      <w:pPr>
        <w:sectPr>
          <w:pgSz w:w="11900" w:h="16838" w:orient="portrait"/>
          <w:cols w:equalWidth="0" w:num="1">
            <w:col w:w="10060"/>
          </w:cols>
          <w:pgMar w:left="920" w:top="665" w:right="9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54"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82" w:lineRule="exact"/>
        <w:rPr>
          <w:sz w:val="20"/>
          <w:szCs w:val="20"/>
          <w:color w:val="auto"/>
        </w:rPr>
      </w:pPr>
    </w:p>
    <w:p>
      <w:pPr>
        <w:ind w:left="680" w:hanging="33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680" w:hanging="33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ectPr>
          <w:pgSz w:w="11900" w:h="16838" w:orient="portrait"/>
          <w:cols w:equalWidth="0" w:num="1">
            <w:col w:w="10060"/>
          </w:cols>
          <w:pgMar w:left="920" w:top="665" w:right="9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67"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54"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5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69" w:lineRule="exact"/>
        <w:rPr>
          <w:sz w:val="20"/>
          <w:szCs w:val="20"/>
          <w:color w:val="auto"/>
        </w:rPr>
      </w:pPr>
    </w:p>
    <w:p>
      <w:pPr>
        <w:ind w:right="280" w:firstLine="324"/>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71" w:lineRule="exact"/>
        <w:rPr>
          <w:sz w:val="20"/>
          <w:szCs w:val="20"/>
          <w:color w:val="auto"/>
        </w:rPr>
      </w:pPr>
    </w:p>
    <w:p>
      <w:pPr>
        <w:ind w:left="680" w:hanging="330"/>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680" w:hanging="330"/>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5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United States District Court for the Northern District of Texas struck down the ACA, deeming it unconstitutional given that Congress repealed the individual mandate in 2017; on July 9, 2019, the U.S. Court of Appeals for the Fifth Circuit heard arguments on appeal in this matter. On December 18, 2019, the Fifth Circuit ruled that the ACA’s individual mandate is unconstitutional given that the Tax Act eliminated the tax penalty associated with the individual mandate. In concluding that the individual mandate is unconstitutional, the question remains whether, or how much of, the rest of the ACA is severable from that constitutional defect. The Fifth Circuit further remanded the case to the U.S. District Court for the Northern District of Texas to further analyze whether the other provisions of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ACA are severable as they currently exist under the law. It is unclear how the eventual decision from this appeal, subsequent appeals, and other efforts to repeal and replace the ACA will impact the ACA and our business.</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18"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In addition, there have been a number of other policy, legislative and regulatory proposals aimed at changing the pharmaceutical industry. For instance, on May 11, 2018, the current administration presented its “Blueprint” to lower drug prices and reduce out of pocket costs of drugs, as well as additional proposals to increase drug manufacturer competition, increase the negotiating power of certain federal healthcare programs, and incentivize manufacturers to lower the list price of their products. Although some proposals related to the administration’s Blueprint may require additional authorization to become effective, may ultimately be withdrawn, or may face challenges in the courts, the U.S. Congress and the administration have indicated that they will continue to seek new legislative and administrative measures to control drug costs, including by addressing the role of pharmacy benefit managers in the supply chain.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United States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Governments outside the United States tend to impose strict price controls, which may adversely affect our revenues, if any.</w:t>
      </w:r>
    </w:p>
    <w:p>
      <w:pPr>
        <w:spacing w:after="0" w:line="24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82"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w:t>
      </w:r>
    </w:p>
    <w:p>
      <w:pPr>
        <w:sectPr>
          <w:pgSz w:w="11900" w:h="16838" w:orient="portrait"/>
          <w:cols w:equalWidth="0" w:num="1">
            <w:col w:w="10060"/>
          </w:cols>
          <w:pgMar w:left="920" w:top="665" w:right="9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7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78"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 rights.</w:t>
      </w:r>
    </w:p>
    <w:p>
      <w:pPr>
        <w:spacing w:after="0" w:line="26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ectPr>
          <w:pgSz w:w="11900" w:h="16838" w:orient="portrait"/>
          <w:cols w:equalWidth="0" w:num="1">
            <w:col w:w="10060"/>
          </w:cols>
          <w:pgMar w:left="920" w:top="665" w:right="9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if challenged in court or the USPTO.</w:t>
      </w:r>
    </w:p>
    <w:p>
      <w:pPr>
        <w:spacing w:after="0" w:line="248"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6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8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78"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products.</w:t>
      </w:r>
    </w:p>
    <w:p>
      <w:pPr>
        <w:spacing w:after="0" w:line="24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b w:val="1"/>
          <w:bCs w:val="1"/>
          <w:i w:val="1"/>
          <w:iCs w:val="1"/>
          <w:color w:val="auto"/>
        </w:rPr>
        <w:t>Our existing directors and executive officers hold a substantial amount of our common stock and may be able to influence significant corporate decisions.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December 31, 2019, our officers and directors beneficially owned approximately 9.4 % of our outstanding common stock. These stockholders, if they act together, may be able to materially affect the outcome of matters presented to our stockholders, including the election of our directors and other corporate actions such as:</w:t>
      </w:r>
    </w:p>
    <w:p>
      <w:pPr>
        <w:spacing w:after="0" w:line="181" w:lineRule="exact"/>
        <w:rPr>
          <w:sz w:val="20"/>
          <w:szCs w:val="20"/>
          <w:color w:val="auto"/>
        </w:rPr>
      </w:pPr>
    </w:p>
    <w:p>
      <w:pPr>
        <w:ind w:left="680" w:hanging="33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merger with or into another company;</w:t>
      </w:r>
    </w:p>
    <w:p>
      <w:pPr>
        <w:spacing w:after="0" w:line="23" w:lineRule="exact"/>
        <w:rPr>
          <w:rFonts w:ascii="Arial" w:cs="Arial" w:eastAsia="Arial" w:hAnsi="Arial"/>
          <w:sz w:val="18"/>
          <w:szCs w:val="18"/>
          <w:color w:val="auto"/>
        </w:rPr>
      </w:pPr>
    </w:p>
    <w:p>
      <w:pPr>
        <w:ind w:left="680" w:hanging="33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sale of substantially all of our assets; and</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amendments to our certificate of incorporation.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stock price may be volatile, and our stockholders’ investment in our stock could decline in value.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680" w:right="140" w:hanging="330"/>
        <w:spacing w:after="0" w:line="258"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competitors,or negative developments with respect to similar products, including those being developed by our collaborators;</w:t>
      </w:r>
    </w:p>
    <w:p>
      <w:pPr>
        <w:spacing w:after="0" w:line="1"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680" w:hanging="33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Annual Report on Form 10-K</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will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4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of December 31, 2019, we had 126,411,808 shares of common stock outstanding. In addition, we had 13,195,747 shares of common stock equivalents that would increase the number of common stock outstanding if these instruments were exercised or converted, including stock options and restricted stock units to purchase common stock based on vesting requirements and common stock issuable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at our 2019 Annual Meeting of Stockholders held on June 10, 2019. However, no additional shares have been issued to date.</w:t>
      </w:r>
    </w:p>
    <w:p>
      <w:pPr>
        <w:spacing w:after="0" w:line="16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Further, in September 2019, we filed a shelf registration statement with the SEC for the issuance of common stock, preferred stock, warrants, rights, debt securities and units up to an aggregate amount of $400 million. Such issuances could result in substantial dilution to our existing stockholders and could cause our stock price to decline.</w:t>
      </w:r>
    </w:p>
    <w:p>
      <w:pPr>
        <w:spacing w:after="0" w:line="17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w:t>
      </w:r>
    </w:p>
    <w:p>
      <w:pPr>
        <w:sectPr>
          <w:pgSz w:w="11900" w:h="16838" w:orient="portrait"/>
          <w:cols w:equalWidth="0" w:num="1">
            <w:col w:w="10060"/>
          </w:cols>
          <w:pgMar w:left="920" w:top="665" w:right="9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87"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6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9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certificate of incorporation ,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70"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8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8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ectPr>
          <w:pgSz w:w="11900" w:h="16838" w:orient="portrait"/>
          <w:cols w:equalWidth="0" w:num="1">
            <w:col w:w="10060"/>
          </w:cols>
          <w:pgMar w:left="920" w:top="665" w:right="9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54" w:lineRule="exact"/>
        <w:rPr>
          <w:sz w:val="20"/>
          <w:szCs w:val="20"/>
          <w:color w:val="auto"/>
        </w:rPr>
      </w:pPr>
    </w:p>
    <w:p>
      <w:pPr>
        <w:ind w:right="40" w:firstLine="369"/>
        <w:spacing w:after="0" w:line="277" w:lineRule="auto"/>
        <w:rPr>
          <w:sz w:val="20"/>
          <w:szCs w:val="20"/>
          <w:color w:val="auto"/>
        </w:rPr>
      </w:pPr>
      <w:r>
        <w:rPr>
          <w:rFonts w:ascii="Arial" w:cs="Arial" w:eastAsia="Arial" w:hAnsi="Arial"/>
          <w:sz w:val="18"/>
          <w:szCs w:val="18"/>
          <w:b w:val="1"/>
          <w:bCs w:val="1"/>
          <w:i w:val="1"/>
          <w:iCs w:val="1"/>
          <w:color w:val="auto"/>
        </w:rPr>
        <w:t>We may be subject to claims for rescission or damages in connection with certain sales of shares of our common stock in the open market.</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17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to us, as a result of the issuance of the 200,000 shares is uncertain. Accordingly, no accrual for a potential claim has been made in our financial statements.</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20"/>
          </w:cols>
          <w:pgMar w:left="920" w:top="665"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665" w:right="95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Since August 2016, our corporate headquarters consisted of 8,733 square feet of space that we lease in San Carlos, California. The corporate headquarters lease is for a term of 54 months and will expire in April 2021. Monthly lease payments are approximately $38,000.</w:t>
      </w:r>
    </w:p>
    <w:p>
      <w:pPr>
        <w:spacing w:after="0" w:line="12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April 2017, we entered into a sublease agreement with Teradata US, Inc., pursuant to which we agreed to sublease office space located adjacent to our corporate headquarters in San Carlos, California for approximately $26,000 per month. The space consists of approximately 11,449 rentable square feet. On October 19, 2018, we entered into an agreement to lease 12,322 square feet of office space located adjacent to our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6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June 19, 2019, we entered into a first amendment to our previously disclosed lease agreement with Hudson Skyway Landing, LLC for additional space at our corporate headquarters in San Carlos, California. Under the amended lease, we leased an additional 8,110 square feet, for a total of approximately 20,432 square feet of space on the first floor, not including the 8,733 square feet of space leased under the August 2016 lease described above, of the building located at 999 Skyway Road, San Carlos, California, commonly known as Skyway Landing II The term of the amended lease remains the same as that of the original lease and expires on April 30, 2021, unless earlier terminated. Our monthly base rent for the additional space is approximately $39,000 for the first year, and $40,000 for the second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leased office space in New York for a monthly rental of approximately $18,000 a month from January 2017 through July 2017. In June 2017, we entered into an agreement to lease office space in New York, New York from August 1, 2017 to July 31, 2018 for approximately $9,000 a month. On April 20, 2018, we entered into an agreement to extend the lease term to January 31, 2019 for approximately $7,000 a month. On November 2, 2018, we extended the lease term to July 31, 2019 for approximately $4,000 a month. On October 24, 2019, we entered into an agreement to extend the lease term to April 30, 2020 for approximately $4,000 a month. On January 23, 2020, we entered into an agreement to extend the lease term to July 31, 2020 for approximately $4,000 a month.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Our research and development facilities consist of 8,673 square feet in a facility located at the University of South Florida Research Park in Tampa, Florida. The lease expired in December 2019 and rent payments were approximately $20,000 per month. In December 2019, we entered into an agreement to extend the lease term to December 18, 2024 for approximately $20,500 a month.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22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On May 2, 2019, we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believe that our existing facilities are adequate to meet our current needs, and that suitable additional alternative spaces will be available in the future on commercially reasonable terms.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us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Our settlement with the SEC is consistent with our previous disclosures (including in our Annual Report on Form 10-K that we filed with the SEC on March 9, 2017). On April 14, 2017, a purported shareholder filed a complaint seeking class action status in the United States District Court, Northern District of California</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for violations of the federal securities laws (</w:t>
      </w:r>
      <w:r>
        <w:rPr>
          <w:rFonts w:ascii="Arial" w:cs="Arial" w:eastAsia="Arial" w:hAnsi="Arial"/>
          <w:sz w:val="17"/>
          <w:szCs w:val="17"/>
          <w:i w:val="1"/>
          <w:iCs w:val="1"/>
          <w:color w:val="auto"/>
        </w:rPr>
        <w:t>Leonard DeSilvio v. Lion Biotechnologies, Inc., et al.,</w:t>
      </w:r>
      <w:r>
        <w:rPr>
          <w:rFonts w:ascii="Arial" w:cs="Arial" w:eastAsia="Arial" w:hAnsi="Arial"/>
          <w:sz w:val="17"/>
          <w:szCs w:val="17"/>
          <w:color w:val="auto"/>
        </w:rPr>
        <w:t xml:space="preserve"> case no. 3:17cv2086) against our company and three of our former officers and directors. On April 19, 2017, a second class action complaint </w:t>
      </w:r>
      <w:r>
        <w:rPr>
          <w:rFonts w:ascii="Arial" w:cs="Arial" w:eastAsia="Arial" w:hAnsi="Arial"/>
          <w:sz w:val="17"/>
          <w:szCs w:val="17"/>
          <w:i w:val="1"/>
          <w:iCs w:val="1"/>
          <w:color w:val="auto"/>
        </w:rPr>
        <w:t>(Amra Kuc vs. Lion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Biotechnologies, Inc., et al., </w:t>
      </w:r>
      <w:r>
        <w:rPr>
          <w:rFonts w:ascii="Arial" w:cs="Arial" w:eastAsia="Arial" w:hAnsi="Arial"/>
          <w:sz w:val="17"/>
          <w:szCs w:val="17"/>
          <w:color w:val="auto"/>
        </w:rPr>
        <w:t>case no. 3:17-cv-2188) was filed in the same court. Both complaints allege, among other things,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defendants violated 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investigation. On July 20, 2017, the plaintiff in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case filed a notice to voluntarily dismiss that case. The court entered an order dismissing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complaint on July 21, 2017. On July 26, 2017, the court appointed a movant as lead plaintiff. On September 8, 2017, the lead plaintiff filed an amended complaint (</w:t>
      </w:r>
      <w:r>
        <w:rPr>
          <w:rFonts w:ascii="Arial" w:cs="Arial" w:eastAsia="Arial" w:hAnsi="Arial"/>
          <w:sz w:val="17"/>
          <w:szCs w:val="17"/>
          <w:i w:val="1"/>
          <w:iCs w:val="1"/>
          <w:color w:val="auto"/>
        </w:rPr>
        <w:t>Jay Rabkin v. Lion Biotechnologies, Inc., 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 </w:t>
      </w:r>
      <w:r>
        <w:rPr>
          <w:rFonts w:ascii="Arial" w:cs="Arial" w:eastAsia="Arial" w:hAnsi="Arial"/>
          <w:sz w:val="17"/>
          <w:szCs w:val="17"/>
          <w:color w:val="auto"/>
        </w:rPr>
        <w:t>case no. 3:17-cv-2086) seeking class action status that alleges, among other things, that the defendants violated federal securities laws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final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We do not expect to incur any costs or expenses in connection with this settlement.</w:t>
      </w:r>
    </w:p>
    <w:p>
      <w:pPr>
        <w:spacing w:after="0" w:line="19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u w:val="single" w:color="auto"/>
          <w:color w:val="auto"/>
        </w:rPr>
        <w:t>Derivative Lawsuits.</w:t>
      </w:r>
      <w:r>
        <w:rPr>
          <w:rFonts w:ascii="Arial" w:cs="Arial" w:eastAsia="Arial" w:hAnsi="Arial"/>
          <w:sz w:val="16"/>
          <w:szCs w:val="16"/>
          <w:color w:val="auto"/>
        </w:rPr>
        <w:t xml:space="preserve"> 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 xml:space="preserve">In the Matter of Certain Stock Promotions </w:t>
      </w:r>
      <w:r>
        <w:rPr>
          <w:rFonts w:ascii="Arial" w:cs="Arial" w:eastAsia="Arial" w:hAnsi="Arial"/>
          <w:sz w:val="16"/>
          <w:szCs w:val="16"/>
          <w:color w:val="auto"/>
        </w:rPr>
        <w:t>investigation and our April 10, 2017 settlement thereof, and seeks unspecified damages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behalf of our company and injunctive relief. On March 28, 2018, a purported stockholder derivative complaint was filed by plaintiff Nazeer Khaleeluddin on our behalf, against us,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On May 1, 2018, the court consolidated this case with the aforementioned purported stockholder derivative case filed by plaintiff Kevin Fong. The consolidated case is titled </w:t>
      </w:r>
      <w:r>
        <w:rPr>
          <w:rFonts w:ascii="Arial" w:cs="Arial" w:eastAsia="Arial" w:hAnsi="Arial"/>
          <w:sz w:val="16"/>
          <w:szCs w:val="16"/>
          <w:i w:val="1"/>
          <w:iCs w:val="1"/>
          <w:color w:val="auto"/>
        </w:rPr>
        <w:t>In re Iovance Biotherapeutics, Inc. Stockholder Derivative Litigation</w:t>
      </w:r>
      <w:r>
        <w:rPr>
          <w:rFonts w:ascii="Arial" w:cs="Arial" w:eastAsia="Arial" w:hAnsi="Arial"/>
          <w:sz w:val="16"/>
          <w:szCs w:val="16"/>
          <w:color w:val="auto"/>
        </w:rPr>
        <w:t xml:space="preserve"> (lead case no. 17-cv-1806). On January 28, 2020, we reached a proposed settlement with the plaintiffs, which is currently awaiting preliminary approval by the court. The terms of the settlement will be disseminated to shareholders as part of the notice process for the settlement if preliminary approval is granted. If the proposed settlement is given final approval by the court, we do not expect to incur any significant costs or expenses in connection with this settlement. Based on the current stage of the litigation, and the uncertainty of final approval by the court, it is not possible to estimate the amount or range of possible loss that might result from an adverse judgment or a settlement of these matters.</w:t>
      </w:r>
    </w:p>
    <w:p>
      <w:pPr>
        <w:spacing w:after="0" w:line="17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or the First Solomon Suit, titled </w:t>
      </w:r>
      <w:r>
        <w:rPr>
          <w:rFonts w:ascii="Arial" w:cs="Arial" w:eastAsia="Arial" w:hAnsi="Arial"/>
          <w:sz w:val="16"/>
          <w:szCs w:val="16"/>
          <w:i w:val="1"/>
          <w:iCs w:val="1"/>
          <w:color w:val="auto"/>
        </w:rPr>
        <w:t>Solomon Capital, LLC, Solomon Capital 401(K)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Trust, Solomon Sharbat and Shelhav Raff v. Lion Biotechnologies, Inc. </w:t>
      </w:r>
      <w:r>
        <w:rPr>
          <w:rFonts w:ascii="Arial" w:cs="Arial" w:eastAsia="Arial" w:hAnsi="Arial"/>
          <w:sz w:val="16"/>
          <w:szCs w:val="16"/>
          <w:color w:val="auto"/>
        </w:rPr>
        <w:t>was filed by Solomon Capital, LLC, Solomon Capital 401(k) Trust,</w:t>
      </w:r>
      <w:r>
        <w:rPr>
          <w:rFonts w:ascii="Arial" w:cs="Arial" w:eastAsia="Arial" w:hAnsi="Arial"/>
          <w:sz w:val="16"/>
          <w:szCs w:val="16"/>
          <w:i w:val="1"/>
          <w:iCs w:val="1"/>
          <w:color w:val="auto"/>
        </w:rPr>
        <w:t xml:space="preserve"> </w:t>
      </w:r>
      <w:r>
        <w:rPr>
          <w:rFonts w:ascii="Arial" w:cs="Arial" w:eastAsia="Arial" w:hAnsi="Arial"/>
          <w:sz w:val="16"/>
          <w:szCs w:val="16"/>
          <w:color w:val="auto"/>
        </w:rPr>
        <w:t>Solomon Sharbat and Shelhav Raff, which we refer to as the Solomon Plaintiffs, against us in the Supreme Court of the State of New York, County of New York (index no. 651881/2016). The Solomon Plaintiffs allege that, between June and November 2012, they provided to us $0.1 million and that they advanced and paid on our behalf an additional $0.2 million. The complaint further alleges that we agreed to (i) provide them with promissory notes totaling $0.2 million, plus interest, (ii) issue a total of 1,110 shares to the Solomon Plaintiffs (after the 1-for-100 reverse split of our common stock effected in March 2013), and (iii) allow the Solomon Plaintiffs to convert the foregoing funds into our securities in the next transaction. The Solomon Plaintiffs allege that they should have been able to convert their advances and payments into shares of our common stock in the restructuring that took effect in May 2013. Based on the foregoing, the Solomon Plaintiffs allege causes for breach of contract and unjust enrichment and demand judgment against us in an unspecified amount exceeding $1.5 million, plus interest. On June 3, 2016, we filed an answer and counterclaims in the lawsuit. We have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or FINRA, that resulted in the loss of his FINRA license. In our counterclaims, we are seeking damages in an amount exceeding $0.5 million and</w:t>
      </w:r>
    </w:p>
    <w:p>
      <w:pPr>
        <w:sectPr>
          <w:pgSz w:w="11900" w:h="16838" w:orient="portrait"/>
          <w:cols w:equalWidth="0" w:num="1">
            <w:col w:w="10060"/>
          </w:cols>
          <w:pgMar w:left="920" w:top="665" w:right="91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 order rescinding any and all agreements that the plaintiffs contend entitled them to obtain shares of our stock. No trial date has been set for the First Solomon Suit.</w:t>
      </w:r>
    </w:p>
    <w:p>
      <w:pPr>
        <w:spacing w:after="0" w:line="17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7"/>
          <w:szCs w:val="17"/>
          <w:color w:val="auto"/>
        </w:rPr>
        <w:t xml:space="preserve">On September 27, 2019, the Solomon Plaintiffs filed a new lawsuit (through new legal counsel), or the Second Solomon Suit, titled </w:t>
      </w:r>
      <w:r>
        <w:rPr>
          <w:rFonts w:ascii="Arial" w:cs="Arial" w:eastAsia="Arial" w:hAnsi="Arial"/>
          <w:sz w:val="17"/>
          <w:szCs w:val="17"/>
          <w:i w:val="1"/>
          <w:iCs w:val="1"/>
          <w:color w:val="auto"/>
        </w:rPr>
        <w:t xml:space="preserve">Solomon Capital, LLC, Solomon Capital 401(K) Trust, Solomon Sharbat and Shelhav Raff v. Iovance Biotherapeutics, Inc., f/k/a/ Lion Biotechnologies Inc. f/k/a/ Genesis Biopharma Inc., and Manish Singh </w:t>
      </w:r>
      <w:r>
        <w:rPr>
          <w:rFonts w:ascii="Arial" w:cs="Arial" w:eastAsia="Arial" w:hAnsi="Arial"/>
          <w:sz w:val="17"/>
          <w:szCs w:val="17"/>
          <w:color w:val="auto"/>
        </w:rPr>
        <w:t>in the Supreme Court of the State of New York, County of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us and the plaintiffs that the plaintiffs would be paid fees and commissions (in cash and stock) if they obtained financing for us, and that they directly and indirectly introduced investors to us who invested, or were willing to invest in our company. Finally, the Solomon Plaintiffs allege that they were promised a license to use our technology in Israel. The plaintiffs claim that we breached the foregoing understandings, promises and agreements and, as a result, they are entitled to certain damages. The Solomon Plaintiffs also allege that Manish Singh, our former Chief Executive Officer, committed fraud and took shares belonging to them. On February 18, 2020, we filed a removal petition and removed the Second Solomon Suit to the United States District Court for the Southern District of New York, where the case has been assigned case no. 1:20-cv-1391. We have not yet responded to the complaint in the Second Solomon Suit.</w:t>
      </w:r>
    </w:p>
    <w:p>
      <w:pPr>
        <w:spacing w:after="0" w:line="18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intend to vigorously defend these complaints and pursue our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81"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u w:val="single" w:color="auto"/>
          <w:color w:val="auto"/>
        </w:rPr>
        <w:t>Litigation Involving Dr. Steven Fischkoff</w:t>
      </w:r>
      <w:r>
        <w:rPr>
          <w:rFonts w:ascii="Arial" w:cs="Arial" w:eastAsia="Arial" w:hAnsi="Arial"/>
          <w:sz w:val="16"/>
          <w:szCs w:val="16"/>
          <w:color w:val="auto"/>
        </w:rPr>
        <w:t xml:space="preserve">. On June 13, 2017, in an action titled </w:t>
      </w:r>
      <w:r>
        <w:rPr>
          <w:rFonts w:ascii="Arial" w:cs="Arial" w:eastAsia="Arial" w:hAnsi="Arial"/>
          <w:sz w:val="16"/>
          <w:szCs w:val="16"/>
          <w:i w:val="1"/>
          <w:iCs w:val="1"/>
          <w:color w:val="auto"/>
        </w:rPr>
        <w:t>Steven Fischkoff v. Lion Biotechnologies, Inc. and</w:t>
      </w:r>
      <w:r>
        <w:rPr>
          <w:rFonts w:ascii="Arial" w:cs="Arial" w:eastAsia="Arial" w:hAnsi="Arial"/>
          <w:sz w:val="16"/>
          <w:szCs w:val="16"/>
          <w:color w:val="auto"/>
        </w:rPr>
        <w:t xml:space="preserve"> </w:t>
      </w:r>
      <w:r>
        <w:rPr>
          <w:rFonts w:ascii="Arial" w:cs="Arial" w:eastAsia="Arial" w:hAnsi="Arial"/>
          <w:sz w:val="16"/>
          <w:szCs w:val="16"/>
          <w:i w:val="1"/>
          <w:iCs w:val="1"/>
          <w:color w:val="auto"/>
        </w:rPr>
        <w:t>Maria Fardis</w:t>
      </w:r>
      <w:r>
        <w:rPr>
          <w:rFonts w:ascii="Arial" w:cs="Arial" w:eastAsia="Arial" w:hAnsi="Arial"/>
          <w:sz w:val="16"/>
          <w:szCs w:val="16"/>
          <w:color w:val="auto"/>
        </w:rPr>
        <w:t>, Dr. Steven Fischkoff, our former Vice President and Chief Medical Officer, filed a lawsuit against us in the Supreme Court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State of New York, County of New York. Dr. Fischkoff was dismissed by us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we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our company materials, and granting expedited discovery. On June 25, 2018, pursuant to a stipulation between the parties, the court entered a permanent injunction prohibiting Dr. Fischkoff from disclosing, possessing, or using any of our proprietary materials or trade secrets. On July 5, 2018, the court entered an order dismissing two of Dr. Fischkoff’s claims against us and Dr. Fardis. On October 18, 2018,</w:t>
      </w:r>
    </w:p>
    <w:p>
      <w:pPr>
        <w:spacing w:after="0" w:line="1"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Dr. Fischkoff amended his complaint to assert a new claim for defamation arising from SEC filings in which we provided the information about this litigation. No trial date has been set in this matter, and the parties are currently engaged in fact discovery.</w:t>
      </w:r>
    </w:p>
    <w:p>
      <w:pPr>
        <w:spacing w:after="0" w:line="16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intend to vigorously defend against Dr. Fischkoff’s lawsuit and pursue our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6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We believe that any claims brought against it would not result in a material impact to our financial position or results of operations. We have not accrued a loss for a potential claim associated with this matter as we are unable to estimate any at this time.</w:t>
      </w:r>
    </w:p>
    <w:p>
      <w:pPr>
        <w:spacing w:after="0" w:line="179"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In connection with our reincorporation from Nevada to Delaware in 2017, we (as a Delaware corporation) untimely filed a post-effective amendment to adopt a Form S-8 registration statement that we filed (as a Nevada corporation) to register the shares</w:t>
      </w:r>
    </w:p>
    <w:p>
      <w:pPr>
        <w:sectPr>
          <w:pgSz w:w="11900" w:h="16838" w:orient="portrait"/>
          <w:cols w:equalWidth="0" w:num="1">
            <w:col w:w="10060"/>
          </w:cols>
          <w:pgMar w:left="920" w:top="665" w:right="9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as a result of the issuance of the 200,000 shares is uncertain. Accordingly, we have not made any accrual for a potential claim in our consolidated financial statements.</w:t>
      </w:r>
    </w:p>
    <w:p>
      <w:pPr>
        <w:spacing w:after="0" w:line="15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may be involved, from time to time, in legal proceedings and claims arising in the ordinary course of our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380"/>
        <w:spacing w:after="0" w:line="503" w:lineRule="auto"/>
        <w:rPr>
          <w:sz w:val="20"/>
          <w:szCs w:val="20"/>
          <w:color w:val="auto"/>
        </w:rPr>
      </w:pPr>
      <w:r>
        <w:rPr>
          <w:rFonts w:ascii="Arial" w:cs="Arial" w:eastAsia="Arial" w:hAnsi="Arial"/>
          <w:sz w:val="18"/>
          <w:szCs w:val="18"/>
          <w:b w:val="1"/>
          <w:bCs w:val="1"/>
          <w:color w:val="auto"/>
        </w:rPr>
        <w:t>Item 5. Market for Common Equity, Related Stockholder Matters and Issuer Purchases of Equity Securities Market Information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traded on the Nasdaq Global Market under the symbol “IOVA”.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2019, there were approximately 20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the board of directors after considering various factors, including our financial condition, operating results, current and anticipated cash needs.</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terms of our Series A Convertible Preferred Stock, we may not declare, pay or set aside any dividends on shares of any class or series of capital stock (other than dividends on shares of common stock payable in shares of common stock) unless the holders of our Series A Convertible Preferred Stock first receive, or simultaneously receive, an equal dividend on each outstanding share of Series A Convertible Preferred Stock.</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terms of our Series B Convertible Preferred Stock, holders shall be entitled to receive dividends on shares equal (on an as-if-converted-to-Common-Stock basis) to and in the same form as dividends (other than dividends in the form of common stock) actually paid on shares of our Series A Convertible Preferred Stock, common stock or other junior securities when, as and if such dividends (other than dividends in the form of common stock) are paid on shares of our Series A Convertible Preferred Stock, common stock or other junior securities. No other dividends shall be paid on shares of Series B Convertible Preferred Stock, and we may not pay dividends (other than dividends in the form of common stock) on shares of our Series A Convertible Preferred Stock, common stock or other junior securities unless it simultaneously complies with the previous sentence.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share repurchases during the year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right="340" w:firstLine="324"/>
        <w:spacing w:after="0" w:line="312"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since December 31, 2014 to two indices: the Russell 3000 and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102235</wp:posOffset>
            </wp:positionV>
            <wp:extent cx="5556885" cy="2941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568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Information regarding our equity compensation plans is incorporated by reference from the information in our Proxy Statement for our 2020 Annual Meeting of Stockholders, which we will file with the SEC within 120 days after the end of the fiscal year to which this Annual Report on Form 10-K relates.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(in thousands, except per share information)</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The statements of operations data for the years ended December 31, 2019, 2018, and 2017 and the balance sheet data as of December 31, 2019 and 2018 have been derived from our audited financial statements included elsewhere in this Annual Report on Form 10-K. The statements of operations data for the years ended December 31, 2016 and 2015 and the balance sheet data as of December 31, 2017, 2016, and 2015 have been derived from our audited financial statements not included in this Annual Report on Form 10-K. The following selected financial data should be read in conjunction with our “Management’s Discussion and Analysis of Financial Condition and Results of Operations” and financial statements and related notes to those statements included elsewhere in this Annual Report on Form 10-K.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8"/>
                <w:szCs w:val="18"/>
                <w:b w:val="1"/>
                <w:bCs w:val="1"/>
                <w:color w:val="auto"/>
                <w:w w:val="89"/>
              </w:rPr>
              <w:t>Years Ended December 31,</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10"/>
        </w:trPr>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r>
      <w:tr>
        <w:trPr>
          <w:trHeight w:val="210"/>
        </w:trPr>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166,023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99,828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r>
      <w:tr>
        <w:trPr>
          <w:trHeight w:val="216"/>
        </w:trPr>
        <w:tc>
          <w:tcPr>
            <w:tcW w:w="36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28,430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12,390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4,678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Net loss</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(197,556)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(123,580)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(92,064)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(52,894)</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(27,660)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446"/>
        </w:trPr>
        <w:tc>
          <w:tcPr>
            <w:tcW w:w="3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8"/>
                <w:szCs w:val="18"/>
                <w:b w:val="1"/>
                <w:bCs w:val="1"/>
                <w:color w:val="auto"/>
              </w:rPr>
              <w:t>As of December 31,</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10"/>
        </w:trPr>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10"/>
        </w:trPr>
        <w:tc>
          <w:tcPr>
            <w:tcW w:w="3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344,655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480,821</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$ 155,373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171,886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105,653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Total liabilities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45,684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14,628</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9,892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4,968</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298,971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466,193</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$ 145,481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166,918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104,023</w:t>
            </w:r>
          </w:p>
        </w:tc>
      </w:tr>
    </w:tbl>
    <w:p>
      <w:pPr>
        <w:spacing w:after="0" w:line="202"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See "Management’s Discussion and Analysis of Financial Condition and Results of Operations" below, and the financial statements and accompanying notes and previously filed Annual Reports on Form 10-K for further information regarding our results and financial position for periods reported herein and for known factors that will impact comparability of future results.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an autologous cell therapy platform technology that was originally developed by the National Cancer Institute, or NCI, which conducted initial clinical trials in diseases such as metastatic melanoma and cervical cancer. We have developed a new, shorter manufacturing process for TIL known as Generation 2 or Gen 2, which yields a cryopreserved TIL product. This proprietary and scalable manufacturing method is being further investigated in multiple indications. Our lead product candidates include lifileucel for metastatic melanoma and LN-145 for metastatic cervical cancer. In addition to metastatic melanoma and metastatic cervical cancer, we are investigating the effectiveness and safety of TIL for the treatment of squamous cell carcinoma</w:t>
      </w:r>
    </w:p>
    <w:p>
      <w:pPr>
        <w:sectPr>
          <w:pgSz w:w="11900" w:h="16838" w:orient="portrait"/>
          <w:cols w:equalWidth="0" w:num="1">
            <w:col w:w="10060"/>
          </w:cols>
          <w:pgMar w:left="920" w:top="665" w:right="9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of the head and neck, non-small cell lung cancer, and peripheral blood lymphocyte, or PBL, therapy for chronic lymphocytic leukemia through our sponsored trials, as well as in other oncology indications through collaborations.</w:t>
      </w:r>
    </w:p>
    <w:p>
      <w:pPr>
        <w:spacing w:after="0" w:line="17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conducting a Phase 2 clinical trial, C-144-01, of our lead product candidate, lifileucel, for the treatment of metastatic melanoma. This multicenter pivotal trial enrolled patients with melanoma whose disease has progressed following treatment with at least one systemic therapy, including a PD-1 inhibitor and if BRAF mutated, a BRAF inhibitor, or a combination of BRAF and MEK inhibitors (National Clinical Trial identification number NCT02360579). Cohort 4 of the C-144-01 clinical trial is a single-arm cohort intended to be used for the registration of lifileucel. The C-144-01 trial uses our proprietary Gen 2 manufacturing process. We completed and closed enrollment of patients into Cohort 2 of the C-144-01 trial in 2018. We announced that the last patient was dosed in Cohort 4 of this trial in January 2020. Cohort 4 was enrolled with a prospective definition of objective response rate, or ORR, read out by an Independent Review Committee, or IRC, as the primary endpoint based on our interpretation of discussions with the U.S. Food and Drug Administration, or FDA.</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to our ongoing trial in metastatic melanoma, we are conducting clinical trials of LN-145, TIL therapy in cervical, head and neck cancers, lung and other cancers. C-145-04 is an ongoing Phase 2, multicenter pivotal trial that will assess the safety and efficacy of LN-145 for the treatment of patients with recurrent, metastatic or persistent cervical cancer (NCT03108495). In February 2019, LN-145 received Fast Track designation from the FDA for development in the treatment of cervical cancer with disease progression on or after chemotherapy. In March 2019, the protocol for this trial was amended to modify the primary endpoint of ORR to be determined by IRC. In May 2019, LN-145 received Breakthrough Therapy designation, or BTD, from the FDA for the development in the treatment of cervical cancer.</w:t>
      </w:r>
    </w:p>
    <w:p>
      <w:pPr>
        <w:spacing w:after="0" w:line="18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current product candidate pipeline and selected investigator-sponsored proof-of-concept studies are summarized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117475</wp:posOffset>
            </wp:positionV>
            <wp:extent cx="5377180" cy="26155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77180"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As a clinical stage company that is currently engaged in the development of novel cancer immunotherapy products, we have not yet generated any revenues from our biotechnology business or otherwise since our formation. Our ability to generate revenues in the future will depend on our ability to complete the development of our product candidates and to obtain regulatory approval for them. Our major sources of funding to date have been proceeds from various public and private offerings of our equity securities (both common stock and preferred stock), option and warrant exercises, and interest income.</w:t>
      </w:r>
    </w:p>
    <w:p>
      <w:pPr>
        <w:sectPr>
          <w:pgSz w:w="11900" w:h="16838" w:orient="portrait"/>
          <w:cols w:equalWidth="0" w:num="1">
            <w:col w:w="10020"/>
          </w:cols>
          <w:pgMar w:left="920" w:top="665" w:right="9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20"/>
          </w:cols>
          <w:pgMar w:left="920" w:top="665" w:right="95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did not generate any revenues during the years ended December 31, 2019 and 2018, respectively, and we currently do not anticipate that we will generate any revenues during 2020 from the sale or licensing of our product candidates. Our ability to generate revenues in the future will depend on our ability to complete the development of our product candidates and to obtain regulatory approval for them.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Costs and expenses</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b w:val="1"/>
                <w:bCs w:val="1"/>
                <w:color w:val="auto"/>
              </w:rPr>
              <w:t>Research and Development Expense (in thousands)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5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Years Ended December 31,</w:t>
            </w:r>
          </w:p>
        </w:tc>
        <w:tc>
          <w:tcPr>
            <w:tcW w:w="17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89"/>
              </w:rPr>
              <w:t>Increase (Decrease)</w:t>
            </w:r>
          </w:p>
        </w:tc>
      </w:tr>
      <w:tr>
        <w:trPr>
          <w:trHeight w:val="210"/>
        </w:trPr>
        <w:tc>
          <w:tcPr>
            <w:tcW w:w="56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166,023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$ 66,195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included in research and development</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expense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11,396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9,305</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2,091</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22 %</w:t>
            </w:r>
          </w:p>
        </w:tc>
      </w:tr>
    </w:tbl>
    <w:p>
      <w:pPr>
        <w:spacing w:after="0" w:line="202"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Research and development expense for the year ended December 31, 2019 increased by $66.2 million, or 66%, compared to the year ended December 31, 2018. The increase was primarily attributable to (i) a $27.4 million increase in manufacturing costs due to increased production runs and additional manufacturing capacity costs to support the ongoing clinical trials, (ii) a $20.3 million increase in clinical trial costs due to an increase in the number of patients in the clinical trials and purchases of clinical trial drugs, and (iii) a $12.6 million increase in payroll and related expenses driven by a higher number of full-time research and development employees and dedicated consultants as we expanded our internal research and clinical development programs in 2019.</w:t>
      </w:r>
    </w:p>
    <w:p>
      <w:pPr>
        <w:spacing w:after="0" w:line="16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expect our research and development expenses to increase over the next several years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6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 (in thousands)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6000" w:type="dxa"/>
            <w:vAlign w:val="bottom"/>
          </w:tcPr>
          <w:p>
            <w:pPr>
              <w:spacing w:after="0"/>
              <w:rPr>
                <w:sz w:val="24"/>
                <w:szCs w:val="24"/>
                <w:color w:val="auto"/>
              </w:rPr>
            </w:pPr>
          </w:p>
        </w:tc>
        <w:tc>
          <w:tcPr>
            <w:tcW w:w="2320" w:type="dxa"/>
            <w:vAlign w:val="bottom"/>
            <w:gridSpan w:val="6"/>
          </w:tcPr>
          <w:p>
            <w:pPr>
              <w:ind w:left="40"/>
              <w:spacing w:after="0"/>
              <w:rPr>
                <w:sz w:val="20"/>
                <w:szCs w:val="20"/>
                <w:color w:val="auto"/>
              </w:rPr>
            </w:pPr>
            <w:r>
              <w:rPr>
                <w:rFonts w:ascii="Arial" w:cs="Arial" w:eastAsia="Arial" w:hAnsi="Arial"/>
                <w:sz w:val="18"/>
                <w:szCs w:val="18"/>
                <w:b w:val="1"/>
                <w:bCs w:val="1"/>
                <w:color w:val="auto"/>
                <w:w w:val="97"/>
              </w:rPr>
              <w:t>Years Ended December 31,</w:t>
            </w:r>
          </w:p>
        </w:tc>
        <w:tc>
          <w:tcPr>
            <w:tcW w:w="17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89"/>
              </w:rPr>
              <w:t>Increase (Decrease)</w:t>
            </w:r>
          </w:p>
        </w:tc>
      </w:tr>
      <w:tr>
        <w:trPr>
          <w:trHeight w:val="210"/>
        </w:trPr>
        <w:tc>
          <w:tcPr>
            <w:tcW w:w="60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$ 12,419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60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included in general and administrative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10,722</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2,159</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20 %</w:t>
            </w:r>
          </w:p>
        </w:tc>
      </w:tr>
    </w:tbl>
    <w:p>
      <w:pPr>
        <w:spacing w:after="0" w:line="20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General and administrative expense for the year ended December 31, 2019 increased by $12.4 million, or 44%, compared to the year ended December 31, 2018. The change was primarily attributable to a $3.8 million increase in payroll and related expenses, $2.2 million increase in stock-based compensation expenses driven by a higher number of full-time general and administrative employees, a $3.2 million increase in intellectual property legal costs and a $2.0 million increase in market research activities as we prepare for commercialization.</w:t>
      </w:r>
    </w:p>
    <w:p>
      <w:pPr>
        <w:spacing w:after="0" w:line="18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General and administrative expenses include personnel costs for our employees engaged in general and administrative activities, legal fees, and expenses related to marketing and commercial activities, audit and tax fees, consultants and professional services, and general corporate expenses. We anticipate general and administrative expenses will increase in 2020 as we continue to prepare for commercialization, complete our manufacturing facility and support an expected increase in total headcount.</w:t>
      </w:r>
    </w:p>
    <w:p>
      <w:pPr>
        <w:sectPr>
          <w:pgSz w:w="11900" w:h="16838" w:orient="portrait"/>
          <w:cols w:equalWidth="0" w:num="1">
            <w:col w:w="10060"/>
          </w:cols>
          <w:pgMar w:left="920" w:top="665" w:right="9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77"/>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Interest Income (in thousands)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320" w:type="dxa"/>
            <w:vAlign w:val="bottom"/>
            <w:gridSpan w:val="6"/>
          </w:tcPr>
          <w:p>
            <w:pPr>
              <w:ind w:left="40"/>
              <w:spacing w:after="0"/>
              <w:rPr>
                <w:sz w:val="20"/>
                <w:szCs w:val="20"/>
                <w:color w:val="auto"/>
              </w:rPr>
            </w:pPr>
            <w:r>
              <w:rPr>
                <w:rFonts w:ascii="Arial" w:cs="Arial" w:eastAsia="Arial" w:hAnsi="Arial"/>
                <w:sz w:val="18"/>
                <w:szCs w:val="18"/>
                <w:b w:val="1"/>
                <w:bCs w:val="1"/>
                <w:color w:val="auto"/>
                <w:w w:val="97"/>
              </w:rPr>
              <w:t>Years Ended December 31,</w:t>
            </w:r>
          </w:p>
        </w:tc>
        <w:tc>
          <w:tcPr>
            <w:tcW w:w="172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Increase (Decrease)</w:t>
            </w:r>
          </w:p>
        </w:tc>
      </w:tr>
      <w:tr>
        <w:trPr>
          <w:trHeight w:val="210"/>
        </w:trPr>
        <w:tc>
          <w:tcPr>
            <w:tcW w:w="1280" w:type="dxa"/>
            <w:vAlign w:val="bottom"/>
            <w:tcBorders>
              <w:bottom w:val="single" w:sz="8" w:color="CCEEFF"/>
            </w:tcBorders>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  4,638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Interest income results from our interest-bearing cash and investment balances. Net interest income increased by $4.7 million due to the higher interest income earned from full-year short-term investments for a full-year as compared to the prior year when we started purchasing short-term investments during the second half of 2018. As our cash, cash equivalents and short term investment balance decrease we anticipate interest income to decrease.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Net Loss (in thousands)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5960" w:type="dxa"/>
            <w:vAlign w:val="bottom"/>
          </w:tcPr>
          <w:p>
            <w:pPr>
              <w:spacing w:after="0"/>
              <w:rPr>
                <w:sz w:val="24"/>
                <w:szCs w:val="24"/>
                <w:color w:val="auto"/>
              </w:rPr>
            </w:pPr>
          </w:p>
        </w:tc>
        <w:tc>
          <w:tcPr>
            <w:tcW w:w="222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Years Ended December 31,</w:t>
            </w:r>
          </w:p>
        </w:tc>
        <w:tc>
          <w:tcPr>
            <w:tcW w:w="100" w:type="dxa"/>
            <w:vAlign w:val="bottom"/>
          </w:tcPr>
          <w:p>
            <w:pPr>
              <w:spacing w:after="0"/>
              <w:rPr>
                <w:sz w:val="24"/>
                <w:szCs w:val="24"/>
                <w:color w:val="auto"/>
              </w:rPr>
            </w:pPr>
          </w:p>
        </w:tc>
        <w:tc>
          <w:tcPr>
            <w:tcW w:w="17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(Increase) Decrease</w:t>
            </w:r>
          </w:p>
        </w:tc>
      </w:tr>
      <w:tr>
        <w:trPr>
          <w:trHeight w:val="210"/>
        </w:trPr>
        <w:tc>
          <w:tcPr>
            <w:tcW w:w="5960" w:type="dxa"/>
            <w:vAlign w:val="bottom"/>
          </w:tcPr>
          <w:p>
            <w:pPr>
              <w:spacing w:after="0"/>
              <w:rPr>
                <w:sz w:val="18"/>
                <w:szCs w:val="18"/>
                <w:color w:val="auto"/>
              </w:rPr>
            </w:pPr>
          </w:p>
        </w:tc>
        <w:tc>
          <w:tcPr>
            <w:tcW w:w="9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16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(197,556)</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(123,580)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(73,976)</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Net loss for the year ended December 31, 2019 increased by $74.0 million or 60%, compared to the year ended December 31, 2018. The increase in our net loss was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generate any revenues during the years ended December 31, 2018 and 2017,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b w:val="1"/>
                <w:bCs w:val="1"/>
                <w:i w:val="1"/>
                <w:iCs w:val="1"/>
                <w:color w:val="auto"/>
              </w:rPr>
              <w:t>Costs and expenses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000" w:type="dxa"/>
            <w:vAlign w:val="bottom"/>
          </w:tcPr>
          <w:p>
            <w:pPr>
              <w:spacing w:after="0"/>
              <w:rPr>
                <w:sz w:val="20"/>
                <w:szCs w:val="20"/>
                <w:color w:val="auto"/>
              </w:rPr>
            </w:pPr>
            <w:r>
              <w:rPr>
                <w:rFonts w:ascii="Arial" w:cs="Arial" w:eastAsia="Arial" w:hAnsi="Arial"/>
                <w:sz w:val="18"/>
                <w:szCs w:val="18"/>
                <w:b w:val="1"/>
                <w:bCs w:val="1"/>
                <w:color w:val="auto"/>
              </w:rPr>
              <w:t>Research and Development Expense (in thousands)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6000" w:type="dxa"/>
            <w:vAlign w:val="bottom"/>
          </w:tcPr>
          <w:p>
            <w:pPr>
              <w:spacing w:after="0"/>
              <w:rPr>
                <w:sz w:val="24"/>
                <w:szCs w:val="24"/>
                <w:color w:val="auto"/>
              </w:rPr>
            </w:pPr>
          </w:p>
        </w:tc>
        <w:tc>
          <w:tcPr>
            <w:tcW w:w="2320" w:type="dxa"/>
            <w:vAlign w:val="bottom"/>
            <w:gridSpan w:val="6"/>
          </w:tcPr>
          <w:p>
            <w:pPr>
              <w:ind w:left="40"/>
              <w:spacing w:after="0"/>
              <w:rPr>
                <w:sz w:val="20"/>
                <w:szCs w:val="20"/>
                <w:color w:val="auto"/>
              </w:rPr>
            </w:pPr>
            <w:r>
              <w:rPr>
                <w:rFonts w:ascii="Arial" w:cs="Arial" w:eastAsia="Arial" w:hAnsi="Arial"/>
                <w:sz w:val="18"/>
                <w:szCs w:val="18"/>
                <w:b w:val="1"/>
                <w:bCs w:val="1"/>
                <w:color w:val="auto"/>
                <w:w w:val="97"/>
              </w:rPr>
              <w:t>Years Ended December 31,</w:t>
            </w:r>
          </w:p>
        </w:tc>
        <w:tc>
          <w:tcPr>
            <w:tcW w:w="17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89"/>
              </w:rPr>
              <w:t>Increase (Decrease)</w:t>
            </w:r>
          </w:p>
        </w:tc>
      </w:tr>
      <w:tr>
        <w:trPr>
          <w:trHeight w:val="210"/>
        </w:trPr>
        <w:tc>
          <w:tcPr>
            <w:tcW w:w="60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$ 28,213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6000" w:type="dxa"/>
            <w:vAlign w:val="bottom"/>
          </w:tcPr>
          <w:p>
            <w:pPr>
              <w:spacing w:after="0" w:line="201" w:lineRule="exact"/>
              <w:rPr>
                <w:sz w:val="20"/>
                <w:szCs w:val="20"/>
                <w:color w:val="auto"/>
              </w:rPr>
            </w:pPr>
            <w:r>
              <w:rPr>
                <w:rFonts w:ascii="Arial" w:cs="Arial" w:eastAsia="Arial" w:hAnsi="Arial"/>
                <w:sz w:val="18"/>
                <w:szCs w:val="18"/>
                <w:color w:val="auto"/>
                <w:w w:val="99"/>
              </w:rPr>
              <w:t>Stock-based compensation expense included in research and development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9,305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5,270</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4,035</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77 %</w:t>
            </w:r>
          </w:p>
        </w:tc>
      </w:tr>
    </w:tbl>
    <w:p>
      <w:pPr>
        <w:spacing w:after="0" w:line="20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Research and development expense for the year ended December 31, 2018 increased by $28.2 million, or 39%, compared to the year ended December 31, 2017. The increase was primarily attributable to a $14.0 million increase in payroll and related expenses, including stock-based compensation expenses, due to a higher number of full-time employees and dedicated consultants as we expanded our internal research efforts and clinical development programs. Further, clinical trial costs increased by $12.9 million due to: higher patient enrollment and an increase in the number of clinical sites in the clinical trial of lifileucel for the treatment of melanoma, LN-145 for the treatment of cervical and head and neck cancers, and the initiation of clinical trials in 2018 for new indications. In addition, research and alliance costs increased by $0.8 million for clinical trials run by our alliance partners and new research initiatives. These increases were partially offset by a $0.5 million decrease in manufacturing costs due to a termination of a contract manufacturing organization early in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48" w:right="9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7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 Expense (in thousands)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320" w:type="dxa"/>
            <w:vAlign w:val="bottom"/>
            <w:gridSpan w:val="6"/>
          </w:tcPr>
          <w:p>
            <w:pPr>
              <w:ind w:left="40"/>
              <w:spacing w:after="0"/>
              <w:rPr>
                <w:sz w:val="20"/>
                <w:szCs w:val="20"/>
                <w:color w:val="auto"/>
              </w:rPr>
            </w:pPr>
            <w:r>
              <w:rPr>
                <w:rFonts w:ascii="Arial" w:cs="Arial" w:eastAsia="Arial" w:hAnsi="Arial"/>
                <w:sz w:val="18"/>
                <w:szCs w:val="18"/>
                <w:b w:val="1"/>
                <w:bCs w:val="1"/>
                <w:color w:val="auto"/>
                <w:w w:val="97"/>
              </w:rPr>
              <w:t>Years Ended December 31,</w:t>
            </w:r>
          </w:p>
        </w:tc>
        <w:tc>
          <w:tcPr>
            <w:tcW w:w="17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89"/>
              </w:rPr>
              <w:t>Increase (Decrease)</w:t>
            </w:r>
          </w:p>
        </w:tc>
      </w:tr>
      <w:tr>
        <w:trPr>
          <w:trHeight w:val="210"/>
        </w:trPr>
        <w:tc>
          <w:tcPr>
            <w:tcW w:w="128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7,168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600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 expense included in general and administrative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000" w:type="dxa"/>
            <w:vAlign w:val="bottom"/>
            <w:gridSpan w:val="2"/>
          </w:tcPr>
          <w:p>
            <w:pPr>
              <w:ind w:left="14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6,698</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4,024</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60 %</w:t>
            </w:r>
          </w:p>
        </w:tc>
      </w:tr>
    </w:tbl>
    <w:p>
      <w:pPr>
        <w:spacing w:after="0" w:line="202"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General and administrative expense for the year ended December 31, 2018 increased by $7.2 million, or 34%, compared to the year ended December 31, 2017. The change was primarily attributable to a $4.0 million increase in stock-based compensation expenses, $1.7 million increase in payroll and related expenses, driven by a higher number of full-time employees and higher stock prices during 2018, and a $0.2 million increase in professional service fees.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Interest Income (in thousands)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6000" w:type="dxa"/>
            <w:vAlign w:val="bottom"/>
          </w:tcPr>
          <w:p>
            <w:pPr>
              <w:spacing w:after="0"/>
              <w:rPr>
                <w:sz w:val="24"/>
                <w:szCs w:val="24"/>
                <w:color w:val="auto"/>
              </w:rPr>
            </w:pPr>
          </w:p>
        </w:tc>
        <w:tc>
          <w:tcPr>
            <w:tcW w:w="2320" w:type="dxa"/>
            <w:vAlign w:val="bottom"/>
            <w:gridSpan w:val="6"/>
          </w:tcPr>
          <w:p>
            <w:pPr>
              <w:ind w:left="40"/>
              <w:spacing w:after="0"/>
              <w:rPr>
                <w:sz w:val="20"/>
                <w:szCs w:val="20"/>
                <w:color w:val="auto"/>
              </w:rPr>
            </w:pPr>
            <w:r>
              <w:rPr>
                <w:rFonts w:ascii="Arial" w:cs="Arial" w:eastAsia="Arial" w:hAnsi="Arial"/>
                <w:sz w:val="18"/>
                <w:szCs w:val="18"/>
                <w:b w:val="1"/>
                <w:bCs w:val="1"/>
                <w:color w:val="auto"/>
                <w:w w:val="97"/>
              </w:rPr>
              <w:t>Years Ended December 31,</w:t>
            </w:r>
          </w:p>
        </w:tc>
        <w:tc>
          <w:tcPr>
            <w:tcW w:w="17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89"/>
              </w:rPr>
              <w:t>Increase (Decrease)</w:t>
            </w:r>
          </w:p>
        </w:tc>
      </w:tr>
      <w:tr>
        <w:trPr>
          <w:trHeight w:val="210"/>
        </w:trPr>
        <w:tc>
          <w:tcPr>
            <w:tcW w:w="60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3,685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Interest income results from our interest-bearing cash and investment balances. Net interest income increased by $3.7 million due to the higher average cash balances as a result of the proceeds received from our equity financings in January 2018 and October 2018, and higher interest rates in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Net Loss (in thousands)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5960" w:type="dxa"/>
            <w:vAlign w:val="bottom"/>
          </w:tcPr>
          <w:p>
            <w:pPr>
              <w:spacing w:after="0"/>
              <w:rPr>
                <w:sz w:val="24"/>
                <w:szCs w:val="24"/>
                <w:color w:val="auto"/>
              </w:rPr>
            </w:pPr>
          </w:p>
        </w:tc>
        <w:tc>
          <w:tcPr>
            <w:tcW w:w="2220" w:type="dxa"/>
            <w:vAlign w:val="bottom"/>
            <w:gridSpan w:val="5"/>
          </w:tcPr>
          <w:p>
            <w:pPr>
              <w:ind w:left="40"/>
              <w:spacing w:after="0"/>
              <w:rPr>
                <w:sz w:val="20"/>
                <w:szCs w:val="20"/>
                <w:color w:val="auto"/>
              </w:rPr>
            </w:pPr>
            <w:r>
              <w:rPr>
                <w:rFonts w:ascii="Arial" w:cs="Arial" w:eastAsia="Arial" w:hAnsi="Arial"/>
                <w:sz w:val="18"/>
                <w:szCs w:val="18"/>
                <w:b w:val="1"/>
                <w:bCs w:val="1"/>
                <w:color w:val="auto"/>
                <w:w w:val="93"/>
              </w:rPr>
              <w:t>Years Ended December 31,</w:t>
            </w:r>
          </w:p>
        </w:tc>
        <w:tc>
          <w:tcPr>
            <w:tcW w:w="100" w:type="dxa"/>
            <w:vAlign w:val="bottom"/>
          </w:tcPr>
          <w:p>
            <w:pPr>
              <w:spacing w:after="0"/>
              <w:rPr>
                <w:sz w:val="24"/>
                <w:szCs w:val="24"/>
                <w:color w:val="auto"/>
              </w:rPr>
            </w:pPr>
          </w:p>
        </w:tc>
        <w:tc>
          <w:tcPr>
            <w:tcW w:w="17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0"/>
              </w:rPr>
              <w:t>(Increase) Decrease</w:t>
            </w:r>
          </w:p>
        </w:tc>
      </w:tr>
      <w:tr>
        <w:trPr>
          <w:trHeight w:val="210"/>
        </w:trPr>
        <w:tc>
          <w:tcPr>
            <w:tcW w:w="59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(123,580)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(31,516)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Net loss for the year ended December 31, 2018 increased by $31.5 million or 34%, compared to the year ended December 31, 2017. The increase in our net loss was due to the continued expansion of our research and development activities, increased clinical trials and manufacturing activities, and the overall growth of our corporate infrastructure.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incurred losses and generated negative cash flows from operations since inception. We expect to continue to incur significant losses in 2020 and may incur significant losses and negative cash flows from operations for the foreseeable future. We have funded our operations from various public and private offerings of our equity securities (both common stock and preferred stock), from option and warrant exercises, and from interest income.</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Corporate Capitalization</w:t>
      </w:r>
      <w:r>
        <w:rPr>
          <w:rFonts w:ascii="Arial" w:cs="Arial" w:eastAsia="Arial" w:hAnsi="Arial"/>
          <w:sz w:val="18"/>
          <w:szCs w:val="18"/>
          <w:color w:val="auto"/>
        </w:rPr>
        <w:t>. As of December 31, 2019, we had outstanding 126,411,808 shares of our $0.000041666 par value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194 shares of our $0.001 par value Series A Convertible Preferred Stock, and 3,581,119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3,581,119 shares of our common stock. The shares of Series A Convertible Preferred Stock and Series B Convertible Preferred Stock do not have voting rights or accrue dividends.</w:t>
      </w:r>
    </w:p>
    <w:p>
      <w:pPr>
        <w:spacing w:after="0" w:line="19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ectPr>
          <w:pgSz w:w="11900" w:h="16838" w:orient="portrait"/>
          <w:cols w:equalWidth="0" w:num="1">
            <w:col w:w="10060"/>
          </w:cols>
          <w:pgMar w:left="920" w:top="648" w:right="9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48" w:right="91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 The 2018 Shelf Registration Statement is no longer available for future offerings.</w:t>
      </w:r>
    </w:p>
    <w:p>
      <w:pPr>
        <w:spacing w:after="0" w:line="179"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On September 17, 2019, we filed a shelf registration statement with the SEC for the issuance of common stock, preferred stock, warrants, rights, debt securities and units up to an aggregate amount of $400 million, which we refer to as the 2019 Shelf Registration Statement. The 2019 Shelf Registration Statement was declared effective on September 24, 2019. We have not yet sold any securities pursuant to the 2019 Shelf Registration Statement.</w:t>
      </w:r>
    </w:p>
    <w:p>
      <w:pPr>
        <w:spacing w:after="0" w:line="187"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 the future, we may periodically offer one or more of these securities in amounts, prices and terms to be announced when and if the securities are offered. If any of the securities covered by the 2019 Shelf Registration Statement are offered for sale, a prospectus supplement will be prepared and filed with the SEC containing specific information about the terms of such offering at that time.</w:t>
      </w:r>
    </w:p>
    <w:p>
      <w:pPr>
        <w:spacing w:after="0" w:line="14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2020 from the sale or licensing of any products. We have incurred a net loss of $197.6 million for the year ended December 31, 2019 and used $158.9 million of cash in our operating activities for the year ended December 31, 2019. As of December 31, 2019, we had $14.0 million of cash and cash equivalents, $293.1 million of short-term investments, $5.5 million of restricted cash, $299.0 million of stockholders’ equity and had working capital of $277.4 million.</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expect to further increase our research and development activities, which will increase the amount of cash we will use during 2020 and beyond. Specifically, we expect increased spending on clinical trials, research and development activities, higher payroll expenses as we increase our professional and scientific staff and continue our expansion of manufacturing activities. Based on the funds we have available as of the date of the filing of this Annual Report on Form 10-K, we believe that we have sufficient capital to fund our anticipated operating expenses and capital expenditure for at least 12 months from the date of filing this report. We have latitude as to the timing and amount of expenditures for our commercial-scale production facility under construction in Philadelphia, Pennsylvania.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320"/>
              <w:spacing w:after="0"/>
              <w:rPr>
                <w:sz w:val="20"/>
                <w:szCs w:val="20"/>
                <w:color w:val="auto"/>
              </w:rPr>
            </w:pPr>
            <w:r>
              <w:rPr>
                <w:rFonts w:ascii="Arial" w:cs="Arial" w:eastAsia="Arial" w:hAnsi="Arial"/>
                <w:sz w:val="18"/>
                <w:szCs w:val="18"/>
                <w:i w:val="1"/>
                <w:iCs w:val="1"/>
                <w:color w:val="auto"/>
              </w:rPr>
              <w:t>Cash Flows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6840" w:type="dxa"/>
            <w:vAlign w:val="bottom"/>
          </w:tcPr>
          <w:p>
            <w:pPr>
              <w:ind w:left="320"/>
              <w:spacing w:after="0"/>
              <w:rPr>
                <w:sz w:val="20"/>
                <w:szCs w:val="20"/>
                <w:color w:val="auto"/>
              </w:rPr>
            </w:pPr>
            <w:r>
              <w:rPr>
                <w:rFonts w:ascii="Arial" w:cs="Arial" w:eastAsia="Arial" w:hAnsi="Arial"/>
                <w:sz w:val="18"/>
                <w:szCs w:val="18"/>
                <w:color w:val="auto"/>
              </w:rPr>
              <w:t>Cash Flows from Operating, Investing and Financing Activities (in thousands):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6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right"/>
              <w:ind w:right="490"/>
              <w:spacing w:after="0"/>
              <w:rPr>
                <w:sz w:val="20"/>
                <w:szCs w:val="20"/>
                <w:color w:val="auto"/>
              </w:rPr>
            </w:pPr>
            <w:r>
              <w:rPr>
                <w:rFonts w:ascii="Arial" w:cs="Arial" w:eastAsia="Arial" w:hAnsi="Arial"/>
                <w:sz w:val="18"/>
                <w:szCs w:val="18"/>
                <w:b w:val="1"/>
                <w:bCs w:val="1"/>
                <w:color w:val="auto"/>
              </w:rPr>
              <w:t>Years Ended December 31,</w:t>
            </w:r>
          </w:p>
        </w:tc>
      </w:tr>
      <w:tr>
        <w:trPr>
          <w:trHeight w:val="210"/>
        </w:trPr>
        <w:tc>
          <w:tcPr>
            <w:tcW w:w="6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(158,889)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(101,249)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(78,709)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(386,279)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58,677</w:t>
            </w: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58,688</w:t>
            </w: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38,656</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Net cash used in operating activities of $158.9 million for the year ended December 31, 2019, resulted primarily from our net loss of $197.6 million, adjusted by a noncash charge of $3.4 million for accretion of discounts on short-term investments, $24.3 million for stock-based compensation expense, $7.0 million for noncash lease expense, and $1.2 million in noncash depreciation expenses. Further, it was adjusted for a $17.1 million increase in accounts payable and accrued liabilities primarily due to increases in activities by our company, a $6.1 million increase in right-of-use assets due to adoption of the new lease accounting standard, and a $1.0 million decrease in prepaid expenses and other assets due to timing of certain upfront payments associated with our research agreements.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Net cash used in operating activities of $101.2 million for the year ended December 31, 2018, resulted primarily from our net loss of $123.6 million, adjusted by a noncash charge of $20.0 million for stock-based compensation expense, $1.0 million in noncash depreciation expenses, and $1.3 million in noncash accretion of premium on short-term investments. Further, it was adjusted for a $4.7 million increase in accounts payable and accrued liabilities primarily due to increases in activities by our company and a $2.0 million increase in prepaid expenses and other assets due to timing of certain upfront payments associated with our research agreements.</w:t>
      </w:r>
    </w:p>
    <w:p>
      <w:pPr>
        <w:spacing w:after="0" w:line="15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Net cash used in operating activities of $78.7 million for the year ended December 31, 2017, resulted primarily from our net loss of $92.1 million, adjusted by a noncash charge of $12.0 million for stock-based compensation expense, $1.0 million in noncash depreciation expenses, a $4.9 million increase in accounts payable and accrued liabilities primarily due to increases in activities by our company, and a $4.5 million increase in prepaid expenses and other assets due to timing of certain upfront payments associated with our research agreements.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Net cash provided by investing activities of $90.0 million for the year ended December 31, 2019, consisted primarily of $514.6 million of proceeds from the maturities of short-term investments, which was partially offset by $417.7 million used for the purchases of short-term investments and $6.9 million used for the purchase of property and equipment.</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Net cash provided by investing activities of $386.3 million for the year ended December 31, 2018, consisted primarily of $426.1 million used for the purchase of short-term investments, $1.2 million used for the purchase of property and equipment, which was partially offset by $41.0 million of proceeds from the maturities of short-term investments</w:t>
      </w:r>
    </w:p>
    <w:p>
      <w:pPr>
        <w:spacing w:after="0" w:line="18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Net cash provided by investing activities of $58.7 million for the year ended December 31, 2017, consisted primarily of $59.7 million of proceeds from the maturities of short-term investments, offset by $1.0 million used for the purchase of property and equipment.</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Net cash provided by financing activities of $6.1 million for the year ended December 31, 2019, consisted primarily of $6.4 million of proceeds from the exercise of stock options, partially offset by $0.3 million in connection with tax payments made by our company in connection with vested restricted stock.</w:t>
      </w:r>
    </w:p>
    <w:p>
      <w:pPr>
        <w:spacing w:after="0" w:line="18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Net cash provided by financing activities of $424.3 million for the year ended December 31, 2018, consisted primarily of net proceeds of $162.0 million from the issuance of shares in January 2018 public offering at $11.50 per share after deducting expenses of the offering and $236.7 million from the issuance of shares in October 2018 public offering at $9.97 per share after deducting expenses of the offering, $15.8 million of proceeds from the exercise of warrants, and $10.0 million from the exercise of options.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Net cash provided by financing activities of $58.7 million for the year ended December 31, 2017, consisted primarily of net proceeds of $53.7 million from the issuance of shares in a private offering at $6.50 per share after deducting expenses of the offering, $5.6 million from the exercise of options, $0.7 million of proceeds exercise of warrants, offset by $1.3 million in connection with tax payments made by our company in connection with vested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Recent Accounting Standards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See Note 2 of the financial statements for a discussion of our significant accounting policies, including the discussion of recently issued and adopted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life-cycle of the pharmaceutical product (e.g., approval of the product for marketing by a regulatory agency). If required by the arrangement, we may have to make royalty payments based upon a percentage of the sales of the pharmaceutical product in the</w:t>
      </w:r>
    </w:p>
    <w:p>
      <w:pPr>
        <w:sectPr>
          <w:pgSz w:w="11900" w:h="16838" w:orient="portrait"/>
          <w:cols w:equalWidth="0" w:num="1">
            <w:col w:w="10060"/>
          </w:cols>
          <w:pgMar w:left="920" w:top="665" w:right="9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event that regulatory approval for marketing is obtained. Because of the contingent nature of these milestone payments, they are not included in the table of contractual obligations.</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These arrangements may be material individually, and in the event that milestones for multiple products covered by these arrangements were reached in the same period, the aggregate charge to expense could be material to the results of operations in any one period. In addition, these arrangements often give us the discretion to unilaterally terminate development of the product, which would allow us to avoid making the contingent payments.</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current non-cancelable contractual obligations as of December 31, 2019 that will require future cash payments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2024</w:t>
            </w:r>
          </w:p>
        </w:tc>
        <w:tc>
          <w:tcPr>
            <w:tcW w:w="18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3,913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3,992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4,072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26,198</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CMO contractual obligations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18,159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101,205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42,109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20,057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Operating lease obligations consist of obligations under non-cancelable operating leases for our facilities in San Carlos, CA, Philadelphia, PA, Tampa, FL, and New York, NY.</w:t>
      </w:r>
    </w:p>
    <w:p>
      <w:pPr>
        <w:spacing w:after="0" w:line="170"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Contract Manufacturing Organization, or CMO, contractual obligations consist of embedded lease obligations for the manufacturing facilities and minimum fixed commitment fees included in our manufacturing contracts, such as personnel, general support fee, and minimum production or material fees. See Note 10 in the notes to the consolidated financial statements.</w:t>
      </w:r>
    </w:p>
    <w:p>
      <w:pPr>
        <w:spacing w:after="0" w:line="166"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Purchase obligations include purchase commitments primarily relating to our contract manufacturing with vendors for clinical materials with minimum purchase requirements. Purchase orders for goods and services that are cancellable upon notice and without significant penalties are not included in the amounts above.</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contractual obligations table above excludes approximately $75 million to $85 million over three years for equipment and construction costs for our commercial-scale production facility under construction in Philadelphia, PA, for which we have latitude as to the timing and amount of expenditure.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2019, we had no obligations that would require disclosure as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At December 31, 2019, we had $293.1 million invested in short-term marketable securities with a maturity date of less than one year. As such we believe that we are not exposed to any material market risk. If interest rates had varied by 1% in the year ended December 31, 2019, the fair value of our investment portfolio would increase or decrease by approximately $1.1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Inflation has not had a material effect on our business, financial condition or results of operations during the years ended December 31, 2019, 2018, or 2017.</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Financial Statements are referred to in Item 15, listed in the Index to Financial Statements as a part of this Annual Report on Form 10-K, and are incorporated herein by this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16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As of the end of the period covered by this Annual Report on Form 10-K,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225"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2019 based on the framework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 or COSO. Based on that evaluation, our management concluded that our internal control over financial reporting was effective as of December 31, 2019.</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independent registered public accounting firm, Marcum LLP, has issued an attestation report on our internal control over financial reporting. The report on the audit of internal control over financial reporting is included in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420" w:firstLine="324"/>
        <w:spacing w:after="0" w:line="279" w:lineRule="auto"/>
        <w:rPr>
          <w:sz w:val="20"/>
          <w:szCs w:val="20"/>
          <w:color w:val="auto"/>
        </w:rPr>
      </w:pPr>
      <w:r>
        <w:rPr>
          <w:rFonts w:ascii="Arial" w:cs="Arial" w:eastAsia="Arial" w:hAnsi="Arial"/>
          <w:sz w:val="17"/>
          <w:szCs w:val="17"/>
          <w:color w:val="auto"/>
        </w:rPr>
        <w:t>Certain information required by Part III is omitted from this Annual Report on Form 10-K because we will file a definitive Proxy Statement for the Annual Meeting of Stockholders pursuant to Regulation 14A of the Securities Exchange Act of 1934 (the Proxy Statement), not later than 120 days after the end of the fiscal year covered by this Annual Report on Form 10-K, and the applicable information included in the Proxy Statement is incorporated herein by reference.</w:t>
      </w:r>
    </w:p>
    <w:p>
      <w:pPr>
        <w:spacing w:after="0" w:line="16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Information required by this Item 10 will be presented in the Proxy Statement “Election of Directors,” “Management Executive Officers,” “Section 16(a) Beneficial Ownership Reporting Compliance” and “Board of Directors and Corporate Governance,” and is incorporated herein by reference.</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“Executive Compensation,” “Executive Compensation—Compensation Discussion and Analysis” and “Directors’ Compensation” in the Proxy Statement.</w:t>
      </w:r>
    </w:p>
    <w:p>
      <w:pPr>
        <w:spacing w:after="0" w:line="1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the Proxy Statement.</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Accountant’s Fees and Services</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Statements Schedules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Company’s consolidated financial statements and related notes thereto are listed and included in this Annual Report on Form 10-K beginning on page F-1. The following exhibits are filed with, or are incorporated by reference into, this Annual Report on Form 10-K.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60" w:type="dxa"/>
            <w:vAlign w:val="bottom"/>
            <w:gridSpan w:val="35"/>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35"/>
          </w:tcPr>
          <w:p>
            <w:pPr>
              <w:ind w:left="800"/>
              <w:spacing w:after="0"/>
              <w:rPr>
                <w:sz w:val="20"/>
                <w:szCs w:val="20"/>
                <w:color w:val="auto"/>
              </w:rPr>
            </w:pPr>
            <w:r>
              <w:rPr>
                <w:rFonts w:ascii="Arial" w:cs="Arial" w:eastAsia="Arial" w:hAnsi="Arial"/>
                <w:sz w:val="18"/>
                <w:szCs w:val="18"/>
                <w:color w:val="auto"/>
              </w:rPr>
              <w:t>Description</w:t>
            </w: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700" w:type="dxa"/>
            <w:vAlign w:val="bottom"/>
            <w:tcBorders>
              <w:top w:val="single" w:sz="8" w:color="auto"/>
              <w:bottom w:val="single" w:sz="8" w:color="0000EE"/>
            </w:tcBorders>
            <w:gridSpan w:val="29"/>
          </w:tcPr>
          <w:p>
            <w:pPr>
              <w:spacing w:after="0" w:line="170"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Plan of Conversion (incorporated herein by reference to Exhibit 2.1 to the Registrant’s Current Report on Form 8-K filed</w:t>
              </w:r>
            </w:hyperlink>
          </w:p>
        </w:tc>
        <w:tc>
          <w:tcPr>
            <w:tcW w:w="340" w:type="dxa"/>
            <w:vAlign w:val="bottom"/>
            <w:tcBorders>
              <w:top w:val="single" w:sz="8" w:color="auto"/>
            </w:tcBorders>
            <w:gridSpan w:val="11"/>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with the Commission on June 2, 2017).</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8980" w:type="dxa"/>
            <w:vAlign w:val="bottom"/>
            <w:tcBorders>
              <w:bottom w:val="single" w:sz="8" w:color="0000EE"/>
            </w:tcBorders>
            <w:gridSpan w:val="38"/>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Articles of Conversion (incorporated herein by reference to Exhibit 3.1 to the Registrant’s Current Report on Form 8-K filed</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with the Commission on June 2, 2017).</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87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Certificate of Conversion (incorporated herein by reference to Exhibit 3.2 to the Registrant’s Current Report on Form 8-K</w:t>
              </w:r>
            </w:hyperlink>
          </w:p>
        </w:tc>
        <w:tc>
          <w:tcPr>
            <w:tcW w:w="28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filed with the Commission on June 2, 2017).</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Certificate of Incorporation (incorporated herein by reference to Exhibit 3.3 to the Registrant’s Current Report on Form 8-K</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filed with the Commission on June 2, 2017).</w:t>
              </w:r>
            </w:hyperlink>
          </w:p>
        </w:tc>
        <w:tc>
          <w:tcPr>
            <w:tcW w:w="140" w:type="dxa"/>
            <w:vAlign w:val="bottom"/>
            <w:gridSpan w:val="6"/>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7"/>
                <w:szCs w:val="17"/>
                <w:color w:val="auto"/>
              </w:rPr>
            </w:pPr>
          </w:p>
        </w:tc>
        <w:tc>
          <w:tcPr>
            <w:tcW w:w="86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Certificate of Designations of Rights, Preferences and Privileges of Series A Convertible Preferred Stock (incorporated</w:t>
              </w:r>
            </w:hyperlink>
          </w:p>
        </w:tc>
        <w:tc>
          <w:tcPr>
            <w:tcW w:w="46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herein by reference to Exhibit 3.4 to the Registrant’s Post-Effective Amendment No. 1 to the Registration Statement on</w:t>
              </w:r>
            </w:hyperlink>
          </w:p>
        </w:tc>
        <w:tc>
          <w:tcPr>
            <w:tcW w:w="460" w:type="dxa"/>
            <w:vAlign w:val="bottom"/>
            <w:gridSpan w:val="1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Form S-3 (file no. 333-214073) filed with the Commission on July 31, 2017).</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7"/>
                <w:szCs w:val="17"/>
                <w:color w:val="auto"/>
              </w:rPr>
            </w:pPr>
          </w:p>
        </w:tc>
        <w:tc>
          <w:tcPr>
            <w:tcW w:w="84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Certificate of Designations of Rights, Preferences and Privileges of Series B Preferred Stock (incorporated herein by</w:t>
              </w:r>
            </w:hyperlink>
          </w:p>
        </w:tc>
        <w:tc>
          <w:tcPr>
            <w:tcW w:w="660" w:type="dxa"/>
            <w:vAlign w:val="bottom"/>
            <w:gridSpan w:val="1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6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reference to Exhibit 3.5 to the Registrant’s Post-Effective Amendment No. 1 to the Registration Statement on Form S-3 (file</w:t>
              </w:r>
            </w:hyperlink>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no. 333-214073 incorporated by reference into file no. 333-212373) filed with the Commission on July 31, 2017).</w:t>
              </w:r>
            </w:hyperlink>
          </w:p>
        </w:tc>
        <w:tc>
          <w:tcPr>
            <w:tcW w:w="860" w:type="dxa"/>
            <w:vAlign w:val="bottom"/>
            <w:gridSpan w:val="22"/>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8940" w:type="dxa"/>
            <w:vAlign w:val="bottom"/>
            <w:tcBorders>
              <w:bottom w:val="single" w:sz="8" w:color="0000EE"/>
            </w:tcBorders>
            <w:gridSpan w:val="36"/>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Certificate of Amendment of Certificate of Incorporation (incorporated herein by reference to Exhibit 3.1 to the Registrant’s</w:t>
              </w:r>
            </w:hyperlink>
          </w:p>
        </w:tc>
        <w:tc>
          <w:tcPr>
            <w:tcW w:w="12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Current Report on Form 8-K filed with the Commission on June 27, 2017).</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85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Bylaws (incorporated herein by reference to Exhibit 3.4 to the Registrant’s Current Report on Form 8-K filed with the</w:t>
              </w:r>
            </w:hyperlink>
          </w:p>
        </w:tc>
        <w:tc>
          <w:tcPr>
            <w:tcW w:w="560" w:type="dxa"/>
            <w:vAlign w:val="bottom"/>
            <w:gridSpan w:val="1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Commission on June 2, 2017).</w:t>
              </w:r>
            </w:hyperlink>
          </w:p>
        </w:tc>
        <w:tc>
          <w:tcPr>
            <w:tcW w:w="6860" w:type="dxa"/>
            <w:vAlign w:val="bottom"/>
            <w:gridSpan w:val="39"/>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88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Amendment to the Bylaws (incorporated herein by reference to Exhibit 3.2 to the Registrant’s Current Report on Form 8-K</w:t>
              </w:r>
            </w:hyperlink>
          </w:p>
        </w:tc>
        <w:tc>
          <w:tcPr>
            <w:tcW w:w="18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filed with the Commission on June 27, 2017).</w:t>
              </w:r>
            </w:hyperlink>
          </w:p>
        </w:tc>
        <w:tc>
          <w:tcPr>
            <w:tcW w:w="5760" w:type="dxa"/>
            <w:vAlign w:val="bottom"/>
            <w:gridSpan w:val="35"/>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89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Form of Warrant (incorporated herein by reference to Exhibit 4.1 to the Registrant’s Current Report on Form 8-K filed with</w:t>
              </w:r>
            </w:hyperlink>
          </w:p>
        </w:tc>
        <w:tc>
          <w:tcPr>
            <w:tcW w:w="16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the Commission on October 31, 2013).</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83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Specimen of Stock Certificate (incorporated herein by reference to Exhibit 4.2 to the Registrant’s Annual Report on</w:t>
              </w:r>
            </w:hyperlink>
          </w:p>
        </w:tc>
        <w:tc>
          <w:tcPr>
            <w:tcW w:w="720" w:type="dxa"/>
            <w:vAlign w:val="bottom"/>
            <w:gridSpan w:val="2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Form 10-K filed with the Commission on March 12, 2018).</w:t>
              </w:r>
            </w:hyperlink>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42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Description of Securities (filed herewith).</w:t>
              </w:r>
            </w:hyperlink>
          </w:p>
        </w:tc>
        <w:tc>
          <w:tcPr>
            <w:tcW w:w="4780" w:type="dxa"/>
            <w:vAlign w:val="bottom"/>
            <w:gridSpan w:val="34"/>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900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Genesis Biopharma, Inc. 2010 Equity Compensation Plan (incorporated herein by reference to Exhibit 4.1 to the Registrant’s</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Annual Report on Form 10-K filed with the Commission on March 31, 2010).#</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906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Form of Stock Option Agreement under the Genesis Biopharma Inc. 2010 Equity Compensation Plan (incorporated herein by</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reference to Exhibit 10.5 to the Registrant’s Annual Report on Form 10-K filed with the Commission on March 31, 2010).#</w:t>
              </w:r>
            </w:hyperlink>
          </w:p>
        </w:tc>
        <w:tc>
          <w:tcPr>
            <w:tcW w:w="160" w:type="dxa"/>
            <w:vAlign w:val="bottom"/>
            <w:gridSpan w:val="7"/>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Genesis Biopharma, Inc. 2011 Equity Incentive Plan (incorporated herein by reference to Exhibit 10.3 to the Registrant’s</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Current Report on Form 8-K filed with the Commission on October 20, 2011).#</w:t>
              </w:r>
            </w:hyperlink>
          </w:p>
        </w:tc>
        <w:tc>
          <w:tcPr>
            <w:tcW w:w="360" w:type="dxa"/>
            <w:vAlign w:val="bottom"/>
            <w:gridSpan w:val="12"/>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77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Form of Incentive Stock Option Agreement under the Genesis Biopharma Inc. 2011 Equity Incentive Plan.#</w:t>
              </w:r>
            </w:hyperlink>
          </w:p>
        </w:tc>
        <w:tc>
          <w:tcPr>
            <w:tcW w:w="1280" w:type="dxa"/>
            <w:vAlign w:val="bottom"/>
            <w:gridSpan w:val="25"/>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81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Form of Non-Qualified Stock Option Agreement under the Genesis Biopharma Inc. 2011 Equity Incentive Plan.#</w:t>
              </w:r>
            </w:hyperlink>
          </w:p>
        </w:tc>
        <w:tc>
          <w:tcPr>
            <w:tcW w:w="900" w:type="dxa"/>
            <w:vAlign w:val="bottom"/>
            <w:gridSpan w:val="23"/>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10.6</w:t>
            </w:r>
          </w:p>
        </w:tc>
        <w:tc>
          <w:tcPr>
            <w:tcW w:w="200" w:type="dxa"/>
            <w:vAlign w:val="bottom"/>
          </w:tcPr>
          <w:p>
            <w:pPr>
              <w:spacing w:after="0"/>
              <w:rPr>
                <w:sz w:val="17"/>
                <w:szCs w:val="17"/>
                <w:color w:val="auto"/>
              </w:rPr>
            </w:pPr>
          </w:p>
        </w:tc>
        <w:tc>
          <w:tcPr>
            <w:tcW w:w="88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Lion Biotechnologies, Inc. 2014 Equity Incentive Plan, as amended (incorporated herein by reference to Appendix A to the</w:t>
              </w:r>
            </w:hyperlink>
          </w:p>
        </w:tc>
        <w:tc>
          <w:tcPr>
            <w:tcW w:w="18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Registrant’s Definitive Proxy Statement on Schedule 14A filed with the Commission on July 7, 2016).#</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7"/>
                <w:szCs w:val="17"/>
                <w:color w:val="auto"/>
              </w:rPr>
            </w:pPr>
          </w:p>
        </w:tc>
        <w:tc>
          <w:tcPr>
            <w:tcW w:w="79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49">
              <w:r>
                <w:rPr>
                  <w:rFonts w:ascii="Arial" w:cs="Arial" w:eastAsia="Arial" w:hAnsi="Arial"/>
                  <w:sz w:val="18"/>
                  <w:szCs w:val="18"/>
                  <w:color w:val="0000EE"/>
                  <w:w w:val="92"/>
                </w:rPr>
                <w:t>Form of Incentive Stock Option Agreement under the Lion Biotechnologies, Inc. 2014 Equity Incentive Plan.#</w:t>
              </w:r>
            </w:hyperlink>
          </w:p>
        </w:tc>
        <w:tc>
          <w:tcPr>
            <w:tcW w:w="1080" w:type="dxa"/>
            <w:vAlign w:val="bottom"/>
            <w:gridSpan w:val="24"/>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83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Form of Non-Qualified Stock Option Agreement under the Lion Biotechnologies, Inc. 2014 Equity Incentive Plan.#</w:t>
              </w:r>
            </w:hyperlink>
          </w:p>
        </w:tc>
        <w:tc>
          <w:tcPr>
            <w:tcW w:w="700" w:type="dxa"/>
            <w:vAlign w:val="bottom"/>
            <w:gridSpan w:val="20"/>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7"/>
                <w:szCs w:val="17"/>
                <w:color w:val="auto"/>
              </w:rPr>
            </w:pPr>
          </w:p>
        </w:tc>
        <w:tc>
          <w:tcPr>
            <w:tcW w:w="906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Iovance Biotherapeutics, Inc. 2018 Equity Incentive Plan (incorporated herein by reference to Appendix A to the Registrant’s</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Definitive Proxy Statement on Schedule 14A filed with the Commission on April 25, 2018).#</w:t>
              </w:r>
            </w:hyperlink>
          </w:p>
        </w:tc>
        <w:tc>
          <w:tcPr>
            <w:tcW w:w="2320" w:type="dxa"/>
            <w:vAlign w:val="bottom"/>
            <w:gridSpan w:val="27"/>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10.10</w:t>
            </w: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Form of Incentive Stock Option Agreement under the Iovance Biotherapeutics, Inc. 2018 Equity Incentive Plan.#</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40" w:type="dxa"/>
            <w:vAlign w:val="bottom"/>
            <w:gridSpan w:val="9"/>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10.11</w:t>
            </w: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w w:val="97"/>
              </w:rPr>
            </w:pPr>
            <w:hyperlink w:anchor="page167">
              <w:r>
                <w:rPr>
                  <w:rFonts w:ascii="Arial" w:cs="Arial" w:eastAsia="Arial" w:hAnsi="Arial"/>
                  <w:sz w:val="18"/>
                  <w:szCs w:val="18"/>
                  <w:color w:val="0000EE"/>
                  <w:w w:val="97"/>
                </w:rPr>
                <w:t>Form of Non-Qualified Stock Option Agreement under the Iovance Biotherapeutics, Inc. 2018 Equity Incentive Plan.#</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60" w:type="dxa"/>
            <w:vAlign w:val="bottom"/>
            <w:gridSpan w:val="1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10.12</w:t>
            </w:r>
          </w:p>
        </w:tc>
        <w:tc>
          <w:tcPr>
            <w:tcW w:w="200" w:type="dxa"/>
            <w:vAlign w:val="bottom"/>
          </w:tcPr>
          <w:p>
            <w:pPr>
              <w:spacing w:after="0"/>
              <w:rPr>
                <w:sz w:val="17"/>
                <w:szCs w:val="17"/>
                <w:color w:val="auto"/>
              </w:rPr>
            </w:pPr>
          </w:p>
        </w:tc>
        <w:tc>
          <w:tcPr>
            <w:tcW w:w="904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Patent License Agreement by and between Genesis Biopharma, Inc. and the National Institutes of Health effective October 5,</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2011 (incorporated herein by reference to Exhibit 10.1 to the Registrant’s Current Report on Form 8-K/A filed with the</w:t>
              </w:r>
            </w:hyperlink>
          </w:p>
        </w:tc>
        <w:tc>
          <w:tcPr>
            <w:tcW w:w="48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Commission on December 13, 2011).*</w:t>
              </w:r>
            </w:hyperlink>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10.13</w:t>
            </w:r>
          </w:p>
        </w:tc>
        <w:tc>
          <w:tcPr>
            <w:tcW w:w="200" w:type="dxa"/>
            <w:vAlign w:val="bottom"/>
          </w:tcPr>
          <w:p>
            <w:pPr>
              <w:spacing w:after="0"/>
              <w:rPr>
                <w:sz w:val="17"/>
                <w:szCs w:val="17"/>
                <w:color w:val="auto"/>
              </w:rPr>
            </w:pPr>
          </w:p>
        </w:tc>
        <w:tc>
          <w:tcPr>
            <w:tcW w:w="87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Cooperative Research and Development Agreement for Intramural-PHS Clinical Research, dated August 5, 2011, by and</w:t>
              </w:r>
            </w:hyperlink>
          </w:p>
        </w:tc>
        <w:tc>
          <w:tcPr>
            <w:tcW w:w="340" w:type="dxa"/>
            <w:vAlign w:val="bottom"/>
            <w:gridSpan w:val="1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between the U.S. Department of Health and Human Services, as represented by the National Cancer Institute, and Genesis</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0" w:type="dxa"/>
            <w:vAlign w:val="bottom"/>
            <w:tcBorders>
              <w:top w:val="single" w:sz="8" w:color="0000EE"/>
            </w:tcBorders>
            <w:gridSpan w:val="32"/>
          </w:tcPr>
          <w:p>
            <w:pPr>
              <w:spacing w:after="0" w:line="196" w:lineRule="exact"/>
              <w:rPr>
                <w:rFonts w:ascii="Arial" w:cs="Arial" w:eastAsia="Arial" w:hAnsi="Arial"/>
                <w:sz w:val="18"/>
                <w:szCs w:val="18"/>
                <w:color w:val="0000EE"/>
                <w:w w:val="96"/>
              </w:rPr>
            </w:pPr>
            <w:hyperlink r:id="rId127">
              <w:r>
                <w:rPr>
                  <w:rFonts w:ascii="Arial" w:cs="Arial" w:eastAsia="Arial" w:hAnsi="Arial"/>
                  <w:sz w:val="18"/>
                  <w:szCs w:val="18"/>
                  <w:color w:val="0000EE"/>
                  <w:w w:val="96"/>
                </w:rPr>
                <w:t>Biopharma, Inc. (incorporated herein by reference to Exhibit 10.1 to the Registrant’s Current Report on Form 8-K/A</w:t>
              </w:r>
            </w:hyperlink>
          </w:p>
        </w:tc>
        <w:tc>
          <w:tcPr>
            <w:tcW w:w="26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(Amendment No. 2) filed with the Commission on November 29, 2011).</w:t>
              </w:r>
            </w:hyperlink>
          </w:p>
        </w:tc>
        <w:tc>
          <w:tcPr>
            <w:tcW w:w="3160" w:type="dxa"/>
            <w:vAlign w:val="bottom"/>
            <w:tcBorders>
              <w:top w:val="single" w:sz="8" w:color="0000EE"/>
            </w:tcBorders>
            <w:gridSpan w:val="13"/>
          </w:tcPr>
          <w:p>
            <w:pPr>
              <w:spacing w:after="0"/>
              <w:rPr>
                <w:sz w:val="17"/>
                <w:szCs w:val="17"/>
                <w:color w:val="auto"/>
              </w:rPr>
            </w:pPr>
          </w:p>
        </w:tc>
        <w:tc>
          <w:tcPr>
            <w:tcW w:w="680" w:type="dxa"/>
            <w:vAlign w:val="bottom"/>
            <w:gridSpan w:val="19"/>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10.14</w:t>
            </w:r>
          </w:p>
        </w:tc>
        <w:tc>
          <w:tcPr>
            <w:tcW w:w="200" w:type="dxa"/>
            <w:vAlign w:val="bottom"/>
          </w:tcPr>
          <w:p>
            <w:pPr>
              <w:spacing w:after="0"/>
              <w:rPr>
                <w:sz w:val="17"/>
                <w:szCs w:val="17"/>
                <w:color w:val="auto"/>
              </w:rPr>
            </w:pPr>
          </w:p>
        </w:tc>
        <w:tc>
          <w:tcPr>
            <w:tcW w:w="9060" w:type="dxa"/>
            <w:vAlign w:val="bottom"/>
            <w:gridSpan w:val="41"/>
          </w:tcPr>
          <w:p>
            <w:pPr>
              <w:spacing w:after="0" w:line="196" w:lineRule="exact"/>
              <w:rPr>
                <w:rFonts w:ascii="Arial" w:cs="Arial" w:eastAsia="Arial" w:hAnsi="Arial"/>
                <w:sz w:val="18"/>
                <w:szCs w:val="18"/>
                <w:color w:val="0000EE"/>
                <w:w w:val="96"/>
              </w:rPr>
            </w:pPr>
            <w:hyperlink r:id="rId128">
              <w:r>
                <w:rPr>
                  <w:rFonts w:ascii="Arial" w:cs="Arial" w:eastAsia="Arial" w:hAnsi="Arial"/>
                  <w:sz w:val="18"/>
                  <w:szCs w:val="18"/>
                  <w:color w:val="0000EE"/>
                  <w:w w:val="96"/>
                </w:rPr>
                <w:t>Form of Director Stock Award Agreement (incorporated herein by reference to Exhibit 10.2 to the Registrant’s Current</w:t>
              </w:r>
            </w:hyperlink>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Report on Form 8-K filed with the Commission on July 25, 2013).#</w:t>
              </w:r>
            </w:hyperlink>
          </w:p>
        </w:tc>
        <w:tc>
          <w:tcPr>
            <w:tcW w:w="3680" w:type="dxa"/>
            <w:vAlign w:val="bottom"/>
            <w:tcBorders>
              <w:top w:val="single" w:sz="8" w:color="0000EE"/>
            </w:tcBorders>
            <w:gridSpan w:val="18"/>
          </w:tcPr>
          <w:p>
            <w:pPr>
              <w:spacing w:after="0"/>
              <w:rPr>
                <w:sz w:val="17"/>
                <w:szCs w:val="17"/>
                <w:color w:val="auto"/>
              </w:rPr>
            </w:pPr>
          </w:p>
        </w:tc>
        <w:tc>
          <w:tcPr>
            <w:tcW w:w="500" w:type="dxa"/>
            <w:vAlign w:val="bottom"/>
            <w:gridSpan w:val="1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060"/>
          </w:cols>
          <w:pgMar w:left="920" w:top="665" w:right="91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510"/>
              <w:spacing w:after="0"/>
              <w:rPr>
                <w:sz w:val="20"/>
                <w:szCs w:val="20"/>
                <w:color w:val="auto"/>
              </w:rPr>
            </w:pPr>
            <w:r>
              <w:rPr>
                <w:rFonts w:ascii="Arial" w:cs="Arial" w:eastAsia="Arial" w:hAnsi="Arial"/>
                <w:sz w:val="18"/>
                <w:szCs w:val="18"/>
                <w:color w:val="auto"/>
                <w:w w:val="84"/>
              </w:rPr>
              <w:t>10.15</w:t>
            </w:r>
          </w:p>
        </w:tc>
        <w:tc>
          <w:tcPr>
            <w:tcW w:w="9040" w:type="dxa"/>
            <w:vAlign w:val="bottom"/>
            <w:gridSpan w:val="38"/>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Form of Registration Rights Agreement by and among Lion Biotechnologies, Inc. and the Investors thereunder (incorporated</w:t>
              </w:r>
            </w:hyperlink>
          </w:p>
        </w:tc>
      </w:tr>
      <w:tr>
        <w:trPr>
          <w:trHeight w:val="196"/>
        </w:trPr>
        <w:tc>
          <w:tcPr>
            <w:tcW w:w="1000" w:type="dxa"/>
            <w:vAlign w:val="bottom"/>
          </w:tcPr>
          <w:p>
            <w:pPr>
              <w:spacing w:after="0"/>
              <w:rPr>
                <w:sz w:val="17"/>
                <w:szCs w:val="17"/>
                <w:color w:val="auto"/>
              </w:rPr>
            </w:pPr>
          </w:p>
        </w:tc>
        <w:tc>
          <w:tcPr>
            <w:tcW w:w="81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herein by reference to Exhibit 10.2 to the Registrant’s Current Report on Form 8-K filed with the Commission on</w:t>
              </w:r>
            </w:hyperlink>
          </w:p>
        </w:tc>
        <w:tc>
          <w:tcPr>
            <w:tcW w:w="820" w:type="dxa"/>
            <w:vAlign w:val="bottom"/>
            <w:tcBorders>
              <w:top w:val="single" w:sz="8" w:color="0000EE"/>
            </w:tcBorders>
            <w:gridSpan w:val="19"/>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3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October 31, 2013).</w:t>
              </w:r>
            </w:hyperlink>
          </w:p>
        </w:tc>
        <w:tc>
          <w:tcPr>
            <w:tcW w:w="7680" w:type="dxa"/>
            <w:vAlign w:val="bottom"/>
            <w:gridSpan w:val="35"/>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10.16</w:t>
            </w:r>
          </w:p>
        </w:tc>
        <w:tc>
          <w:tcPr>
            <w:tcW w:w="88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Cooperative Research and Development Agreement for the Development and Evaluation of the NCI Proprietary Adoptive</w:t>
              </w:r>
            </w:hyperlink>
          </w:p>
        </w:tc>
        <w:tc>
          <w:tcPr>
            <w:tcW w:w="24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94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Cell Transfer Immunotherapy Using Tumor Infiltrating Lymphocytes in Patients with Metastatic Melanoma, Bladder, Lung,</w:t>
              </w:r>
            </w:hyperlink>
          </w:p>
        </w:tc>
        <w:tc>
          <w:tcPr>
            <w:tcW w:w="10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040" w:type="dxa"/>
            <w:vAlign w:val="bottom"/>
            <w:gridSpan w:val="38"/>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Triple-negative Breast, and HPV-associated Cancers, Utilizing Lion Biotechnologies, Inc.’s Business Development Expertise</w:t>
              </w:r>
            </w:hyperlink>
          </w:p>
        </w:tc>
      </w:tr>
      <w:tr>
        <w:trPr>
          <w:trHeight w:val="196"/>
        </w:trPr>
        <w:tc>
          <w:tcPr>
            <w:tcW w:w="1000" w:type="dxa"/>
            <w:vAlign w:val="bottom"/>
          </w:tcPr>
          <w:p>
            <w:pPr>
              <w:spacing w:after="0"/>
              <w:rPr>
                <w:sz w:val="17"/>
                <w:szCs w:val="17"/>
                <w:color w:val="auto"/>
              </w:rPr>
            </w:pPr>
          </w:p>
        </w:tc>
        <w:tc>
          <w:tcPr>
            <w:tcW w:w="898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in Adoptive Cell Transfer Immunotherapy, executed by Lion Biotechnologies, Inc. on January 22, 2015 (incorporated herein</w:t>
              </w:r>
            </w:hyperlink>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040" w:type="dxa"/>
            <w:vAlign w:val="bottom"/>
            <w:gridSpan w:val="38"/>
          </w:tcPr>
          <w:p>
            <w:pPr>
              <w:spacing w:after="0" w:line="196" w:lineRule="exact"/>
              <w:rPr>
                <w:rFonts w:ascii="Arial" w:cs="Arial" w:eastAsia="Arial" w:hAnsi="Arial"/>
                <w:sz w:val="18"/>
                <w:szCs w:val="18"/>
                <w:color w:val="0000EE"/>
                <w:w w:val="96"/>
              </w:rPr>
            </w:pPr>
            <w:hyperlink r:id="rId131">
              <w:r>
                <w:rPr>
                  <w:rFonts w:ascii="Arial" w:cs="Arial" w:eastAsia="Arial" w:hAnsi="Arial"/>
                  <w:sz w:val="18"/>
                  <w:szCs w:val="18"/>
                  <w:color w:val="0000EE"/>
                  <w:w w:val="96"/>
                </w:rPr>
                <w:t>by reference to Exhibit 10.1 to the Registrant’s Current Report on Form 8-K filed with the Commission on January 27,</w:t>
              </w:r>
            </w:hyperlink>
          </w:p>
        </w:tc>
      </w:tr>
      <w:tr>
        <w:trPr>
          <w:trHeight w:val="196"/>
        </w:trPr>
        <w:tc>
          <w:tcPr>
            <w:tcW w:w="100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2015).*</w:t>
              </w:r>
            </w:hyperlink>
          </w:p>
        </w:tc>
        <w:tc>
          <w:tcPr>
            <w:tcW w:w="8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10.17</w:t>
            </w:r>
          </w:p>
        </w:tc>
        <w:tc>
          <w:tcPr>
            <w:tcW w:w="9040" w:type="dxa"/>
            <w:vAlign w:val="bottom"/>
            <w:gridSpan w:val="38"/>
          </w:tcPr>
          <w:p>
            <w:pPr>
              <w:spacing w:after="0" w:line="196"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Patent License Agreement, dated February 9, 2015, by and between the Company and the National Institutes of Health</w:t>
              </w:r>
            </w:hyperlink>
          </w:p>
        </w:tc>
      </w:tr>
      <w:tr>
        <w:trPr>
          <w:trHeight w:val="196"/>
        </w:trPr>
        <w:tc>
          <w:tcPr>
            <w:tcW w:w="1000" w:type="dxa"/>
            <w:vAlign w:val="bottom"/>
          </w:tcPr>
          <w:p>
            <w:pPr>
              <w:spacing w:after="0"/>
              <w:rPr>
                <w:sz w:val="17"/>
                <w:szCs w:val="17"/>
                <w:color w:val="auto"/>
              </w:rPr>
            </w:pPr>
          </w:p>
        </w:tc>
        <w:tc>
          <w:tcPr>
            <w:tcW w:w="81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(incorporated herein by reference to Exhibit 10.47 to the Registrant’s Annual Report on Form 10-K filed with the</w:t>
              </w:r>
            </w:hyperlink>
          </w:p>
        </w:tc>
        <w:tc>
          <w:tcPr>
            <w:tcW w:w="380" w:type="dxa"/>
            <w:vAlign w:val="bottom"/>
            <w:tcBorders>
              <w:top w:val="single" w:sz="8" w:color="0000EE"/>
            </w:tcBorders>
            <w:gridSpan w:val="5"/>
          </w:tcPr>
          <w:p>
            <w:pPr>
              <w:spacing w:after="0"/>
              <w:rPr>
                <w:sz w:val="17"/>
                <w:szCs w:val="17"/>
                <w:color w:val="auto"/>
              </w:rPr>
            </w:pPr>
          </w:p>
        </w:tc>
        <w:tc>
          <w:tcPr>
            <w:tcW w:w="500" w:type="dxa"/>
            <w:vAlign w:val="bottom"/>
            <w:gridSpan w:val="1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5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Commission on March 16, 2015).*</w:t>
              </w:r>
            </w:hyperlink>
          </w:p>
        </w:tc>
        <w:tc>
          <w:tcPr>
            <w:tcW w:w="6520" w:type="dxa"/>
            <w:vAlign w:val="bottom"/>
            <w:gridSpan w:val="32"/>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10.18</w:t>
            </w:r>
          </w:p>
        </w:tc>
        <w:tc>
          <w:tcPr>
            <w:tcW w:w="88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Patent License Agreement, dated February 10, 2015, by and between Lion Biotechnologies, Inc. and the National Institutes</w:t>
              </w:r>
            </w:hyperlink>
          </w:p>
        </w:tc>
        <w:tc>
          <w:tcPr>
            <w:tcW w:w="16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of Health (incorporated herein by reference to Exhibit 10.46 to the Registrant’s Annual Report on Form 10-K filed with the</w:t>
              </w:r>
            </w:hyperlink>
          </w:p>
        </w:tc>
        <w:tc>
          <w:tcPr>
            <w:tcW w:w="16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5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Commission on March 16, 2015).*</w:t>
              </w:r>
            </w:hyperlink>
          </w:p>
        </w:tc>
        <w:tc>
          <w:tcPr>
            <w:tcW w:w="6520" w:type="dxa"/>
            <w:vAlign w:val="bottom"/>
            <w:gridSpan w:val="32"/>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10.19</w:t>
            </w:r>
          </w:p>
        </w:tc>
        <w:tc>
          <w:tcPr>
            <w:tcW w:w="88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First Amendment to Patent License Agreement, effective October 2, 2015, by and between Lion Biotechnologies, Inc. and</w:t>
              </w:r>
            </w:hyperlink>
          </w:p>
        </w:tc>
        <w:tc>
          <w:tcPr>
            <w:tcW w:w="22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4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the National Institutes of Health (incorporated herein by reference to Exhibit 10.47 to the Registrant’s Quarterly Report on</w:t>
              </w:r>
            </w:hyperlink>
          </w:p>
        </w:tc>
        <w:tc>
          <w:tcPr>
            <w:tcW w:w="20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5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Form 10-Q filed with the Commission on November 6, 2015).*</w:t>
              </w:r>
            </w:hyperlink>
          </w:p>
        </w:tc>
        <w:tc>
          <w:tcPr>
            <w:tcW w:w="4460" w:type="dxa"/>
            <w:vAlign w:val="bottom"/>
            <w:gridSpan w:val="25"/>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10.20</w:t>
            </w:r>
          </w:p>
        </w:tc>
        <w:tc>
          <w:tcPr>
            <w:tcW w:w="86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Form of Securities Purchase Agreement, dated June 2, 2016, by and among Lion Biotechnologies, Inc. and the Investors</w:t>
              </w:r>
            </w:hyperlink>
          </w:p>
        </w:tc>
        <w:tc>
          <w:tcPr>
            <w:tcW w:w="360" w:type="dxa"/>
            <w:vAlign w:val="bottom"/>
            <w:gridSpan w:val="1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thereunder (incorporated herein by reference to Exhibit 10.1 to the Registrant’s Current Report on Form 8-K filed with the</w:t>
              </w:r>
            </w:hyperlink>
          </w:p>
        </w:tc>
        <w:tc>
          <w:tcPr>
            <w:tcW w:w="22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Commission on June 3, 2016).</w:t>
              </w:r>
            </w:hyperlink>
          </w:p>
        </w:tc>
        <w:tc>
          <w:tcPr>
            <w:tcW w:w="6840" w:type="dxa"/>
            <w:vAlign w:val="bottom"/>
            <w:gridSpan w:val="33"/>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10.21</w:t>
            </w:r>
          </w:p>
        </w:tc>
        <w:tc>
          <w:tcPr>
            <w:tcW w:w="86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Form of Registration Rights Agreement, dated June 2, 2016, by and among Lion Biotechnologies, Inc. and the Investors</w:t>
              </w:r>
            </w:hyperlink>
          </w:p>
        </w:tc>
        <w:tc>
          <w:tcPr>
            <w:tcW w:w="380" w:type="dxa"/>
            <w:vAlign w:val="bottom"/>
            <w:gridSpan w:val="1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8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thereunder (incorporated herein by reference to Exhibit 10.2 to the Registrant’s Current Report on Form 8-K filed with the</w:t>
              </w:r>
            </w:hyperlink>
          </w:p>
        </w:tc>
        <w:tc>
          <w:tcPr>
            <w:tcW w:w="22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Commission on June 3, 2016).</w:t>
              </w:r>
            </w:hyperlink>
          </w:p>
        </w:tc>
        <w:tc>
          <w:tcPr>
            <w:tcW w:w="6840" w:type="dxa"/>
            <w:vAlign w:val="bottom"/>
            <w:gridSpan w:val="33"/>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10.22</w:t>
            </w:r>
          </w:p>
        </w:tc>
        <w:tc>
          <w:tcPr>
            <w:tcW w:w="898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Form of Retention Bonus Agreement (incorporated herein by reference to Exhibit 10.5 of the Registrant’s Current Report on</w:t>
              </w:r>
            </w:hyperlink>
          </w:p>
        </w:tc>
        <w:tc>
          <w:tcPr>
            <w:tcW w:w="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0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Form 8-K filed with the Commission on June 3, 2016).#</w:t>
              </w:r>
            </w:hyperlink>
          </w:p>
        </w:tc>
        <w:tc>
          <w:tcPr>
            <w:tcW w:w="4980" w:type="dxa"/>
            <w:vAlign w:val="bottom"/>
            <w:gridSpan w:val="27"/>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10.23</w:t>
            </w:r>
          </w:p>
        </w:tc>
        <w:tc>
          <w:tcPr>
            <w:tcW w:w="9040" w:type="dxa"/>
            <w:vAlign w:val="bottom"/>
            <w:gridSpan w:val="38"/>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Amendment #2 to the Cooperative Research and Development Agreement # 02734, dated August 18, 2016, by and between</w:t>
              </w:r>
            </w:hyperlink>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04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the National Cancer Institute and Lion Biotechnologies, Inc. (incorporated herein by reference to Exhibit 10.3 to Amendment</w:t>
              </w:r>
            </w:hyperlink>
          </w:p>
        </w:tc>
      </w:tr>
      <w:tr>
        <w:trPr>
          <w:trHeight w:val="196"/>
        </w:trPr>
        <w:tc>
          <w:tcPr>
            <w:tcW w:w="1000" w:type="dxa"/>
            <w:vAlign w:val="bottom"/>
          </w:tcPr>
          <w:p>
            <w:pPr>
              <w:spacing w:after="0"/>
              <w:rPr>
                <w:sz w:val="17"/>
                <w:szCs w:val="17"/>
                <w:color w:val="auto"/>
              </w:rPr>
            </w:pPr>
          </w:p>
        </w:tc>
        <w:tc>
          <w:tcPr>
            <w:tcW w:w="9040" w:type="dxa"/>
            <w:vAlign w:val="bottom"/>
            <w:gridSpan w:val="38"/>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No. 2 to Registrant’s Amendment No. 2 to Registration Statement on Form S-1 filed with the Commission on August 31,</w:t>
              </w:r>
            </w:hyperlink>
          </w:p>
        </w:tc>
      </w:tr>
      <w:tr>
        <w:trPr>
          <w:trHeight w:val="196"/>
        </w:trPr>
        <w:tc>
          <w:tcPr>
            <w:tcW w:w="10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8">
              <w:r>
                <w:rPr>
                  <w:rFonts w:ascii="Arial" w:cs="Arial" w:eastAsia="Arial" w:hAnsi="Arial"/>
                  <w:sz w:val="18"/>
                  <w:szCs w:val="18"/>
                  <w:color w:val="0000EE"/>
                  <w:w w:val="86"/>
                </w:rPr>
                <w:t>2016).</w:t>
              </w:r>
            </w:hyperlink>
          </w:p>
        </w:tc>
        <w:tc>
          <w:tcPr>
            <w:tcW w:w="1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10.24</w:t>
            </w:r>
          </w:p>
        </w:tc>
        <w:tc>
          <w:tcPr>
            <w:tcW w:w="9040" w:type="dxa"/>
            <w:vAlign w:val="bottom"/>
            <w:gridSpan w:val="38"/>
          </w:tcPr>
          <w:p>
            <w:pPr>
              <w:spacing w:after="0" w:line="19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Exclusive and Co-Exclusive License Agreement, dated September 14, 2016, by and between Lion Biotechnologies, Inc.</w:t>
              </w:r>
            </w:hyperlink>
          </w:p>
        </w:tc>
      </w:tr>
      <w:tr>
        <w:trPr>
          <w:trHeight w:val="20"/>
        </w:trPr>
        <w:tc>
          <w:tcPr>
            <w:tcW w:w="100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8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and PolyBioCept AB (incorporated herein by reference to Exhibit 10.3 to the Registrant’s Quarterly Report on Form 10-Q</w:t>
              </w:r>
            </w:hyperlink>
          </w:p>
        </w:tc>
        <w:tc>
          <w:tcPr>
            <w:tcW w:w="24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040" w:type="dxa"/>
            <w:vAlign w:val="bottom"/>
            <w:gridSpan w:val="38"/>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filed with the Commission on November 4, 2016).*</w:t>
              </w:r>
            </w:hyperlink>
          </w:p>
        </w:tc>
      </w:tr>
      <w:tr>
        <w:trPr>
          <w:trHeight w:val="20"/>
        </w:trPr>
        <w:tc>
          <w:tcPr>
            <w:tcW w:w="100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10.25</w:t>
            </w:r>
          </w:p>
        </w:tc>
        <w:tc>
          <w:tcPr>
            <w:tcW w:w="79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Manufacturing Services Agreement, dated November 23, 2015, by and between WuXi AppTec, Inc. and Lion</w:t>
              </w:r>
            </w:hyperlink>
          </w:p>
        </w:tc>
        <w:tc>
          <w:tcPr>
            <w:tcW w:w="1140" w:type="dxa"/>
            <w:vAlign w:val="bottom"/>
            <w:gridSpan w:val="2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Biotechnologies, Inc. (incorporated herein by reference to Exhibit 10.36 to the Registrant’s Annual Report on Form 10-K</w:t>
              </w:r>
            </w:hyperlink>
          </w:p>
        </w:tc>
        <w:tc>
          <w:tcPr>
            <w:tcW w:w="30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filed with the Commission on March 9, 2017).*</w:t>
              </w:r>
            </w:hyperlink>
          </w:p>
        </w:tc>
        <w:tc>
          <w:tcPr>
            <w:tcW w:w="5600" w:type="dxa"/>
            <w:vAlign w:val="bottom"/>
            <w:gridSpan w:val="30"/>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10.26</w:t>
            </w:r>
          </w:p>
        </w:tc>
        <w:tc>
          <w:tcPr>
            <w:tcW w:w="9040" w:type="dxa"/>
            <w:vAlign w:val="bottom"/>
            <w:gridSpan w:val="38"/>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Description of 2018 Corporate Goals and Cash Bonus Plan (incorporated herein by reference to the Registrant’s Current</w:t>
              </w:r>
            </w:hyperlink>
          </w:p>
        </w:tc>
      </w:tr>
      <w:tr>
        <w:trPr>
          <w:trHeight w:val="196"/>
        </w:trPr>
        <w:tc>
          <w:tcPr>
            <w:tcW w:w="1000" w:type="dxa"/>
            <w:vAlign w:val="bottom"/>
          </w:tcPr>
          <w:p>
            <w:pPr>
              <w:spacing w:after="0"/>
              <w:rPr>
                <w:sz w:val="17"/>
                <w:szCs w:val="17"/>
                <w:color w:val="auto"/>
              </w:rPr>
            </w:pPr>
          </w:p>
        </w:tc>
        <w:tc>
          <w:tcPr>
            <w:tcW w:w="86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Report on Form 8-K filed with the Commission on February 12, 2018).#</w:t>
              </w:r>
            </w:hyperlink>
          </w:p>
        </w:tc>
        <w:tc>
          <w:tcPr>
            <w:tcW w:w="420" w:type="dxa"/>
            <w:vAlign w:val="bottom"/>
            <w:gridSpan w:val="1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10.27</w:t>
            </w:r>
          </w:p>
        </w:tc>
        <w:tc>
          <w:tcPr>
            <w:tcW w:w="9040" w:type="dxa"/>
            <w:vAlign w:val="bottom"/>
            <w:gridSpan w:val="38"/>
          </w:tcPr>
          <w:p>
            <w:pPr>
              <w:spacing w:after="0" w:line="196" w:lineRule="exact"/>
              <w:rPr>
                <w:rFonts w:ascii="Arial" w:cs="Arial" w:eastAsia="Arial" w:hAnsi="Arial"/>
                <w:sz w:val="18"/>
                <w:szCs w:val="18"/>
                <w:color w:val="0000EE"/>
                <w:w w:val="96"/>
              </w:rPr>
            </w:pPr>
            <w:hyperlink r:id="rId142">
              <w:r>
                <w:rPr>
                  <w:rFonts w:ascii="Arial" w:cs="Arial" w:eastAsia="Arial" w:hAnsi="Arial"/>
                  <w:sz w:val="18"/>
                  <w:szCs w:val="18"/>
                  <w:color w:val="0000EE"/>
                  <w:w w:val="96"/>
                </w:rPr>
                <w:t>Strategic Alliance Agreement, effective as of April 17, 2017, between Lion Biotechnologies, Inc. and The University of</w:t>
              </w:r>
            </w:hyperlink>
          </w:p>
        </w:tc>
      </w:tr>
      <w:tr>
        <w:trPr>
          <w:trHeight w:val="20"/>
        </w:trPr>
        <w:tc>
          <w:tcPr>
            <w:tcW w:w="100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92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Texas M.D. Anderson Cancer Center, (incorporated herein by reference to Exhibit 10.1 to the Registrant’s Quarterly Report</w:t>
              </w:r>
            </w:hyperlink>
          </w:p>
        </w:tc>
        <w:tc>
          <w:tcPr>
            <w:tcW w:w="12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5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on Form 10-Q filed with the Commission on August 3, 2017).*</w:t>
              </w:r>
            </w:hyperlink>
          </w:p>
        </w:tc>
        <w:tc>
          <w:tcPr>
            <w:tcW w:w="4480" w:type="dxa"/>
            <w:vAlign w:val="bottom"/>
            <w:gridSpan w:val="26"/>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10.28</w:t>
            </w:r>
          </w:p>
        </w:tc>
        <w:tc>
          <w:tcPr>
            <w:tcW w:w="86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Executive Employment Agreement, effective June 1, 2016, by and between Maria Fardis and Lion Biotechnologies, Inc.</w:t>
              </w:r>
            </w:hyperlink>
          </w:p>
        </w:tc>
        <w:tc>
          <w:tcPr>
            <w:tcW w:w="360" w:type="dxa"/>
            <w:vAlign w:val="bottom"/>
            <w:gridSpan w:val="1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2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(incorporated herein by reference to Exhibit 10.3 of the Registrant’s Quarterly Report on Form 10-Q filed with the</w:t>
              </w:r>
            </w:hyperlink>
          </w:p>
        </w:tc>
        <w:tc>
          <w:tcPr>
            <w:tcW w:w="800" w:type="dxa"/>
            <w:vAlign w:val="bottom"/>
            <w:gridSpan w:val="1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6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Commission on August 9, 2016).*,#</w:t>
              </w:r>
            </w:hyperlink>
          </w:p>
        </w:tc>
        <w:tc>
          <w:tcPr>
            <w:tcW w:w="6420" w:type="dxa"/>
            <w:vAlign w:val="bottom"/>
            <w:gridSpan w:val="31"/>
          </w:tcPr>
          <w:p>
            <w:pPr>
              <w:spacing w:after="0"/>
              <w:rPr>
                <w:sz w:val="17"/>
                <w:szCs w:val="17"/>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10.29</w:t>
            </w:r>
          </w:p>
        </w:tc>
        <w:tc>
          <w:tcPr>
            <w:tcW w:w="84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Executive Employment Agreement, effective as of August 14, 2017, by and between Timothy E. Morris and Iovance</w:t>
              </w:r>
            </w:hyperlink>
          </w:p>
        </w:tc>
        <w:tc>
          <w:tcPr>
            <w:tcW w:w="600" w:type="dxa"/>
            <w:vAlign w:val="bottom"/>
            <w:gridSpan w:val="1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040" w:type="dxa"/>
            <w:vAlign w:val="bottom"/>
            <w:gridSpan w:val="38"/>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Biotherapeutics, Inc. (incorporated herein by reference to Exhibit 10.1 to the Registrant’s Quarterly Report on Form 10-Q</w:t>
              </w:r>
            </w:hyperlink>
          </w:p>
        </w:tc>
      </w:tr>
      <w:tr>
        <w:trPr>
          <w:trHeight w:val="196"/>
        </w:trPr>
        <w:tc>
          <w:tcPr>
            <w:tcW w:w="1000" w:type="dxa"/>
            <w:vAlign w:val="bottom"/>
          </w:tcPr>
          <w:p>
            <w:pPr>
              <w:spacing w:after="0"/>
              <w:rPr>
                <w:sz w:val="17"/>
                <w:szCs w:val="17"/>
                <w:color w:val="auto"/>
              </w:rPr>
            </w:pPr>
          </w:p>
        </w:tc>
        <w:tc>
          <w:tcPr>
            <w:tcW w:w="87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filed with the Commission on November 2, 2017).#</w:t>
              </w:r>
            </w:hyperlink>
          </w:p>
        </w:tc>
        <w:tc>
          <w:tcPr>
            <w:tcW w:w="280" w:type="dxa"/>
            <w:vAlign w:val="bottom"/>
            <w:gridSpan w:val="10"/>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10.30</w:t>
            </w:r>
          </w:p>
        </w:tc>
        <w:tc>
          <w:tcPr>
            <w:tcW w:w="84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Consulting Agreement, dated as of September 8, 2017, by and between Iovance Biotherapeutics, Inc. and Iain Dukes</w:t>
              </w:r>
            </w:hyperlink>
          </w:p>
        </w:tc>
        <w:tc>
          <w:tcPr>
            <w:tcW w:w="620" w:type="dxa"/>
            <w:vAlign w:val="bottom"/>
            <w:gridSpan w:val="1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96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(incorporated herein by reference to Exhibit 10.1 to the Registrant’s Current Report on Form 8-K filed with the Commission</w:t>
              </w:r>
            </w:hyperlink>
          </w:p>
        </w:tc>
        <w:tc>
          <w:tcPr>
            <w:tcW w:w="8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040" w:type="dxa"/>
            <w:vAlign w:val="bottom"/>
            <w:gridSpan w:val="38"/>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on September 15, 2017).#</w:t>
              </w:r>
            </w:hyperlink>
          </w:p>
        </w:tc>
      </w:tr>
      <w:tr>
        <w:trPr>
          <w:trHeight w:val="20"/>
        </w:trPr>
        <w:tc>
          <w:tcPr>
            <w:tcW w:w="100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1060" w:type="dxa"/>
            <w:vAlign w:val="bottom"/>
            <w:gridSpan w:val="22"/>
          </w:tcPr>
          <w:p>
            <w:pPr>
              <w:spacing w:after="0" w:line="20" w:lineRule="exact"/>
              <w:rPr>
                <w:sz w:val="1"/>
                <w:szCs w:val="1"/>
                <w:color w:val="auto"/>
              </w:rPr>
            </w:pPr>
          </w:p>
        </w:tc>
      </w:tr>
      <w:tr>
        <w:trPr>
          <w:trHeight w:val="196"/>
        </w:trPr>
        <w:tc>
          <w:tcPr>
            <w:tcW w:w="10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84"/>
              </w:rPr>
              <w:t>10.31</w:t>
            </w:r>
          </w:p>
        </w:tc>
        <w:tc>
          <w:tcPr>
            <w:tcW w:w="9040" w:type="dxa"/>
            <w:vAlign w:val="bottom"/>
            <w:gridSpan w:val="38"/>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Executive Employment Agreement, effective September 30, 2016, by and between Frederick G. Vogt and Lion</w:t>
              </w:r>
            </w:hyperlink>
          </w:p>
        </w:tc>
      </w:tr>
      <w:tr>
        <w:trPr>
          <w:trHeight w:val="20"/>
        </w:trPr>
        <w:tc>
          <w:tcPr>
            <w:tcW w:w="1000" w:type="dxa"/>
            <w:vAlign w:val="bottom"/>
          </w:tcPr>
          <w:p>
            <w:pPr>
              <w:spacing w:after="0" w:line="20" w:lineRule="exact"/>
              <w:rPr>
                <w:sz w:val="1"/>
                <w:szCs w:val="1"/>
                <w:color w:val="auto"/>
              </w:rPr>
            </w:pPr>
          </w:p>
        </w:tc>
        <w:tc>
          <w:tcPr>
            <w:tcW w:w="3520" w:type="dxa"/>
            <w:vAlign w:val="bottom"/>
            <w:gridSpan w:val="9"/>
            <w:shd w:val="clear" w:color="auto" w:fill="0000EE"/>
          </w:tcPr>
          <w:p>
            <w:pPr>
              <w:spacing w:after="0" w:line="20" w:lineRule="exact"/>
              <w:rPr>
                <w:sz w:val="1"/>
                <w:szCs w:val="1"/>
                <w:color w:val="auto"/>
              </w:rPr>
            </w:pPr>
          </w:p>
        </w:tc>
        <w:tc>
          <w:tcPr>
            <w:tcW w:w="4460" w:type="dxa"/>
            <w:vAlign w:val="bottom"/>
            <w:gridSpan w:val="7"/>
            <w:shd w:val="clear" w:color="auto" w:fill="0000EE"/>
          </w:tcPr>
          <w:p>
            <w:pPr>
              <w:spacing w:after="0" w:line="20" w:lineRule="exact"/>
              <w:rPr>
                <w:sz w:val="1"/>
                <w:szCs w:val="1"/>
                <w:color w:val="auto"/>
              </w:rPr>
            </w:pPr>
          </w:p>
        </w:tc>
        <w:tc>
          <w:tcPr>
            <w:tcW w:w="1060" w:type="dxa"/>
            <w:vAlign w:val="bottom"/>
            <w:gridSpan w:val="2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7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Biotechnologies, Inc. (incorporated herein by reference to Exhibit 10.32 to the Registrant’s Annual Report on Form 10-K</w:t>
              </w:r>
            </w:hyperlink>
          </w:p>
        </w:tc>
        <w:tc>
          <w:tcPr>
            <w:tcW w:w="30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040" w:type="dxa"/>
            <w:vAlign w:val="bottom"/>
            <w:gridSpan w:val="38"/>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filed with the Commission on March 12, 2018).#</w:t>
              </w:r>
            </w:hyperlink>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040"/>
          </w:cols>
          <w:pgMar w:left="920" w:top="665" w:right="9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95" w:name="page96"/>
    <w:bookmarkEnd w:id="95"/>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8860" w:type="dxa"/>
            <w:vAlign w:val="bottom"/>
            <w:tcBorders>
              <w:bottom w:val="single" w:sz="8" w:color="0000EE"/>
            </w:tcBorders>
            <w:gridSpan w:val="21"/>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First Amendment to the Strategic Alliance Agreement by and between Iovance Biotherapeutics, Inc. and The University of</w:t>
              </w:r>
            </w:hyperlink>
          </w:p>
        </w:tc>
        <w:tc>
          <w:tcPr>
            <w:tcW w:w="18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040" w:type="dxa"/>
            <w:vAlign w:val="bottom"/>
            <w:gridSpan w:val="26"/>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Texas M.D. Anderson Cancer Center, effective as of August 2, 2017 (incorporated herein by reference to Exhibit 10.34 to the</w:t>
              </w:r>
            </w:hyperlink>
          </w:p>
        </w:tc>
      </w:tr>
      <w:tr>
        <w:trPr>
          <w:trHeight w:val="196"/>
        </w:trPr>
        <w:tc>
          <w:tcPr>
            <w:tcW w:w="1000" w:type="dxa"/>
            <w:vAlign w:val="bottom"/>
          </w:tcPr>
          <w:p>
            <w:pPr>
              <w:spacing w:after="0"/>
              <w:rPr>
                <w:sz w:val="17"/>
                <w:szCs w:val="17"/>
                <w:color w:val="auto"/>
              </w:rPr>
            </w:pPr>
          </w:p>
        </w:tc>
        <w:tc>
          <w:tcPr>
            <w:tcW w:w="90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Registrant’s Annual Report on Form 10-K filed with the Commission on March 12, 2018).</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9040" w:type="dxa"/>
            <w:vAlign w:val="bottom"/>
            <w:gridSpan w:val="26"/>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Second Amendment to the Strategic Alliance Agreement by and between Iovance Biotherapeutics, Inc. and The University</w:t>
              </w:r>
            </w:hyperlink>
          </w:p>
        </w:tc>
      </w:tr>
      <w:tr>
        <w:trPr>
          <w:trHeight w:val="196"/>
        </w:trPr>
        <w:tc>
          <w:tcPr>
            <w:tcW w:w="1000" w:type="dxa"/>
            <w:vAlign w:val="bottom"/>
          </w:tcPr>
          <w:p>
            <w:pPr>
              <w:spacing w:after="0"/>
              <w:rPr>
                <w:sz w:val="17"/>
                <w:szCs w:val="17"/>
                <w:color w:val="auto"/>
              </w:rPr>
            </w:pPr>
          </w:p>
        </w:tc>
        <w:tc>
          <w:tcPr>
            <w:tcW w:w="886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of Texas M.D. Anderson Cancer Center, effective February 16, 2018 (incorporated herein by reference to Exhibit 10.35 to</w:t>
              </w:r>
            </w:hyperlink>
          </w:p>
        </w:tc>
        <w:tc>
          <w:tcPr>
            <w:tcW w:w="18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7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the Registrant’s Annual Report on Form 10-K filed with the Commission on March 12, 2018).</w:t>
              </w:r>
            </w:hyperlink>
          </w:p>
        </w:tc>
        <w:tc>
          <w:tcPr>
            <w:tcW w:w="26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87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Office Lease dated as of August 4, 2016, by and between Lion Biotechnologies, Inc. and Hudson Skyway Landing, LLC</w:t>
              </w:r>
            </w:hyperlink>
          </w:p>
        </w:tc>
        <w:tc>
          <w:tcPr>
            <w:tcW w:w="34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9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(incorporated herein by reference to Exhibit 10.1 of the Registrant’s Current Report on Form 8-K filed with the Commission</w:t>
              </w:r>
            </w:hyperlink>
          </w:p>
        </w:tc>
        <w:tc>
          <w:tcPr>
            <w:tcW w:w="6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on August 8, 2016).</w:t>
              </w:r>
            </w:hyperlink>
          </w:p>
        </w:tc>
        <w:tc>
          <w:tcPr>
            <w:tcW w:w="7600" w:type="dxa"/>
            <w:vAlign w:val="bottom"/>
            <w:gridSpan w:val="25"/>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10.35</w:t>
            </w:r>
          </w:p>
        </w:tc>
        <w:tc>
          <w:tcPr>
            <w:tcW w:w="9040" w:type="dxa"/>
            <w:vAlign w:val="bottom"/>
            <w:gridSpan w:val="26"/>
          </w:tcPr>
          <w:p>
            <w:pPr>
              <w:spacing w:after="0" w:line="196" w:lineRule="exact"/>
              <w:rPr>
                <w:rFonts w:ascii="Arial" w:cs="Arial" w:eastAsia="Arial" w:hAnsi="Arial"/>
                <w:sz w:val="18"/>
                <w:szCs w:val="18"/>
                <w:color w:val="0000EE"/>
                <w:w w:val="94"/>
              </w:rPr>
            </w:pPr>
            <w:hyperlink r:id="rId151">
              <w:r>
                <w:rPr>
                  <w:rFonts w:ascii="Arial" w:cs="Arial" w:eastAsia="Arial" w:hAnsi="Arial"/>
                  <w:sz w:val="18"/>
                  <w:szCs w:val="18"/>
                  <w:color w:val="0000EE"/>
                  <w:w w:val="94"/>
                </w:rPr>
                <w:t>Office Lease dated as of October 19, 2018, by and between Iovance Biotechnologies, Inc. and Hudson Skyway Landing,</w:t>
              </w:r>
            </w:hyperlink>
          </w:p>
        </w:tc>
      </w:tr>
      <w:tr>
        <w:trPr>
          <w:trHeight w:val="196"/>
        </w:trPr>
        <w:tc>
          <w:tcPr>
            <w:tcW w:w="1000" w:type="dxa"/>
            <w:vAlign w:val="bottom"/>
          </w:tcPr>
          <w:p>
            <w:pPr>
              <w:spacing w:after="0"/>
              <w:rPr>
                <w:sz w:val="17"/>
                <w:szCs w:val="17"/>
                <w:color w:val="auto"/>
              </w:rPr>
            </w:pPr>
          </w:p>
        </w:tc>
        <w:tc>
          <w:tcPr>
            <w:tcW w:w="868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LLC (incorporated herein by reference to Exhibit 10.1 to the Registrant’s Current Report on Form 8-K filed with the</w:t>
              </w:r>
            </w:hyperlink>
          </w:p>
        </w:tc>
        <w:tc>
          <w:tcPr>
            <w:tcW w:w="36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Commission on October 25, 2018).</w:t>
              </w:r>
            </w:hyperlink>
          </w:p>
        </w:tc>
        <w:tc>
          <w:tcPr>
            <w:tcW w:w="5840" w:type="dxa"/>
            <w:vAlign w:val="bottom"/>
            <w:tcBorders>
              <w:top w:val="single" w:sz="8" w:color="0000EE"/>
            </w:tcBorders>
            <w:gridSpan w:val="11"/>
          </w:tcPr>
          <w:p>
            <w:pPr>
              <w:spacing w:after="0"/>
              <w:rPr>
                <w:sz w:val="17"/>
                <w:szCs w:val="17"/>
                <w:color w:val="auto"/>
              </w:rPr>
            </w:pPr>
          </w:p>
        </w:tc>
        <w:tc>
          <w:tcPr>
            <w:tcW w:w="660" w:type="dxa"/>
            <w:vAlign w:val="bottom"/>
            <w:gridSpan w:val="12"/>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10.36</w:t>
            </w:r>
          </w:p>
        </w:tc>
        <w:tc>
          <w:tcPr>
            <w:tcW w:w="9040" w:type="dxa"/>
            <w:vAlign w:val="bottom"/>
            <w:gridSpan w:val="26"/>
          </w:tcPr>
          <w:p>
            <w:pPr>
              <w:spacing w:after="0" w:line="196" w:lineRule="exact"/>
              <w:rPr>
                <w:rFonts w:ascii="Arial" w:cs="Arial" w:eastAsia="Arial" w:hAnsi="Arial"/>
                <w:sz w:val="18"/>
                <w:szCs w:val="18"/>
                <w:color w:val="0000EE"/>
                <w:w w:val="98"/>
              </w:rPr>
            </w:pPr>
            <w:hyperlink r:id="rId152">
              <w:r>
                <w:rPr>
                  <w:rFonts w:ascii="Arial" w:cs="Arial" w:eastAsia="Arial" w:hAnsi="Arial"/>
                  <w:sz w:val="18"/>
                  <w:szCs w:val="18"/>
                  <w:color w:val="0000EE"/>
                  <w:w w:val="98"/>
                </w:rPr>
                <w:t>Executive Employment Agreement effective as of July 18, 2019, by and between Friedrich-Reinhard Graf Finck von</w:t>
              </w:r>
            </w:hyperlink>
          </w:p>
        </w:tc>
      </w:tr>
      <w:tr>
        <w:trPr>
          <w:trHeight w:val="20"/>
        </w:trPr>
        <w:tc>
          <w:tcPr>
            <w:tcW w:w="100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0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Finckenstein, M.D. (incorporated herein by reference to Exhibit 10.1 of the Registrant’s Quarterly Report on Form 10-Q filed</w:t>
              </w:r>
            </w:hyperlink>
          </w:p>
        </w:tc>
      </w:tr>
      <w:tr>
        <w:trPr>
          <w:trHeight w:val="196"/>
        </w:trPr>
        <w:tc>
          <w:tcPr>
            <w:tcW w:w="1000" w:type="dxa"/>
            <w:vAlign w:val="bottom"/>
          </w:tcPr>
          <w:p>
            <w:pPr>
              <w:spacing w:after="0"/>
              <w:rPr>
                <w:sz w:val="17"/>
                <w:szCs w:val="17"/>
                <w:color w:val="auto"/>
              </w:rPr>
            </w:pPr>
          </w:p>
        </w:tc>
        <w:tc>
          <w:tcPr>
            <w:tcW w:w="3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with the Commission on August 1, 2019).</w:t>
              </w:r>
            </w:hyperlink>
          </w:p>
        </w:tc>
        <w:tc>
          <w:tcPr>
            <w:tcW w:w="6020" w:type="dxa"/>
            <w:vAlign w:val="bottom"/>
            <w:gridSpan w:val="22"/>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10.37</w:t>
            </w:r>
          </w:p>
        </w:tc>
        <w:tc>
          <w:tcPr>
            <w:tcW w:w="9040" w:type="dxa"/>
            <w:vAlign w:val="bottom"/>
            <w:gridSpan w:val="26"/>
          </w:tcPr>
          <w:p>
            <w:pPr>
              <w:spacing w:after="0" w:line="196" w:lineRule="exact"/>
              <w:rPr>
                <w:rFonts w:ascii="Arial" w:cs="Arial" w:eastAsia="Arial" w:hAnsi="Arial"/>
                <w:sz w:val="18"/>
                <w:szCs w:val="18"/>
                <w:color w:val="0000EE"/>
                <w:w w:val="94"/>
              </w:rPr>
            </w:pPr>
            <w:hyperlink r:id="rId153">
              <w:r>
                <w:rPr>
                  <w:rFonts w:ascii="Arial" w:cs="Arial" w:eastAsia="Arial" w:hAnsi="Arial"/>
                  <w:sz w:val="18"/>
                  <w:szCs w:val="18"/>
                  <w:color w:val="0000EE"/>
                  <w:w w:val="94"/>
                </w:rPr>
                <w:t>First Amendment to the Office Lease, effective as of June 19, 2019, between Iovance Biotherapeutics, Inc. and Hudson</w:t>
              </w:r>
            </w:hyperlink>
          </w:p>
        </w:tc>
      </w:tr>
      <w:tr>
        <w:trPr>
          <w:trHeight w:val="20"/>
        </w:trPr>
        <w:tc>
          <w:tcPr>
            <w:tcW w:w="100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16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9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Skyway Landing, LLC (incorporated herein by reference to Exhibit 10.1 of the Registrant’s Quarterly Report on Form 10-Q</w:t>
              </w:r>
            </w:hyperlink>
          </w:p>
        </w:tc>
        <w:tc>
          <w:tcPr>
            <w:tcW w:w="10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filed with the Commission on November 4, 2019).</w:t>
              </w:r>
            </w:hyperlink>
          </w:p>
        </w:tc>
        <w:tc>
          <w:tcPr>
            <w:tcW w:w="5400" w:type="dxa"/>
            <w:vAlign w:val="bottom"/>
            <w:gridSpan w:val="21"/>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10.38</w:t>
            </w:r>
          </w:p>
        </w:tc>
        <w:tc>
          <w:tcPr>
            <w:tcW w:w="88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First Amendment to the Lease Agreement, effective as of August 20, 2019, between Iovance Biotherapeutics, Inc. and 300</w:t>
              </w:r>
            </w:hyperlink>
          </w:p>
        </w:tc>
        <w:tc>
          <w:tcPr>
            <w:tcW w:w="20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89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Rouse Boulevard, LLC (incorporated herein by reference to Exhibit 10.2 of the Registrant’s Quarterly Report on Form 10-Q</w:t>
              </w:r>
            </w:hyperlink>
          </w:p>
        </w:tc>
        <w:tc>
          <w:tcPr>
            <w:tcW w:w="8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filed with the Commission on November 4, 2019).</w:t>
              </w:r>
            </w:hyperlink>
          </w:p>
        </w:tc>
        <w:tc>
          <w:tcPr>
            <w:tcW w:w="5400" w:type="dxa"/>
            <w:vAlign w:val="bottom"/>
            <w:gridSpan w:val="21"/>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21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Subsidiaries of the Company.</w:t>
              </w:r>
            </w:hyperlink>
          </w:p>
        </w:tc>
        <w:tc>
          <w:tcPr>
            <w:tcW w:w="6920" w:type="dxa"/>
            <w:vAlign w:val="bottom"/>
            <w:gridSpan w:val="24"/>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9040" w:type="dxa"/>
            <w:vAlign w:val="bottom"/>
            <w:gridSpan w:val="26"/>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Consent of Independent Registered Public Accounting Firm.</w:t>
              </w:r>
            </w:hyperlink>
          </w:p>
        </w:tc>
      </w:tr>
      <w:tr>
        <w:trPr>
          <w:trHeight w:val="20"/>
        </w:trPr>
        <w:tc>
          <w:tcPr>
            <w:tcW w:w="1000" w:type="dxa"/>
            <w:vAlign w:val="bottom"/>
          </w:tcPr>
          <w:p>
            <w:pPr>
              <w:spacing w:after="0" w:line="20" w:lineRule="exact"/>
              <w:rPr>
                <w:sz w:val="1"/>
                <w:szCs w:val="1"/>
                <w:color w:val="auto"/>
              </w:rPr>
            </w:pPr>
          </w:p>
        </w:tc>
        <w:tc>
          <w:tcPr>
            <w:tcW w:w="436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15"/>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53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Power of Attorney (included on the signature page of this Annual Report).</w:t>
              </w:r>
            </w:hyperlink>
          </w:p>
        </w:tc>
        <w:tc>
          <w:tcPr>
            <w:tcW w:w="3680" w:type="dxa"/>
            <w:vAlign w:val="bottom"/>
            <w:gridSpan w:val="17"/>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77">
              <w:r>
                <w:rPr>
                  <w:rFonts w:ascii="Arial" w:cs="Arial" w:eastAsia="Arial" w:hAnsi="Arial"/>
                  <w:sz w:val="18"/>
                  <w:szCs w:val="18"/>
                  <w:color w:val="0000EE"/>
                  <w:w w:val="92"/>
                </w:rPr>
                <w:t>Rule 13a-14(a)/15d-14(a) Certification of Chief Executive Officer.</w:t>
              </w:r>
            </w:hyperlink>
          </w:p>
        </w:tc>
        <w:tc>
          <w:tcPr>
            <w:tcW w:w="4240" w:type="dxa"/>
            <w:vAlign w:val="bottom"/>
            <w:gridSpan w:val="18"/>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040" w:type="dxa"/>
            <w:vAlign w:val="bottom"/>
            <w:gridSpan w:val="2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Rule 13a-14(a)/15d-14(a) Certification of Chief Financial Officer.</w:t>
              </w:r>
            </w:hyperlink>
          </w:p>
        </w:tc>
      </w:tr>
      <w:tr>
        <w:trPr>
          <w:trHeight w:val="20"/>
        </w:trPr>
        <w:tc>
          <w:tcPr>
            <w:tcW w:w="1000" w:type="dxa"/>
            <w:vAlign w:val="bottom"/>
          </w:tcPr>
          <w:p>
            <w:pPr>
              <w:spacing w:after="0" w:line="20" w:lineRule="exact"/>
              <w:rPr>
                <w:sz w:val="1"/>
                <w:szCs w:val="1"/>
                <w:color w:val="auto"/>
              </w:rPr>
            </w:pPr>
          </w:p>
        </w:tc>
        <w:tc>
          <w:tcPr>
            <w:tcW w:w="4740" w:type="dxa"/>
            <w:vAlign w:val="bottom"/>
            <w:gridSpan w:val="7"/>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15"/>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040" w:type="dxa"/>
            <w:vAlign w:val="bottom"/>
            <w:gridSpan w:val="26"/>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Section 1350 Certification of Chief Executive Officer (furnished herewith).</w:t>
              </w:r>
            </w:hyperlink>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5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w:anchor="page180">
              <w:r>
                <w:rPr>
                  <w:rFonts w:ascii="Arial" w:cs="Arial" w:eastAsia="Arial" w:hAnsi="Arial"/>
                  <w:sz w:val="18"/>
                  <w:szCs w:val="18"/>
                  <w:color w:val="0000EE"/>
                  <w:w w:val="93"/>
                </w:rPr>
                <w:t>Section 1350 Certification of Chief Financial Officer (furnished herewith).</w:t>
              </w:r>
            </w:hyperlink>
          </w:p>
        </w:tc>
        <w:tc>
          <w:tcPr>
            <w:tcW w:w="40" w:type="dxa"/>
            <w:vAlign w:val="bottom"/>
            <w:tcBorders>
              <w:top w:val="single" w:sz="8" w:color="0000EE"/>
            </w:tcBorders>
          </w:tcPr>
          <w:p>
            <w:pPr>
              <w:spacing w:after="0"/>
              <w:rPr>
                <w:sz w:val="17"/>
                <w:szCs w:val="17"/>
                <w:color w:val="auto"/>
              </w:rPr>
            </w:pPr>
          </w:p>
        </w:tc>
        <w:tc>
          <w:tcPr>
            <w:tcW w:w="3620" w:type="dxa"/>
            <w:vAlign w:val="bottom"/>
            <w:gridSpan w:val="15"/>
          </w:tcPr>
          <w:p>
            <w:pPr>
              <w:spacing w:after="0"/>
              <w:rPr>
                <w:sz w:val="17"/>
                <w:szCs w:val="17"/>
                <w:color w:val="auto"/>
              </w:rPr>
            </w:pPr>
          </w:p>
        </w:tc>
      </w:tr>
    </w:tbl>
    <w:p>
      <w:pPr>
        <w:spacing w:after="0" w:line="13" w:lineRule="exact"/>
        <w:rPr>
          <w:sz w:val="20"/>
          <w:szCs w:val="20"/>
          <w:color w:val="auto"/>
        </w:rPr>
      </w:pPr>
    </w:p>
    <w:p>
      <w:pPr>
        <w:ind w:left="1001" w:right="80" w:hanging="1001"/>
        <w:spacing w:after="0" w:line="276" w:lineRule="auto"/>
        <w:tabs>
          <w:tab w:leader="none" w:pos="100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financial information from the Annual Report on Form 10-K of Iovance Biotherapeutics, Inc. for the year ended December 31, 2019, formatted in XBRL (eXtensible Business Reporting Language): (1) Balance Sheets as of December 31, 2019 and 2018; (2) Statements of Income for the years ended December 31, 2019 and 2018; (3) Statements of Shareholders’ Equity for the years ended December 31, 2019 and 2018; (4) Statements of Cash Flows for the years ended December 31, 2019 and 2018; and (5) Notes to Financial Statements.</w:t>
      </w:r>
    </w:p>
    <w:p>
      <w:pPr>
        <w:spacing w:after="0" w:line="173" w:lineRule="exact"/>
        <w:rPr>
          <w:sz w:val="20"/>
          <w:szCs w:val="20"/>
          <w:color w:val="auto"/>
        </w:rPr>
      </w:pPr>
    </w:p>
    <w:p>
      <w:pPr>
        <w:ind w:left="321" w:right="280" w:hanging="321"/>
        <w:spacing w:after="0" w:line="258" w:lineRule="auto"/>
        <w:tabs>
          <w:tab w:leader="none" w:pos="3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1" w:lineRule="exact"/>
        <w:rPr>
          <w:sz w:val="20"/>
          <w:szCs w:val="20"/>
          <w:color w:val="auto"/>
        </w:rPr>
      </w:pPr>
    </w:p>
    <w:p>
      <w:pPr>
        <w:ind w:left="321" w:hanging="321"/>
        <w:spacing w:after="0"/>
        <w:tabs>
          <w:tab w:leader="none" w:pos="32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7" w:lineRule="exact"/>
        <w:rPr>
          <w:sz w:val="20"/>
          <w:szCs w:val="20"/>
          <w:color w:val="auto"/>
        </w:rPr>
      </w:pPr>
    </w:p>
    <w:p>
      <w:pPr>
        <w:ind w:left="1"/>
        <w:spacing w:after="0"/>
        <w:tabs>
          <w:tab w:leader="none" w:pos="1061"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1" w:right="40" w:firstLine="324"/>
        <w:spacing w:after="0" w:line="27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665" w:right="9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7160" w:type="dxa"/>
            <w:vAlign w:val="bottom"/>
            <w:gridSpan w:val="2"/>
          </w:tcPr>
          <w:p>
            <w:pPr>
              <w:ind w:left="1960"/>
              <w:spacing w:after="0"/>
              <w:rPr>
                <w:sz w:val="20"/>
                <w:szCs w:val="20"/>
                <w:color w:val="auto"/>
              </w:rPr>
            </w:pPr>
            <w:r>
              <w:rPr>
                <w:rFonts w:ascii="Arial" w:cs="Arial" w:eastAsia="Arial" w:hAnsi="Arial"/>
                <w:sz w:val="18"/>
                <w:szCs w:val="18"/>
                <w:b w:val="1"/>
                <w:bCs w:val="1"/>
                <w:color w:val="auto"/>
              </w:rPr>
              <w:t>IOVANCE BIOTHERAPEUTICS, INC.</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Date: February 25, 2020</w:t>
            </w:r>
          </w:p>
        </w:tc>
        <w:tc>
          <w:tcPr>
            <w:tcW w:w="7160" w:type="dxa"/>
            <w:vAlign w:val="bottom"/>
            <w:gridSpan w:val="2"/>
          </w:tcPr>
          <w:p>
            <w:pPr>
              <w:ind w:left="1960"/>
              <w:spacing w:after="0"/>
              <w:rPr>
                <w:sz w:val="20"/>
                <w:szCs w:val="20"/>
                <w:color w:val="auto"/>
              </w:rPr>
            </w:pPr>
            <w:r>
              <w:rPr>
                <w:rFonts w:ascii="Arial" w:cs="Arial" w:eastAsia="Arial" w:hAnsi="Arial"/>
                <w:sz w:val="18"/>
                <w:szCs w:val="18"/>
                <w:color w:val="auto"/>
              </w:rPr>
              <w:t>By: /s/ Maria Fardis</w:t>
            </w:r>
          </w:p>
        </w:tc>
      </w:tr>
      <w:tr>
        <w:trPr>
          <w:trHeight w:val="195"/>
        </w:trPr>
        <w:tc>
          <w:tcPr>
            <w:tcW w:w="2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Maria Fardis</w:t>
            </w:r>
          </w:p>
        </w:tc>
      </w:tr>
      <w:tr>
        <w:trPr>
          <w:trHeight w:val="230"/>
        </w:trPr>
        <w:tc>
          <w:tcPr>
            <w:tcW w:w="2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2900" w:type="dxa"/>
            <w:vAlign w:val="bottom"/>
          </w:tcPr>
          <w:p>
            <w:pPr>
              <w:spacing w:after="0"/>
              <w:rPr>
                <w:sz w:val="24"/>
                <w:szCs w:val="24"/>
                <w:color w:val="auto"/>
              </w:rPr>
            </w:pPr>
          </w:p>
        </w:tc>
        <w:tc>
          <w:tcPr>
            <w:tcW w:w="7160" w:type="dxa"/>
            <w:vAlign w:val="bottom"/>
            <w:gridSpan w:val="2"/>
          </w:tcPr>
          <w:p>
            <w:pPr>
              <w:ind w:left="1120"/>
              <w:spacing w:after="0"/>
              <w:rPr>
                <w:sz w:val="20"/>
                <w:szCs w:val="20"/>
                <w:color w:val="auto"/>
              </w:rPr>
            </w:pPr>
            <w:r>
              <w:rPr>
                <w:rFonts w:ascii="Arial" w:cs="Arial" w:eastAsia="Arial" w:hAnsi="Arial"/>
                <w:sz w:val="18"/>
                <w:szCs w:val="18"/>
                <w:b w:val="1"/>
                <w:bCs w:val="1"/>
                <w:color w:val="auto"/>
              </w:rPr>
              <w:t>POWER OF ATTORNEY</w:t>
            </w:r>
          </w:p>
        </w:tc>
      </w:tr>
    </w:tbl>
    <w:p>
      <w:pPr>
        <w:spacing w:after="0" w:line="20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Maria Fardis and Timothy E. Morris, and each of them, as his or her true and lawful attorneys-in-fact and agents,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all said attorneys-in-fact and agents, or any of them or their or his or her substitute or substituted, may lawfully do or cause to be done by virtue thereof.</w:t>
      </w:r>
    </w:p>
    <w:p>
      <w:pPr>
        <w:spacing w:after="0" w:line="1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18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26"/>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 (Principal</w:t>
            </w:r>
          </w:p>
        </w:tc>
        <w:tc>
          <w:tcPr>
            <w:tcW w:w="2440" w:type="dxa"/>
            <w:vAlign w:val="bottom"/>
          </w:tcPr>
          <w:p>
            <w:pPr>
              <w:spacing w:after="0"/>
              <w:rPr>
                <w:sz w:val="20"/>
                <w:szCs w:val="20"/>
                <w:color w:val="auto"/>
              </w:rPr>
            </w:pPr>
            <w:r>
              <w:rPr>
                <w:rFonts w:ascii="Arial" w:cs="Arial" w:eastAsia="Arial" w:hAnsi="Arial"/>
                <w:sz w:val="18"/>
                <w:szCs w:val="18"/>
                <w:color w:val="auto"/>
              </w:rPr>
              <w:t>February 25, 2020</w:t>
            </w: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Maria Fardis</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Executive Officer) and Director</w:t>
            </w:r>
          </w:p>
        </w:tc>
        <w:tc>
          <w:tcPr>
            <w:tcW w:w="2440" w:type="dxa"/>
            <w:vAlign w:val="bottom"/>
          </w:tcPr>
          <w:p>
            <w:pPr>
              <w:spacing w:after="0"/>
              <w:rPr>
                <w:sz w:val="19"/>
                <w:szCs w:val="19"/>
                <w:color w:val="auto"/>
              </w:rPr>
            </w:pPr>
          </w:p>
        </w:tc>
      </w:tr>
      <w:tr>
        <w:trPr>
          <w:trHeight w:val="418"/>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Morris</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and Treasurer</w:t>
            </w:r>
          </w:p>
        </w:tc>
        <w:tc>
          <w:tcPr>
            <w:tcW w:w="2440" w:type="dxa"/>
            <w:vAlign w:val="bottom"/>
          </w:tcPr>
          <w:p>
            <w:pPr>
              <w:spacing w:after="0"/>
              <w:rPr>
                <w:sz w:val="20"/>
                <w:szCs w:val="20"/>
                <w:color w:val="auto"/>
              </w:rPr>
            </w:pPr>
            <w:r>
              <w:rPr>
                <w:rFonts w:ascii="Arial" w:cs="Arial" w:eastAsia="Arial" w:hAnsi="Arial"/>
                <w:sz w:val="18"/>
                <w:szCs w:val="18"/>
                <w:color w:val="auto"/>
              </w:rPr>
              <w:t>February 25, 2020</w:t>
            </w: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Timothy E. Morris</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(Principal Financial Officer and Accounting Officer)</w:t>
            </w:r>
          </w:p>
        </w:tc>
        <w:tc>
          <w:tcPr>
            <w:tcW w:w="2440" w:type="dxa"/>
            <w:vAlign w:val="bottom"/>
          </w:tcPr>
          <w:p>
            <w:pPr>
              <w:spacing w:after="0"/>
              <w:rPr>
                <w:sz w:val="19"/>
                <w:szCs w:val="19"/>
                <w:color w:val="auto"/>
              </w:rPr>
            </w:pPr>
          </w:p>
        </w:tc>
      </w:tr>
      <w:tr>
        <w:trPr>
          <w:trHeight w:val="418"/>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Merrill A. McPeak</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20"/>
                <w:szCs w:val="20"/>
                <w:color w:val="auto"/>
              </w:rPr>
            </w:pPr>
            <w:r>
              <w:rPr>
                <w:rFonts w:ascii="Arial" w:cs="Arial" w:eastAsia="Arial" w:hAnsi="Arial"/>
                <w:sz w:val="18"/>
                <w:szCs w:val="18"/>
                <w:color w:val="auto"/>
              </w:rPr>
              <w:t>February 25, 2020</w:t>
            </w: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Merrill A. McPeak</w:t>
            </w:r>
          </w:p>
        </w:tc>
        <w:tc>
          <w:tcPr>
            <w:tcW w:w="1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8"/>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Weiser</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20"/>
                <w:szCs w:val="20"/>
                <w:color w:val="auto"/>
              </w:rPr>
            </w:pPr>
            <w:r>
              <w:rPr>
                <w:rFonts w:ascii="Arial" w:cs="Arial" w:eastAsia="Arial" w:hAnsi="Arial"/>
                <w:sz w:val="18"/>
                <w:szCs w:val="18"/>
                <w:color w:val="auto"/>
              </w:rPr>
              <w:t>February 25, 2020</w:t>
            </w: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Michael Weiser</w:t>
            </w:r>
          </w:p>
        </w:tc>
        <w:tc>
          <w:tcPr>
            <w:tcW w:w="1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8"/>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 Maynard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20"/>
                <w:szCs w:val="20"/>
                <w:color w:val="auto"/>
              </w:rPr>
            </w:pPr>
            <w:r>
              <w:rPr>
                <w:rFonts w:ascii="Arial" w:cs="Arial" w:eastAsia="Arial" w:hAnsi="Arial"/>
                <w:sz w:val="18"/>
                <w:szCs w:val="18"/>
                <w:color w:val="auto"/>
              </w:rPr>
              <w:t>February 25, 2020</w:t>
            </w: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Ryan D. Maynard</w:t>
            </w:r>
          </w:p>
        </w:tc>
        <w:tc>
          <w:tcPr>
            <w:tcW w:w="1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8"/>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Iain Dukes</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20"/>
                <w:szCs w:val="20"/>
                <w:color w:val="auto"/>
              </w:rPr>
            </w:pPr>
            <w:r>
              <w:rPr>
                <w:rFonts w:ascii="Arial" w:cs="Arial" w:eastAsia="Arial" w:hAnsi="Arial"/>
                <w:sz w:val="18"/>
                <w:szCs w:val="18"/>
                <w:color w:val="auto"/>
              </w:rPr>
              <w:t>February 25, 2020</w:t>
            </w: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Iain Dukes</w:t>
            </w:r>
          </w:p>
        </w:tc>
        <w:tc>
          <w:tcPr>
            <w:tcW w:w="1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8"/>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Rothbaum</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20"/>
                <w:szCs w:val="20"/>
                <w:color w:val="auto"/>
              </w:rPr>
            </w:pPr>
            <w:r>
              <w:rPr>
                <w:rFonts w:ascii="Arial" w:cs="Arial" w:eastAsia="Arial" w:hAnsi="Arial"/>
                <w:sz w:val="18"/>
                <w:szCs w:val="18"/>
                <w:color w:val="auto"/>
              </w:rPr>
              <w:t>February 25, 2020</w:t>
            </w: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Wayne Rothbaum</w:t>
            </w:r>
          </w:p>
        </w:tc>
        <w:tc>
          <w:tcPr>
            <w:tcW w:w="1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8"/>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Athena Countouriotis</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20"/>
                <w:szCs w:val="20"/>
                <w:color w:val="auto"/>
              </w:rPr>
            </w:pPr>
            <w:r>
              <w:rPr>
                <w:rFonts w:ascii="Arial" w:cs="Arial" w:eastAsia="Arial" w:hAnsi="Arial"/>
                <w:sz w:val="18"/>
                <w:szCs w:val="18"/>
                <w:color w:val="auto"/>
              </w:rPr>
              <w:t>February 25, 2020</w:t>
            </w: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Athena Countouriotis</w:t>
            </w:r>
          </w:p>
        </w:tc>
        <w:tc>
          <w:tcPr>
            <w:tcW w:w="1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864"/>
        </w:trPr>
        <w:tc>
          <w:tcPr>
            <w:tcW w:w="3220" w:type="dxa"/>
            <w:vAlign w:val="bottom"/>
          </w:tcPr>
          <w:p>
            <w:pPr>
              <w:spacing w:after="0"/>
              <w:rPr>
                <w:sz w:val="24"/>
                <w:szCs w:val="24"/>
                <w:color w:val="auto"/>
              </w:rPr>
            </w:pPr>
          </w:p>
        </w:tc>
        <w:tc>
          <w:tcPr>
            <w:tcW w:w="4220" w:type="dxa"/>
            <w:vAlign w:val="bottom"/>
            <w:gridSpan w:val="2"/>
          </w:tcPr>
          <w:p>
            <w:pPr>
              <w:jc w:val="right"/>
              <w:ind w:right="223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61"/>
        </w:trPr>
        <w:tc>
          <w:tcPr>
            <w:tcW w:w="3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665" w:right="91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40" w:type="dxa"/>
            <w:vAlign w:val="bottom"/>
            <w:gridSpan w:val="4"/>
          </w:tcPr>
          <w:p>
            <w:pPr>
              <w:jc w:val="center"/>
              <w:ind w:right="2300"/>
              <w:spacing w:after="0"/>
              <w:rPr>
                <w:sz w:val="20"/>
                <w:szCs w:val="20"/>
                <w:color w:val="auto"/>
              </w:rPr>
            </w:pPr>
            <w:r>
              <w:rPr>
                <w:rFonts w:ascii="Arial" w:cs="Arial" w:eastAsia="Arial" w:hAnsi="Arial"/>
                <w:sz w:val="18"/>
                <w:szCs w:val="18"/>
                <w:b w:val="1"/>
                <w:bCs w:val="1"/>
                <w:color w:val="auto"/>
              </w:rPr>
              <w:t>IOVANCE BIOTHERAPEUTICS, INC.</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4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0"/>
              </w:rPr>
              <w:t>Index to Financial Statements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40" w:type="dxa"/>
            <w:vAlign w:val="bottom"/>
            <w:gridSpan w:val="2"/>
          </w:tcPr>
          <w:p>
            <w:pPr>
              <w:jc w:val="center"/>
              <w:ind w:right="3220"/>
              <w:spacing w:after="0"/>
              <w:rPr>
                <w:sz w:val="20"/>
                <w:szCs w:val="20"/>
                <w:color w:val="auto"/>
              </w:rPr>
            </w:pPr>
            <w:r>
              <w:rPr>
                <w:rFonts w:ascii="Arial" w:cs="Arial" w:eastAsia="Arial" w:hAnsi="Arial"/>
                <w:sz w:val="18"/>
                <w:szCs w:val="18"/>
                <w:b w:val="1"/>
                <w:bCs w:val="1"/>
                <w:color w:val="auto"/>
                <w:w w:val="89"/>
              </w:rPr>
              <w:t>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40" w:type="dxa"/>
            <w:vAlign w:val="bottom"/>
            <w:gridSpan w:val="10"/>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gridSpan w:val="2"/>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40" w:type="dxa"/>
            <w:vAlign w:val="bottom"/>
            <w:gridSpan w:val="10"/>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Report of Independent Registered Public Accounting Firm on Internal Control over Financial Reporting</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gridSpan w:val="2"/>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gridSpan w:val="10"/>
            <w:shd w:val="clear" w:color="auto" w:fill="CCEEFF"/>
          </w:tcPr>
          <w:p>
            <w:pPr>
              <w:ind w:left="160"/>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Consolidated Balance Sheets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gridSpan w:val="2"/>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gridSpan w:val="10"/>
            <w:shd w:val="clear" w:color="auto" w:fill="CCEEFF"/>
          </w:tcPr>
          <w:p>
            <w:pPr>
              <w:ind w:left="160"/>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Statements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gridSpan w:val="2"/>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gridSpan w:val="10"/>
            <w:shd w:val="clear" w:color="auto" w:fill="CCEEFF"/>
          </w:tcPr>
          <w:p>
            <w:pPr>
              <w:ind w:left="16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Consolidated Statements of Comprehensive Loss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gridSpan w:val="2"/>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gridSpan w:val="10"/>
            <w:shd w:val="clear" w:color="auto" w:fill="CCEEFF"/>
          </w:tcPr>
          <w:p>
            <w:pPr>
              <w:ind w:left="16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Consolidated Statements of Stockholders’ Equity</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gridSpan w:val="2"/>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gridSpan w:val="10"/>
            <w:shd w:val="clear" w:color="auto" w:fill="CCEEFF"/>
          </w:tcPr>
          <w:p>
            <w:pPr>
              <w:ind w:left="16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Cash Flows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80" w:type="dxa"/>
            <w:vAlign w:val="bottom"/>
            <w:tcBorders>
              <w:top w:val="single" w:sz="8" w:color="0000EE"/>
            </w:tcBorders>
            <w:gridSpan w:val="2"/>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gridSpan w:val="10"/>
            <w:shd w:val="clear" w:color="auto" w:fill="CCEEFF"/>
          </w:tcPr>
          <w:p>
            <w:pPr>
              <w:ind w:left="160"/>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Notes to Consolidated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1439"/>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326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648" w:right="9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140"/>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Iovance Biotherapeutics,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audited the accompanying consolidated balance sheets of Iovance Biotherapeutics, Inc. (the “Company”) as of December 31, 2019 and 2018 and the related consolidated statements of operations, comprehensive loss,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the criteria established in Internal Control - Integrated Framework issued by the Committee of Sponsoring Organizations of the Treadway Commission (COSO) in 2013 and our report dated February 25, 2020, expressed an unqualified opinion on the effectiveness of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in 2019 due to the adoption of the guidance in ASC Topic 842, Leases (“Topic 842”).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Accounting for –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2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As described in Notes 2 and 10 to the consolidated financial statements, the Company adopted Topic 842, on January 1, 2019. In conjunction with the adoption of Topic 842, the Company evaluated the overall accounting implications, including review of contracts</w:t>
      </w:r>
    </w:p>
    <w:p>
      <w:pPr>
        <w:sectPr>
          <w:pgSz w:w="11900" w:h="16838" w:orient="portrait"/>
          <w:cols w:equalWidth="0" w:num="1">
            <w:col w:w="10060"/>
          </w:cols>
          <w:pgMar w:left="920" w:top="665" w:right="9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and manufacturing agreements to determine whether such agreements contained an embedded lease. On the adoption date, the Company recorded approximately $10.4 million in operating lease right-of-use assets and approximately $10.7 million in operating lease liabilities on its consolidated balance sheet for existing operating leases. The calculation of operating lease right-of-use assets and lease liabilities includes an estimate of the present value of future lease payments. Since the Company’s leases do not provide an implicit rate, management estimated their incremental borrowing rates used in its present value calculation, which required subjectivity. The incremental borrowing rate is the rate of interest that a lessee would have to pay to borrow on a collateralized basis over a similar term an amount equal to the lease payments in a similar economic environment.</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Auditing management’s contract evaluation performed in conjunction with the adoption of Topic 842 was complex and required judgment to analyze the terms within the contracts and manufacturing agreements to determine whether we concurred with management’s evaluation. Further, auditing management’s assessment of its incremental borrowing rate is especially subjective and judgmental as the Company has no outstanding debt nor committed credit facilities, secured or otherwise that would have comparable collateral or similar terms as their underlying 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included, amongst others:</w:t>
      </w:r>
    </w:p>
    <w:p>
      <w:pPr>
        <w:spacing w:after="0" w:line="225" w:lineRule="exact"/>
        <w:rPr>
          <w:sz w:val="20"/>
          <w:szCs w:val="20"/>
          <w:color w:val="auto"/>
        </w:rPr>
      </w:pPr>
    </w:p>
    <w:p>
      <w:pPr>
        <w:ind w:left="680" w:right="20" w:hanging="330"/>
        <w:spacing w:after="0" w:line="256"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obtained an understanding, evaluated the design, and tested the operating effectiveness of management’s controls with regards to the contract evaluation, and review of the methodology, inputs, and assumptions used to determine the incremental borrowing rate.</w:t>
      </w:r>
    </w:p>
    <w:p>
      <w:pPr>
        <w:ind w:left="680" w:right="180" w:hanging="330"/>
        <w:spacing w:after="0" w:line="250"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tested the contracts and manufacturing agreements to determine whether management appropriately evaluated whether such agreements contained an embedded lease.</w:t>
      </w:r>
    </w:p>
    <w:p>
      <w:pPr>
        <w:ind w:left="680" w:right="220" w:hanging="330"/>
        <w:spacing w:after="0" w:line="281"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reviewed the contractual terms of the lease agreements to ensure any lease term extensions and/or early termination clauses were properly considered in determining the appropriate lease term for calculating the incremental borrowing rates.</w:t>
      </w:r>
    </w:p>
    <w:p>
      <w:pPr>
        <w:spacing w:after="0" w:line="1" w:lineRule="exact"/>
        <w:rPr>
          <w:rFonts w:ascii="Arial" w:cs="Arial" w:eastAsia="Arial" w:hAnsi="Arial"/>
          <w:sz w:val="16"/>
          <w:szCs w:val="16"/>
          <w:color w:val="auto"/>
        </w:rPr>
      </w:pPr>
    </w:p>
    <w:p>
      <w:pPr>
        <w:ind w:left="680" w:right="20" w:hanging="330"/>
        <w:spacing w:after="0" w:line="250"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tested the underlying leases and other information that served as the basis for valuation and tested inputs and terms used in the valuation to determine completeness and accuracy.</w:t>
      </w:r>
    </w:p>
    <w:p>
      <w:pPr>
        <w:ind w:left="680" w:right="400" w:hanging="330"/>
        <w:spacing w:after="0" w:line="250"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evaluated the reasonableness of the valuation methods and assumptions used by management to estimate the incremental borrowing rates for borrowing amounts and terms comparable to their outstanding leases by:</w:t>
      </w:r>
    </w:p>
    <w:p>
      <w:pPr>
        <w:ind w:left="1000" w:right="280" w:hanging="324"/>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Developing an independent estimate of the incremental borrowing rates by utilizing third party data related to comparable</w:t>
      </w:r>
      <w:r>
        <w:rPr>
          <w:rFonts w:ascii="Courier New" w:cs="Courier New" w:eastAsia="Courier New" w:hAnsi="Courier New"/>
          <w:sz w:val="18"/>
          <w:szCs w:val="18"/>
          <w:color w:val="auto"/>
        </w:rPr>
        <w:t xml:space="preserve"> </w:t>
      </w:r>
      <w:r>
        <w:rPr>
          <w:rFonts w:ascii="Arial" w:cs="Arial" w:eastAsia="Arial" w:hAnsi="Arial"/>
          <w:sz w:val="18"/>
          <w:szCs w:val="18"/>
          <w:color w:val="auto"/>
        </w:rPr>
        <w:t>company borrowings with comparable payment terms.</w:t>
      </w:r>
    </w:p>
    <w:p>
      <w:pPr>
        <w:spacing w:after="0" w:line="1" w:lineRule="exact"/>
        <w:rPr>
          <w:rFonts w:ascii="Arial" w:cs="Arial" w:eastAsia="Arial" w:hAnsi="Arial"/>
          <w:sz w:val="18"/>
          <w:szCs w:val="18"/>
          <w:color w:val="auto"/>
        </w:rPr>
      </w:pPr>
    </w:p>
    <w:p>
      <w:pPr>
        <w:ind w:left="1000" w:right="20" w:hanging="324"/>
        <w:spacing w:after="0" w:line="252" w:lineRule="auto"/>
        <w:rPr>
          <w:rFonts w:ascii="Arial" w:cs="Arial" w:eastAsia="Arial" w:hAnsi="Arial"/>
          <w:sz w:val="18"/>
          <w:szCs w:val="18"/>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Performing a sensitivity analysis on incremental borrowing rates used to determine the impact rate changes could have on the</w:t>
      </w:r>
      <w:r>
        <w:rPr>
          <w:rFonts w:ascii="Courier New" w:cs="Courier New" w:eastAsia="Courier New" w:hAnsi="Courier New"/>
          <w:sz w:val="17"/>
          <w:szCs w:val="17"/>
          <w:color w:val="auto"/>
        </w:rPr>
        <w:t xml:space="preserve"> </w:t>
      </w:r>
      <w:r>
        <w:rPr>
          <w:rFonts w:ascii="Arial" w:cs="Arial" w:eastAsia="Arial" w:hAnsi="Arial"/>
          <w:sz w:val="17"/>
          <w:szCs w:val="17"/>
          <w:color w:val="auto"/>
        </w:rPr>
        <w:t>present value calculation of the Company’s operating lease right-of-use assets and operating lease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1127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u w:val="single" w:color="auto"/>
          <w:color w:val="auto"/>
        </w:rPr>
        <w:t>REPORT OF INDEPENDENT REGISTERED PUBLIC ACCOUNTING FIRM ON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Iovance Biotherapeutics,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We have audited Iovance Biotherapeutics, Inc.’s (the “Company”)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balance sheets as of December 31, 2019 and 2018, and related consolidated statements of operations, comprehensive loss, stockholders’ equity and cash flows and the related notes for each of the three years in the period ended December 31, 2019 of the Company and our report dated February 25, 2020 expressed an unqualified opinion on those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613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13,969</w:t>
            </w:r>
          </w:p>
        </w:tc>
        <w:tc>
          <w:tcPr>
            <w:tcW w:w="100" w:type="dxa"/>
            <w:vAlign w:val="bottom"/>
          </w:tcPr>
          <w:p>
            <w:pPr>
              <w:spacing w:after="0"/>
              <w:rPr>
                <w:sz w:val="17"/>
                <w:szCs w:val="17"/>
                <w:color w:val="auto"/>
              </w:rPr>
            </w:pP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Long-term assets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480,821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15,567</w:t>
            </w:r>
          </w:p>
        </w:tc>
        <w:tc>
          <w:tcPr>
            <w:tcW w:w="100" w:type="dxa"/>
            <w:vAlign w:val="bottom"/>
          </w:tcPr>
          <w:p>
            <w:pPr>
              <w:spacing w:after="0"/>
              <w:rPr>
                <w:sz w:val="17"/>
                <w:szCs w:val="17"/>
                <w:color w:val="auto"/>
              </w:rPr>
            </w:pP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 (Note 11)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20"/>
              <w:spacing w:after="0"/>
              <w:rPr>
                <w:sz w:val="20"/>
                <w:szCs w:val="20"/>
                <w:color w:val="auto"/>
              </w:rPr>
            </w:pPr>
            <w:r>
              <w:rPr>
                <w:rFonts w:ascii="Arial" w:cs="Arial" w:eastAsia="Arial" w:hAnsi="Arial"/>
                <w:sz w:val="16"/>
                <w:szCs w:val="16"/>
                <w:color w:val="auto"/>
              </w:rPr>
              <w:t>Series A Convertible Preferred stock, $0.001 par value; 17,000 shares designated, 194 shares issued and</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120"/>
              <w:spacing w:after="0"/>
              <w:rPr>
                <w:sz w:val="20"/>
                <w:szCs w:val="20"/>
                <w:color w:val="auto"/>
              </w:rPr>
            </w:pPr>
            <w:r>
              <w:rPr>
                <w:rFonts w:ascii="Arial" w:cs="Arial" w:eastAsia="Arial" w:hAnsi="Arial"/>
                <w:sz w:val="16"/>
                <w:szCs w:val="16"/>
                <w:color w:val="auto"/>
              </w:rPr>
              <w:t>outstanding as of December 31, 2019 and December 31, 2018 (aggregate liquidation value of $194)</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Series B Convertible Preferred stock, $0.001 par value; 11,500,000 shares designated, 3,581,119 and 5,854,845</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shares issued and outstanding as of December 31, 2019 and December 31, 2018 (aggregate liquidation value of</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$17,010)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20"/>
              <w:spacing w:after="0"/>
              <w:rPr>
                <w:sz w:val="20"/>
                <w:szCs w:val="20"/>
                <w:color w:val="auto"/>
              </w:rPr>
            </w:pPr>
            <w:r>
              <w:rPr>
                <w:rFonts w:ascii="Arial" w:cs="Arial" w:eastAsia="Arial" w:hAnsi="Arial"/>
                <w:sz w:val="16"/>
                <w:szCs w:val="16"/>
                <w:color w:val="auto"/>
                <w:w w:val="97"/>
              </w:rPr>
              <w:t>Common stock, $0.000041666 par value; 300,000,000 and 150,000,000 shares authorized, 126,411,808 and</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80" w:type="dxa"/>
            <w:vAlign w:val="bottom"/>
          </w:tcPr>
          <w:p>
            <w:pPr>
              <w:ind w:left="120"/>
              <w:spacing w:after="0"/>
              <w:rPr>
                <w:sz w:val="20"/>
                <w:szCs w:val="20"/>
                <w:color w:val="auto"/>
              </w:rPr>
            </w:pPr>
            <w:r>
              <w:rPr>
                <w:rFonts w:ascii="Arial" w:cs="Arial" w:eastAsia="Arial" w:hAnsi="Arial"/>
                <w:sz w:val="16"/>
                <w:szCs w:val="16"/>
                <w:color w:val="auto"/>
                <w:w w:val="98"/>
              </w:rPr>
              <w:t>123,415,576 shares issued and outstanding as of December 31, 2019 and December 31, 2018, respectively</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869,354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838,984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(570,612)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298,971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480,821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9"/>
          </w:tcPr>
          <w:p>
            <w:pPr>
              <w:ind w:left="40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99,828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206,872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128,258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(206,872)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(128,258)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(197,556)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(123,580)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Weighted-Average Common Share Outstanding, Basic and Diluted</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2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12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42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rPr>
              <w:t>IOVANCE BIOTHERAPEUTICS, INC.</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8"/>
              </w:rPr>
              <w:t>(in thousands)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9"/>
          </w:tcPr>
          <w:p>
            <w:pPr>
              <w:ind w:left="40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(197,556)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(123,580)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Other comprehensive gain (loss):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Net unrealized gain (loss) on short-term 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40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(197,294)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(123,622)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(92,093)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48" w:right="9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80" w:type="dxa"/>
            <w:vAlign w:val="bottom"/>
          </w:tcPr>
          <w:p>
            <w:pPr>
              <w:spacing w:after="0"/>
              <w:rPr>
                <w:sz w:val="13"/>
                <w:szCs w:val="13"/>
                <w:color w:val="auto"/>
              </w:rPr>
            </w:pPr>
          </w:p>
        </w:tc>
        <w:tc>
          <w:tcPr>
            <w:tcW w:w="760" w:type="dxa"/>
            <w:vAlign w:val="bottom"/>
            <w:gridSpan w:val="4"/>
          </w:tcPr>
          <w:p>
            <w:pPr>
              <w:jc w:val="center"/>
              <w:ind w:left="137"/>
              <w:spacing w:after="0"/>
              <w:rPr>
                <w:sz w:val="20"/>
                <w:szCs w:val="20"/>
                <w:color w:val="auto"/>
              </w:rPr>
            </w:pPr>
            <w:r>
              <w:rPr>
                <w:rFonts w:ascii="Arial" w:cs="Arial" w:eastAsia="Arial" w:hAnsi="Arial"/>
                <w:sz w:val="13"/>
                <w:szCs w:val="13"/>
                <w:b w:val="1"/>
                <w:bCs w:val="1"/>
                <w:color w:val="auto"/>
                <w:w w:val="84"/>
              </w:rPr>
              <w:t>Series A</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2"/>
              </w:rPr>
              <w:t>Series B Convertible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980" w:type="dxa"/>
            <w:vAlign w:val="bottom"/>
            <w:tcBorders>
              <w:top w:val="single" w:sz="8" w:color="auto"/>
              <w:bottom w:val="single" w:sz="8" w:color="auto"/>
            </w:tcBorders>
            <w:gridSpan w:val="5"/>
          </w:tcPr>
          <w:p>
            <w:pPr>
              <w:jc w:val="center"/>
              <w:spacing w:after="0" w:line="129" w:lineRule="exact"/>
              <w:rPr>
                <w:sz w:val="20"/>
                <w:szCs w:val="20"/>
                <w:color w:val="auto"/>
              </w:rPr>
            </w:pPr>
            <w:r>
              <w:rPr>
                <w:rFonts w:ascii="Arial" w:cs="Arial" w:eastAsia="Arial" w:hAnsi="Arial"/>
                <w:sz w:val="13"/>
                <w:szCs w:val="13"/>
                <w:b w:val="1"/>
                <w:bCs w:val="1"/>
                <w:color w:val="auto"/>
                <w:w w:val="88"/>
              </w:rPr>
              <w:t>Preferred Stock</w:t>
            </w:r>
          </w:p>
        </w:tc>
        <w:tc>
          <w:tcPr>
            <w:tcW w:w="140" w:type="dxa"/>
            <w:vAlign w:val="bottom"/>
          </w:tcPr>
          <w:p>
            <w:pPr>
              <w:spacing w:after="0"/>
              <w:rPr>
                <w:sz w:val="11"/>
                <w:szCs w:val="11"/>
                <w:color w:val="auto"/>
              </w:rPr>
            </w:pPr>
          </w:p>
        </w:tc>
        <w:tc>
          <w:tcPr>
            <w:tcW w:w="110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Arial" w:cs="Arial" w:eastAsia="Arial" w:hAnsi="Arial"/>
                <w:sz w:val="13"/>
                <w:szCs w:val="13"/>
                <w:b w:val="1"/>
                <w:bCs w:val="1"/>
                <w:color w:val="auto"/>
              </w:rPr>
              <w:t>Preferred Stock</w:t>
            </w:r>
          </w:p>
        </w:tc>
        <w:tc>
          <w:tcPr>
            <w:tcW w:w="18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bottom w:val="single" w:sz="8" w:color="auto"/>
            </w:tcBorders>
            <w:gridSpan w:val="4"/>
          </w:tcPr>
          <w:p>
            <w:pPr>
              <w:ind w:left="240"/>
              <w:spacing w:after="0" w:line="129" w:lineRule="exact"/>
              <w:rPr>
                <w:sz w:val="20"/>
                <w:szCs w:val="20"/>
                <w:color w:val="auto"/>
              </w:rPr>
            </w:pPr>
            <w:r>
              <w:rPr>
                <w:rFonts w:ascii="Arial" w:cs="Arial" w:eastAsia="Arial" w:hAnsi="Arial"/>
                <w:sz w:val="13"/>
                <w:szCs w:val="13"/>
                <w:b w:val="1"/>
                <w:bCs w:val="1"/>
                <w:color w:val="auto"/>
                <w:w w:val="90"/>
              </w:rPr>
              <w:t>Common Stock</w:t>
            </w: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8"/>
              </w:rPr>
              <w:t>Comprehensive</w:t>
            </w:r>
          </w:p>
        </w:tc>
        <w:tc>
          <w:tcPr>
            <w:tcW w:w="900" w:type="dxa"/>
            <w:vAlign w:val="bottom"/>
            <w:gridSpan w:val="3"/>
          </w:tcPr>
          <w:p>
            <w:pPr>
              <w:jc w:val="right"/>
              <w:ind w:right="160"/>
              <w:spacing w:after="0" w:line="129" w:lineRule="exact"/>
              <w:rPr>
                <w:sz w:val="20"/>
                <w:szCs w:val="20"/>
                <w:color w:val="auto"/>
              </w:rPr>
            </w:pPr>
            <w:r>
              <w:rPr>
                <w:rFonts w:ascii="Arial" w:cs="Arial" w:eastAsia="Arial" w:hAnsi="Arial"/>
                <w:sz w:val="13"/>
                <w:szCs w:val="13"/>
                <w:b w:val="1"/>
                <w:bCs w:val="1"/>
                <w:color w:val="auto"/>
                <w:w w:val="88"/>
              </w:rPr>
              <w:t>Accumulated</w:t>
            </w:r>
          </w:p>
        </w:tc>
        <w:tc>
          <w:tcPr>
            <w:tcW w:w="6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Stockholder</w:t>
            </w: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6"/>
              </w:rPr>
              <w:t>Shares</w:t>
            </w:r>
          </w:p>
        </w:tc>
        <w:tc>
          <w:tcPr>
            <w:tcW w:w="8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00" w:type="dxa"/>
            <w:vAlign w:val="bottom"/>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Capital</w:t>
            </w:r>
          </w:p>
        </w:tc>
        <w:tc>
          <w:tcPr>
            <w:tcW w:w="1000" w:type="dxa"/>
            <w:vAlign w:val="bottom"/>
            <w:gridSpan w:val="3"/>
          </w:tcPr>
          <w:p>
            <w:pPr>
              <w:ind w:left="60"/>
              <w:spacing w:after="0" w:line="129" w:lineRule="exact"/>
              <w:rPr>
                <w:sz w:val="20"/>
                <w:szCs w:val="20"/>
                <w:color w:val="auto"/>
              </w:rPr>
            </w:pPr>
            <w:r>
              <w:rPr>
                <w:rFonts w:ascii="Arial" w:cs="Arial" w:eastAsia="Arial" w:hAnsi="Arial"/>
                <w:sz w:val="13"/>
                <w:szCs w:val="13"/>
                <w:b w:val="1"/>
                <w:bCs w:val="1"/>
                <w:color w:val="auto"/>
              </w:rPr>
              <w:t>Income (Loss)</w:t>
            </w:r>
          </w:p>
        </w:tc>
        <w:tc>
          <w:tcPr>
            <w:tcW w:w="14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5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2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January 1, 2017</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1,694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7,946,673</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62,248,074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323,994</w:t>
            </w: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(157,116)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166,918</w:t>
            </w:r>
          </w:p>
        </w:tc>
        <w:tc>
          <w:tcPr>
            <w:tcW w:w="0" w:type="dxa"/>
            <w:vAlign w:val="bottom"/>
          </w:tcPr>
          <w:p>
            <w:pPr>
              <w:spacing w:after="0"/>
              <w:rPr>
                <w:sz w:val="1"/>
                <w:szCs w:val="1"/>
                <w:color w:val="auto"/>
              </w:rPr>
            </w:pPr>
          </w:p>
        </w:tc>
      </w:tr>
      <w:tr>
        <w:trPr>
          <w:trHeight w:val="135"/>
        </w:trPr>
        <w:tc>
          <w:tcPr>
            <w:tcW w:w="278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11,968</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11,968</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8"/>
              </w:rPr>
              <w:t>Vesting of restricted shares issued for services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225,970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780" w:type="dxa"/>
            <w:vAlign w:val="bottom"/>
          </w:tcPr>
          <w:p>
            <w:pPr>
              <w:ind w:left="120"/>
              <w:spacing w:after="0" w:line="121" w:lineRule="exact"/>
              <w:rPr>
                <w:sz w:val="20"/>
                <w:szCs w:val="20"/>
                <w:color w:val="auto"/>
              </w:rPr>
            </w:pPr>
            <w:r>
              <w:rPr>
                <w:rFonts w:ascii="Arial" w:cs="Arial" w:eastAsia="Arial" w:hAnsi="Arial"/>
                <w:sz w:val="13"/>
                <w:szCs w:val="13"/>
                <w:color w:val="auto"/>
                <w:w w:val="92"/>
              </w:rPr>
              <w:t>Tax payments related to shares witheld for vested</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rPr>
                <w:sz w:val="20"/>
                <w:szCs w:val="20"/>
                <w:color w:val="auto"/>
              </w:rPr>
            </w:pPr>
            <w:r>
              <w:rPr>
                <w:rFonts w:ascii="Arial" w:cs="Arial" w:eastAsia="Arial" w:hAnsi="Arial"/>
                <w:sz w:val="13"/>
                <w:szCs w:val="13"/>
                <w:color w:val="auto"/>
              </w:rPr>
              <w:t>restricted stock awards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(1,252)</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(1,252)</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4"/>
              </w:rPr>
              <w:t>Common stock issued upon exercise of warrants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662</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21"/>
        </w:trPr>
        <w:tc>
          <w:tcPr>
            <w:tcW w:w="2780" w:type="dxa"/>
            <w:vAlign w:val="bottom"/>
          </w:tcPr>
          <w:p>
            <w:pPr>
              <w:ind w:left="120"/>
              <w:spacing w:after="0" w:line="121" w:lineRule="exact"/>
              <w:rPr>
                <w:sz w:val="20"/>
                <w:szCs w:val="20"/>
                <w:color w:val="auto"/>
              </w:rPr>
            </w:pPr>
            <w:r>
              <w:rPr>
                <w:rFonts w:ascii="Arial" w:cs="Arial" w:eastAsia="Arial" w:hAnsi="Arial"/>
                <w:sz w:val="13"/>
                <w:szCs w:val="13"/>
                <w:color w:val="auto"/>
              </w:rPr>
              <w:t>Common stock issued upon exercise of stock</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rPr>
                <w:sz w:val="20"/>
                <w:szCs w:val="20"/>
                <w:color w:val="auto"/>
              </w:rPr>
            </w:pPr>
            <w:r>
              <w:rPr>
                <w:rFonts w:ascii="Arial" w:cs="Arial" w:eastAsia="Arial" w:hAnsi="Arial"/>
                <w:sz w:val="13"/>
                <w:szCs w:val="13"/>
                <w:color w:val="auto"/>
              </w:rPr>
              <w:t>options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1,011,284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5,616</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5,616</w:t>
            </w:r>
          </w:p>
        </w:tc>
        <w:tc>
          <w:tcPr>
            <w:tcW w:w="0" w:type="dxa"/>
            <w:vAlign w:val="bottom"/>
          </w:tcPr>
          <w:p>
            <w:pPr>
              <w:spacing w:after="0"/>
              <w:rPr>
                <w:sz w:val="1"/>
                <w:szCs w:val="1"/>
                <w:color w:val="auto"/>
              </w:rPr>
            </w:pPr>
          </w:p>
        </w:tc>
      </w:tr>
      <w:tr>
        <w:trPr>
          <w:trHeight w:val="121"/>
        </w:trPr>
        <w:tc>
          <w:tcPr>
            <w:tcW w:w="27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Conversion of convertible preferred stock into</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stock</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(568,432)</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568,432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780" w:type="dxa"/>
            <w:vAlign w:val="bottom"/>
          </w:tcPr>
          <w:p>
            <w:pPr>
              <w:ind w:left="120"/>
              <w:spacing w:after="0" w:line="121" w:lineRule="exact"/>
              <w:rPr>
                <w:sz w:val="20"/>
                <w:szCs w:val="20"/>
                <w:color w:val="auto"/>
              </w:rPr>
            </w:pPr>
            <w:r>
              <w:rPr>
                <w:rFonts w:ascii="Arial" w:cs="Arial" w:eastAsia="Arial" w:hAnsi="Arial"/>
                <w:sz w:val="13"/>
                <w:szCs w:val="13"/>
                <w:color w:val="auto"/>
              </w:rPr>
              <w:t>Common stock sold in public offering, net of</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rPr>
                <w:sz w:val="20"/>
                <w:szCs w:val="20"/>
                <w:color w:val="auto"/>
              </w:rPr>
            </w:pPr>
            <w:r>
              <w:rPr>
                <w:rFonts w:ascii="Arial" w:cs="Arial" w:eastAsia="Arial" w:hAnsi="Arial"/>
                <w:sz w:val="13"/>
                <w:szCs w:val="13"/>
                <w:color w:val="auto"/>
              </w:rPr>
              <w:t>offering costs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8,846,154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53,662</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53,662</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Unrealized loss on short- term investments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5"/>
        </w:trPr>
        <w:tc>
          <w:tcPr>
            <w:tcW w:w="278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(92,064)</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(92,064)</w:t>
            </w:r>
          </w:p>
        </w:tc>
        <w:tc>
          <w:tcPr>
            <w:tcW w:w="0" w:type="dxa"/>
            <w:vAlign w:val="bottom"/>
          </w:tcPr>
          <w:p>
            <w:pPr>
              <w:spacing w:after="0"/>
              <w:rPr>
                <w:sz w:val="1"/>
                <w:szCs w:val="1"/>
                <w:color w:val="auto"/>
              </w:rPr>
            </w:pPr>
          </w:p>
        </w:tc>
      </w:tr>
      <w:tr>
        <w:trPr>
          <w:trHeight w:val="129"/>
        </w:trPr>
        <w:tc>
          <w:tcPr>
            <w:tcW w:w="2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 December 31, 2017</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1,694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7,378,241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73,164,914</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394,651</w:t>
            </w: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(249,180)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145,481</w:t>
            </w:r>
          </w:p>
        </w:tc>
        <w:tc>
          <w:tcPr>
            <w:tcW w:w="0" w:type="dxa"/>
            <w:vAlign w:val="bottom"/>
          </w:tcPr>
          <w:p>
            <w:pPr>
              <w:spacing w:after="0"/>
              <w:rPr>
                <w:sz w:val="1"/>
                <w:szCs w:val="1"/>
                <w:color w:val="auto"/>
              </w:rPr>
            </w:pPr>
          </w:p>
        </w:tc>
      </w:tr>
      <w:tr>
        <w:trPr>
          <w:trHeight w:val="135"/>
        </w:trPr>
        <w:tc>
          <w:tcPr>
            <w:tcW w:w="278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20,027</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20,027</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8"/>
              </w:rPr>
              <w:t>Vesting of restricted shares issued for services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45,833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780" w:type="dxa"/>
            <w:vAlign w:val="bottom"/>
          </w:tcPr>
          <w:p>
            <w:pPr>
              <w:ind w:left="120"/>
              <w:spacing w:after="0" w:line="121" w:lineRule="exact"/>
              <w:rPr>
                <w:sz w:val="20"/>
                <w:szCs w:val="20"/>
                <w:color w:val="auto"/>
              </w:rPr>
            </w:pPr>
            <w:r>
              <w:rPr>
                <w:rFonts w:ascii="Arial" w:cs="Arial" w:eastAsia="Arial" w:hAnsi="Arial"/>
                <w:sz w:val="13"/>
                <w:szCs w:val="13"/>
                <w:color w:val="auto"/>
                <w:w w:val="92"/>
              </w:rPr>
              <w:t>Tax payments related to shares witheld for vested</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rPr>
                <w:sz w:val="20"/>
                <w:szCs w:val="20"/>
                <w:color w:val="auto"/>
              </w:rPr>
            </w:pPr>
            <w:r>
              <w:rPr>
                <w:rFonts w:ascii="Arial" w:cs="Arial" w:eastAsia="Arial" w:hAnsi="Arial"/>
                <w:sz w:val="13"/>
                <w:szCs w:val="13"/>
                <w:color w:val="auto"/>
              </w:rPr>
              <w:t>restricted stock awards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(223)</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w w:val="94"/>
              </w:rPr>
              <w:t>Common stock issued upon exercise of warrants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6,301,216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15,753</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15,754</w:t>
            </w:r>
          </w:p>
        </w:tc>
        <w:tc>
          <w:tcPr>
            <w:tcW w:w="0" w:type="dxa"/>
            <w:vAlign w:val="bottom"/>
          </w:tcPr>
          <w:p>
            <w:pPr>
              <w:spacing w:after="0"/>
              <w:rPr>
                <w:sz w:val="1"/>
                <w:szCs w:val="1"/>
                <w:color w:val="auto"/>
              </w:rPr>
            </w:pPr>
          </w:p>
        </w:tc>
      </w:tr>
      <w:tr>
        <w:trPr>
          <w:trHeight w:val="121"/>
        </w:trPr>
        <w:tc>
          <w:tcPr>
            <w:tcW w:w="2780" w:type="dxa"/>
            <w:vAlign w:val="bottom"/>
          </w:tcPr>
          <w:p>
            <w:pPr>
              <w:ind w:left="120"/>
              <w:spacing w:after="0" w:line="121" w:lineRule="exact"/>
              <w:rPr>
                <w:sz w:val="20"/>
                <w:szCs w:val="20"/>
                <w:color w:val="auto"/>
              </w:rPr>
            </w:pPr>
            <w:r>
              <w:rPr>
                <w:rFonts w:ascii="Arial" w:cs="Arial" w:eastAsia="Arial" w:hAnsi="Arial"/>
                <w:sz w:val="13"/>
                <w:szCs w:val="13"/>
                <w:color w:val="auto"/>
              </w:rPr>
              <w:t>Common stock issued upon exercise of stock</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rPr>
                <w:sz w:val="20"/>
                <w:szCs w:val="20"/>
                <w:color w:val="auto"/>
              </w:rPr>
            </w:pPr>
            <w:r>
              <w:rPr>
                <w:rFonts w:ascii="Arial" w:cs="Arial" w:eastAsia="Arial" w:hAnsi="Arial"/>
                <w:sz w:val="13"/>
                <w:szCs w:val="13"/>
                <w:color w:val="auto"/>
              </w:rPr>
              <w:t>options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1,336,514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9,959</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9,959</w:t>
            </w:r>
          </w:p>
        </w:tc>
        <w:tc>
          <w:tcPr>
            <w:tcW w:w="0" w:type="dxa"/>
            <w:vAlign w:val="bottom"/>
          </w:tcPr>
          <w:p>
            <w:pPr>
              <w:spacing w:after="0"/>
              <w:rPr>
                <w:sz w:val="1"/>
                <w:szCs w:val="1"/>
                <w:color w:val="auto"/>
              </w:rPr>
            </w:pPr>
          </w:p>
        </w:tc>
      </w:tr>
      <w:tr>
        <w:trPr>
          <w:trHeight w:val="121"/>
        </w:trPr>
        <w:tc>
          <w:tcPr>
            <w:tcW w:w="278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Common stock sold in public offering, net of</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offering costs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40,300,000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398,816</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398,817</w:t>
            </w:r>
          </w:p>
        </w:tc>
        <w:tc>
          <w:tcPr>
            <w:tcW w:w="0" w:type="dxa"/>
            <w:vAlign w:val="bottom"/>
          </w:tcPr>
          <w:p>
            <w:pPr>
              <w:spacing w:after="0"/>
              <w:rPr>
                <w:sz w:val="1"/>
                <w:szCs w:val="1"/>
                <w:color w:val="auto"/>
              </w:rPr>
            </w:pPr>
          </w:p>
        </w:tc>
      </w:tr>
      <w:tr>
        <w:trPr>
          <w:trHeight w:val="121"/>
        </w:trPr>
        <w:tc>
          <w:tcPr>
            <w:tcW w:w="2780" w:type="dxa"/>
            <w:vAlign w:val="bottom"/>
          </w:tcPr>
          <w:p>
            <w:pPr>
              <w:ind w:left="120"/>
              <w:spacing w:after="0" w:line="121" w:lineRule="exact"/>
              <w:rPr>
                <w:sz w:val="20"/>
                <w:szCs w:val="20"/>
                <w:color w:val="auto"/>
              </w:rPr>
            </w:pPr>
            <w:r>
              <w:rPr>
                <w:rFonts w:ascii="Arial" w:cs="Arial" w:eastAsia="Arial" w:hAnsi="Arial"/>
                <w:sz w:val="13"/>
                <w:szCs w:val="13"/>
                <w:color w:val="auto"/>
              </w:rPr>
              <w:t>Conversion of convertible preferred stock into</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rPr>
                <w:sz w:val="20"/>
                <w:szCs w:val="20"/>
                <w:color w:val="auto"/>
              </w:rPr>
            </w:pPr>
            <w:r>
              <w:rPr>
                <w:rFonts w:ascii="Arial" w:cs="Arial" w:eastAsia="Arial" w:hAnsi="Arial"/>
                <w:sz w:val="13"/>
                <w:szCs w:val="13"/>
                <w:color w:val="auto"/>
              </w:rPr>
              <w:t>common stock</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w w:val="92"/>
              </w:rPr>
              <w:t>(1,500)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(1,523,396)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740" w:type="dxa"/>
            <w:vAlign w:val="bottom"/>
          </w:tcPr>
          <w:p>
            <w:pPr>
              <w:jc w:val="right"/>
              <w:spacing w:after="0"/>
              <w:rPr>
                <w:sz w:val="20"/>
                <w:szCs w:val="20"/>
                <w:color w:val="auto"/>
              </w:rPr>
            </w:pPr>
            <w:r>
              <w:rPr>
                <w:rFonts w:ascii="Arial" w:cs="Arial" w:eastAsia="Arial" w:hAnsi="Arial"/>
                <w:sz w:val="13"/>
                <w:szCs w:val="13"/>
                <w:color w:val="auto"/>
              </w:rPr>
              <w:t>2,273,396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Cancellation of resticted shares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(6,297)</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tcPr>
          <w:p>
            <w:pPr>
              <w:ind w:left="120"/>
              <w:spacing w:after="0" w:line="135" w:lineRule="exact"/>
              <w:rPr>
                <w:sz w:val="20"/>
                <w:szCs w:val="20"/>
                <w:color w:val="auto"/>
              </w:rPr>
            </w:pPr>
            <w:r>
              <w:rPr>
                <w:rFonts w:ascii="Arial" w:cs="Arial" w:eastAsia="Arial" w:hAnsi="Arial"/>
                <w:sz w:val="13"/>
                <w:szCs w:val="13"/>
                <w:color w:val="auto"/>
              </w:rPr>
              <w:t>Unrealized loss on short- term investments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loss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(123,580)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(123,580)</w:t>
            </w:r>
          </w:p>
        </w:tc>
        <w:tc>
          <w:tcPr>
            <w:tcW w:w="0" w:type="dxa"/>
            <w:vAlign w:val="bottom"/>
          </w:tcPr>
          <w:p>
            <w:pPr>
              <w:spacing w:after="0"/>
              <w:rPr>
                <w:sz w:val="1"/>
                <w:szCs w:val="1"/>
                <w:color w:val="auto"/>
              </w:rPr>
            </w:pPr>
          </w:p>
        </w:tc>
      </w:tr>
      <w:tr>
        <w:trPr>
          <w:trHeight w:val="129"/>
        </w:trPr>
        <w:tc>
          <w:tcPr>
            <w:tcW w:w="2780" w:type="dxa"/>
            <w:vAlign w:val="bottom"/>
          </w:tcPr>
          <w:p>
            <w:pPr>
              <w:spacing w:after="0" w:line="129" w:lineRule="exact"/>
              <w:rPr>
                <w:sz w:val="20"/>
                <w:szCs w:val="20"/>
                <w:color w:val="auto"/>
              </w:rPr>
            </w:pPr>
            <w:r>
              <w:rPr>
                <w:rFonts w:ascii="Arial" w:cs="Arial" w:eastAsia="Arial" w:hAnsi="Arial"/>
                <w:sz w:val="13"/>
                <w:szCs w:val="13"/>
                <w:b w:val="1"/>
                <w:bCs w:val="1"/>
                <w:color w:val="auto"/>
              </w:rPr>
              <w:t>Balance - December 31, 2018</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5,854,845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auto"/>
            </w:tcBorders>
          </w:tcPr>
          <w:p>
            <w:pPr>
              <w:jc w:val="right"/>
              <w:ind w:right="227"/>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123,415,576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838,984</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140" w:type="dxa"/>
            <w:vAlign w:val="bottom"/>
            <w:tcBorders>
              <w:top w:val="single" w:sz="8" w:color="auto"/>
            </w:tcBorders>
          </w:tcPr>
          <w:p>
            <w:pPr>
              <w:jc w:val="right"/>
              <w:ind w:right="27"/>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(372,760)</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466,193</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Adoption of ASU 2018-07</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296</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24,277</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24,277</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Vesting of restricted stock shares issued for service</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780" w:type="dxa"/>
            <w:vAlign w:val="bottom"/>
          </w:tcPr>
          <w:p>
            <w:pPr>
              <w:spacing w:after="0" w:line="121" w:lineRule="exact"/>
              <w:rPr>
                <w:sz w:val="20"/>
                <w:szCs w:val="20"/>
                <w:color w:val="auto"/>
              </w:rPr>
            </w:pPr>
            <w:r>
              <w:rPr>
                <w:rFonts w:ascii="Arial" w:cs="Arial" w:eastAsia="Arial" w:hAnsi="Arial"/>
                <w:sz w:val="13"/>
                <w:szCs w:val="13"/>
                <w:color w:val="auto"/>
                <w:w w:val="96"/>
              </w:rPr>
              <w:t>Tax payments related to shares witheld for vested</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restricted stock units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(312)</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21"/>
        </w:trPr>
        <w:tc>
          <w:tcPr>
            <w:tcW w:w="2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Common stock issued upon exercise of stock</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options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727,492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6,443</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6,443</w:t>
            </w:r>
          </w:p>
        </w:tc>
        <w:tc>
          <w:tcPr>
            <w:tcW w:w="0" w:type="dxa"/>
            <w:vAlign w:val="bottom"/>
          </w:tcPr>
          <w:p>
            <w:pPr>
              <w:spacing w:after="0"/>
              <w:rPr>
                <w:sz w:val="1"/>
                <w:szCs w:val="1"/>
                <w:color w:val="auto"/>
              </w:rPr>
            </w:pPr>
          </w:p>
        </w:tc>
      </w:tr>
      <w:tr>
        <w:trPr>
          <w:trHeight w:val="121"/>
        </w:trPr>
        <w:tc>
          <w:tcPr>
            <w:tcW w:w="2780" w:type="dxa"/>
            <w:vAlign w:val="bottom"/>
          </w:tcPr>
          <w:p>
            <w:pPr>
              <w:spacing w:after="0" w:line="121" w:lineRule="exact"/>
              <w:rPr>
                <w:sz w:val="20"/>
                <w:szCs w:val="20"/>
                <w:color w:val="auto"/>
              </w:rPr>
            </w:pPr>
            <w:r>
              <w:rPr>
                <w:rFonts w:ascii="Arial" w:cs="Arial" w:eastAsia="Arial" w:hAnsi="Arial"/>
                <w:sz w:val="13"/>
                <w:szCs w:val="13"/>
                <w:color w:val="auto"/>
              </w:rPr>
              <w:t>Common stock issued from preferred stock</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conversion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0"/>
              </w:rPr>
              <w:t>(2,273,726)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740" w:type="dxa"/>
            <w:vAlign w:val="bottom"/>
          </w:tcPr>
          <w:p>
            <w:pPr>
              <w:jc w:val="right"/>
              <w:spacing w:after="0"/>
              <w:rPr>
                <w:sz w:val="20"/>
                <w:szCs w:val="20"/>
                <w:color w:val="auto"/>
              </w:rPr>
            </w:pPr>
            <w:r>
              <w:rPr>
                <w:rFonts w:ascii="Arial" w:cs="Arial" w:eastAsia="Arial" w:hAnsi="Arial"/>
                <w:sz w:val="13"/>
                <w:szCs w:val="13"/>
                <w:color w:val="auto"/>
              </w:rPr>
              <w:t>2,273,726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 on short- term investments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21"/>
        </w:trPr>
        <w:tc>
          <w:tcPr>
            <w:tcW w:w="2780" w:type="dxa"/>
            <w:vAlign w:val="bottom"/>
          </w:tcPr>
          <w:p>
            <w:pPr>
              <w:spacing w:after="0" w:line="121" w:lineRule="exact"/>
              <w:rPr>
                <w:sz w:val="20"/>
                <w:szCs w:val="20"/>
                <w:color w:val="auto"/>
              </w:rPr>
            </w:pPr>
            <w:r>
              <w:rPr>
                <w:rFonts w:ascii="Arial" w:cs="Arial" w:eastAsia="Arial" w:hAnsi="Arial"/>
                <w:sz w:val="13"/>
                <w:szCs w:val="13"/>
                <w:color w:val="auto"/>
                <w:w w:val="95"/>
              </w:rPr>
              <w:t>Cancellation of common shares from settlement of</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3"/>
                <w:szCs w:val="13"/>
                <w:color w:val="auto"/>
              </w:rPr>
              <w:t>dispute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(32,500)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(335)</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35"/>
        </w:trPr>
        <w:tc>
          <w:tcPr>
            <w:tcW w:w="2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loss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(197,556)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(197,556)</w:t>
            </w:r>
          </w:p>
        </w:tc>
        <w:tc>
          <w:tcPr>
            <w:tcW w:w="0" w:type="dxa"/>
            <w:vAlign w:val="bottom"/>
          </w:tcPr>
          <w:p>
            <w:pPr>
              <w:spacing w:after="0"/>
              <w:rPr>
                <w:sz w:val="1"/>
                <w:szCs w:val="1"/>
                <w:color w:val="auto"/>
              </w:rPr>
            </w:pPr>
          </w:p>
        </w:tc>
      </w:tr>
      <w:tr>
        <w:trPr>
          <w:trHeight w:val="129"/>
        </w:trPr>
        <w:tc>
          <w:tcPr>
            <w:tcW w:w="2780" w:type="dxa"/>
            <w:vAlign w:val="bottom"/>
          </w:tcPr>
          <w:p>
            <w:pPr>
              <w:spacing w:after="0" w:line="129" w:lineRule="exact"/>
              <w:rPr>
                <w:sz w:val="20"/>
                <w:szCs w:val="20"/>
                <w:color w:val="auto"/>
              </w:rPr>
            </w:pPr>
            <w:r>
              <w:rPr>
                <w:rFonts w:ascii="Arial" w:cs="Arial" w:eastAsia="Arial" w:hAnsi="Arial"/>
                <w:sz w:val="13"/>
                <w:szCs w:val="13"/>
                <w:b w:val="1"/>
                <w:bCs w:val="1"/>
                <w:color w:val="auto"/>
              </w:rPr>
              <w:t>Balance - December 31, 2019</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tcPr>
          <w:p>
            <w:pPr>
              <w:ind w:left="6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3,581,119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126,411,808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869,354</w:t>
            </w:r>
          </w:p>
        </w:tc>
        <w:tc>
          <w:tcPr>
            <w:tcW w:w="12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220</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(570,612)</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298,971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68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540" w:type="dxa"/>
            <w:vAlign w:val="bottom"/>
          </w:tcPr>
          <w:p>
            <w:pPr>
              <w:jc w:val="center"/>
              <w:ind w:left="1890"/>
              <w:spacing w:after="0"/>
              <w:rPr>
                <w:sz w:val="20"/>
                <w:szCs w:val="20"/>
                <w:color w:val="auto"/>
              </w:rPr>
            </w:pPr>
            <w:r>
              <w:rPr>
                <w:rFonts w:ascii="Arial" w:cs="Arial" w:eastAsia="Arial" w:hAnsi="Arial"/>
                <w:sz w:val="18"/>
                <w:szCs w:val="18"/>
                <w:b w:val="1"/>
                <w:bCs w:val="1"/>
                <w:color w:val="auto"/>
              </w:rPr>
              <w:t>IOVANCE BIOTHERAPEUTICS, INC.</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4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40" w:type="dxa"/>
            <w:vAlign w:val="bottom"/>
          </w:tcPr>
          <w:p>
            <w:pPr>
              <w:jc w:val="center"/>
              <w:ind w:left="189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7"/>
          </w:tcPr>
          <w:p>
            <w:pPr>
              <w:jc w:val="right"/>
              <w:ind w:right="39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(197,556)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(123,580)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Noncash lease expense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Accretion (amortization) of discounts and premiums on investments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Gain on settlement of dispute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Prepaid expenses, other assets, and long-term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Operating lease liabilities (Right-of-use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(158,889)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(101,249)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Maturities of short-term investments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514,601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Purchase of short-term investments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(417,659)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(426,081)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(386,279)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Proceeds from the issuance of preferred stock and common stock, net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398,817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424,307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82,152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145,373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 (Note 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Net unrealized gain (loss) on short-term investments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80"/>
              <w:spacing w:after="0"/>
              <w:rPr>
                <w:sz w:val="20"/>
                <w:szCs w:val="20"/>
                <w:color w:val="auto"/>
              </w:rPr>
            </w:pPr>
            <w:r>
              <w:rPr>
                <w:rFonts w:ascii="Arial" w:cs="Arial" w:eastAsia="Arial" w:hAnsi="Arial"/>
                <w:sz w:val="18"/>
                <w:szCs w:val="18"/>
                <w:color w:val="auto"/>
              </w:rPr>
              <w:t>Conversion of convertible preferred stock to common stock</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Vesting of restricted stock units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48" w:right="9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right="4540"/>
        <w:spacing w:after="0" w:line="464" w:lineRule="auto"/>
        <w:rPr>
          <w:sz w:val="20"/>
          <w:szCs w:val="20"/>
          <w:color w:val="auto"/>
        </w:rPr>
      </w:pPr>
      <w:r>
        <w:rPr>
          <w:rFonts w:ascii="Arial" w:cs="Arial" w:eastAsia="Arial" w:hAnsi="Arial"/>
          <w:sz w:val="18"/>
          <w:szCs w:val="18"/>
          <w:b w:val="1"/>
          <w:bCs w:val="1"/>
          <w:u w:val="single" w:color="auto"/>
          <w:color w:val="auto"/>
        </w:rPr>
        <w:t xml:space="preserve">NOTE 1. GENERAL ORGANIZATION, BUSINESS AND LIQUIDITY </w:t>
      </w:r>
      <w:r>
        <w:rPr>
          <w:rFonts w:ascii="Arial" w:cs="Arial" w:eastAsia="Arial" w:hAnsi="Arial"/>
          <w:sz w:val="18"/>
          <w:szCs w:val="18"/>
          <w:b w:val="1"/>
          <w:bCs w:val="1"/>
          <w:i w:val="1"/>
          <w:iCs w:val="1"/>
          <w:color w:val="auto"/>
        </w:rPr>
        <w:t>General Organization and Business</w:t>
      </w:r>
    </w:p>
    <w:p>
      <w:pPr>
        <w:ind w:firstLine="492"/>
        <w:spacing w:after="0" w:line="287" w:lineRule="auto"/>
        <w:rPr>
          <w:sz w:val="20"/>
          <w:szCs w:val="20"/>
          <w:color w:val="auto"/>
        </w:rPr>
      </w:pPr>
      <w:r>
        <w:rPr>
          <w:rFonts w:ascii="Arial" w:cs="Arial" w:eastAsia="Arial" w:hAnsi="Arial"/>
          <w:sz w:val="16"/>
          <w:szCs w:val="16"/>
          <w:color w:val="auto"/>
        </w:rPr>
        <w:t>Iovance Biotherapeutics, Inc. (the “Company”, “we”, “us” or “our”) is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an autologous cell therapy platform technology that was originally developed by the National Cancer Institute (NCI), which conducted initial clinical trials in diseases such as metastatic melanoma and cervical cancer. The Company has developed a new, shorter manufacturing process for TIL therapy known as Generation 2, or Gen 2, which yields a cryopreserved TIL product. This proprietary and scalable manufacturing method is being further investigated in multiple indications. The Company’s lead product candidates include lifileucel for metastatic melanoma and LN-145 for metastatic cervical cancer. In addition to metastatic melanoma and metastatic cervical cancer, it is investigating the effectiveness and safety of TIL therapy and peripheral blood lymphocyte therapy for the treatment of squamous cell carcinoma of the head and neck, non-small cell lung cancer, and chronic lymphocytic leukemia through its sponsored trials, as well as in other oncology indications through collaborations. On June 1, 2017, the Company reincorporated to become a company governed by Delaware corporation 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The Company is currently engaged in the development of therapeutics to fight cancer, specifically solid tumors. The Company currently does not have any commercial products and has not yet generated any revenues from its business. The Company currently does not anticipate that it will generate any revenues from the sale or licensing of any of its product candidates during the 12 months from the date these financial statements are issued. The Company has incurred a net loss of $197.6 million for the year ended December 31, 2019 and used $158.9 million of cash in its operating activities during the year ended December 31, 2019. As of December 31, 2019, the Company had $312.5 million in cash, cash equivalents, short-term investments, and restricted cash ( $14.0 million of cash and cash equivalents, $293.1 million in short-term investments and $5.5 million in restricted cash).</w:t>
      </w:r>
    </w:p>
    <w:p>
      <w:pPr>
        <w:spacing w:after="0" w:line="15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expects to further increase its research and development activities, which will increase the amount of cash used during 2020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and initiation of pre-commercial activities. Based on the funds the Company has available as of the date these financial statements are issued, the Company believes that it has sufficient capital to fund its anticipated operating expenses and capital expenditures for at least next twelve months from the date these financial statements are issued. The Company has latitude as to the timing and amount of expenditures for its commercial-scale production facility under construction in Philadelphia, Pennsylvania.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Company is subject to credit risk from its portfolio of cash equivalents and short-term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and diversification of risk and liquidity of investments sufficient to meet cash flow requirements.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ind w:right="4460"/>
        <w:spacing w:after="0" w:line="464"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PRACTICES </w:t>
      </w:r>
      <w:r>
        <w:rPr>
          <w:rFonts w:ascii="Arial" w:cs="Arial" w:eastAsia="Arial" w:hAnsi="Arial"/>
          <w:sz w:val="18"/>
          <w:szCs w:val="18"/>
          <w:b w:val="1"/>
          <w:bCs w:val="1"/>
          <w:i w:val="1"/>
          <w:iCs w:val="1"/>
          <w:color w:val="auto"/>
        </w:rPr>
        <w:t>Cash, Cash Equivalents, and Short-term Investments</w:t>
      </w:r>
    </w:p>
    <w:p>
      <w:pPr>
        <w:ind w:right="100" w:firstLine="324"/>
        <w:spacing w:after="0" w:line="270" w:lineRule="auto"/>
        <w:rPr>
          <w:sz w:val="20"/>
          <w:szCs w:val="20"/>
          <w:color w:val="auto"/>
        </w:rPr>
      </w:pPr>
      <w:r>
        <w:rPr>
          <w:rFonts w:ascii="Arial" w:cs="Arial" w:eastAsia="Arial" w:hAnsi="Arial"/>
          <w:sz w:val="17"/>
          <w:szCs w:val="17"/>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loss. The cost of debt securities is adjusted for the amortization of premiums and accretion of discounts to maturity. Such amortization and accretion are included in net interest income in the consolidated statements of operations. Gains and losses on securities sold are recorded based on the specific identification method and are included in net interest income in the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maintains a certain minimum balance, currently $5.5 million in a segregated bank account in connection with a letter of credit for the benefit of the landlord for its commercial manufacturing facility used as a security deposit for the lease (See Note 10 - Leases). This amount is classified as Restricted Cash on the Balance Sheet. The letter of credit will expire on May 28, 2020, however, it will be automatically extended, without written agreement, for one-year periods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As of December 31, 2019, restricted cash consisted of $5.5 million and this amount has been classified as a non-current asset on the Company’s consolidated balance sheets.</w:t>
      </w:r>
    </w:p>
    <w:p>
      <w:pPr>
        <w:spacing w:after="0" w:line="152"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Restricted cash (included in non-current assets on the consolidated balance sheets)</w:t>
            </w: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cash, cash equivalents and restricted cash</w:t>
            </w: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Property and equipment is stated at cost, net of accumulated depreciation and amortization. The cost of property and equipment is depreciated or amortized on the straight-line method over the following estimated useful lives: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1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 years</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7100" w:type="dxa"/>
            <w:vAlign w:val="bottom"/>
          </w:tcPr>
          <w:p>
            <w:pPr>
              <w:ind w:left="740"/>
              <w:spacing w:after="0"/>
              <w:rPr>
                <w:sz w:val="20"/>
                <w:szCs w:val="20"/>
                <w:color w:val="auto"/>
              </w:rPr>
            </w:pPr>
            <w:r>
              <w:rPr>
                <w:rFonts w:ascii="Arial" w:cs="Arial" w:eastAsia="Arial" w:hAnsi="Arial"/>
                <w:sz w:val="18"/>
                <w:szCs w:val="18"/>
                <w:color w:val="auto"/>
              </w:rPr>
              <w:t>5 years</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71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5 years</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100" w:type="dxa"/>
            <w:vAlign w:val="bottom"/>
          </w:tcPr>
          <w:p>
            <w:pPr>
              <w:ind w:left="740"/>
              <w:spacing w:after="0"/>
              <w:rPr>
                <w:sz w:val="20"/>
                <w:szCs w:val="20"/>
                <w:color w:val="auto"/>
              </w:rPr>
            </w:pPr>
            <w:r>
              <w:rPr>
                <w:rFonts w:ascii="Arial" w:cs="Arial" w:eastAsia="Arial" w:hAnsi="Arial"/>
                <w:sz w:val="18"/>
                <w:szCs w:val="18"/>
                <w:color w:val="auto"/>
              </w:rPr>
              <w:t>Lesser of the remaining economic life of the asset or the lease-term</w:t>
            </w:r>
          </w:p>
        </w:tc>
      </w:tr>
    </w:tbl>
    <w:p>
      <w:pPr>
        <w:spacing w:after="0" w:line="18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Expenditures for maintenance and repairs are charged to operations as incurred while renewals and betterments are capitalized. Gains and losses on disposals are included within operating expenses in the consolidated statements of operations.</w:t>
      </w:r>
    </w:p>
    <w:p>
      <w:pPr>
        <w:spacing w:after="0" w:line="12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Management assesses the carrying value of property and equipment whenever events or changes in circumstances indicate that the carrying value may not be recoverable. If there is indication of impairment, management prepares an estimate of future undiscounted cash flows expected to result from the use of the asset and its eventual disposition. If these cash flows are less than the carrying amount of the asset, an impairment loss is recognized to write down the asset to its estimated fair value. For the years ended December 31, 2019, 2018, and 2017, the Company did not recognize any impairments for its property and equipment.</w:t>
      </w:r>
    </w:p>
    <w:p>
      <w:pPr>
        <w:sectPr>
          <w:pgSz w:w="11900" w:h="16838" w:orient="portrait"/>
          <w:cols w:equalWidth="0" w:num="1">
            <w:col w:w="10060"/>
          </w:cols>
          <w:pgMar w:left="920" w:top="665"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09" w:name="page110"/>
    <w:bookmarkEnd w:id="109"/>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ind w:left="1" w:right="220" w:firstLine="324"/>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common shares outstanding during the period.</w:t>
      </w:r>
    </w:p>
    <w:p>
      <w:pPr>
        <w:spacing w:after="0" w:line="143" w:lineRule="exact"/>
        <w:rPr>
          <w:sz w:val="20"/>
          <w:szCs w:val="20"/>
          <w:color w:val="auto"/>
        </w:rPr>
      </w:pPr>
    </w:p>
    <w:p>
      <w:pPr>
        <w:ind w:left="1" w:firstLine="324"/>
        <w:spacing w:after="0" w:line="288" w:lineRule="auto"/>
        <w:rPr>
          <w:sz w:val="20"/>
          <w:szCs w:val="20"/>
          <w:color w:val="auto"/>
        </w:rPr>
      </w:pPr>
      <w:r>
        <w:rPr>
          <w:rFonts w:ascii="Arial" w:cs="Arial" w:eastAsia="Arial" w:hAnsi="Arial"/>
          <w:sz w:val="16"/>
          <w:szCs w:val="16"/>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and warrants</w:t>
      </w:r>
    </w:p>
    <w:p>
      <w:pPr>
        <w:ind w:left="1" w:right="80" w:hanging="1"/>
        <w:spacing w:after="0" w:line="261" w:lineRule="auto"/>
        <w:tabs>
          <w:tab w:leader="none" w:pos="2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vesting of restricted stock units and restricted stock awards, and (iii) conversion of preferred stock, are only included in the calculation of diluted net loss per share when their effect is dilutive.</w:t>
      </w:r>
    </w:p>
    <w:p>
      <w:pPr>
        <w:spacing w:after="0" w:line="143" w:lineRule="exact"/>
        <w:rPr>
          <w:sz w:val="20"/>
          <w:szCs w:val="20"/>
          <w:color w:val="auto"/>
        </w:rPr>
      </w:pPr>
    </w:p>
    <w:p>
      <w:pPr>
        <w:ind w:left="1" w:firstLine="324"/>
        <w:spacing w:after="0" w:line="277" w:lineRule="auto"/>
        <w:rPr>
          <w:sz w:val="20"/>
          <w:szCs w:val="20"/>
          <w:color w:val="auto"/>
        </w:rPr>
      </w:pPr>
      <w:r>
        <w:rPr>
          <w:rFonts w:ascii="Arial" w:cs="Arial" w:eastAsia="Arial" w:hAnsi="Arial"/>
          <w:sz w:val="18"/>
          <w:szCs w:val="18"/>
          <w:color w:val="auto"/>
        </w:rPr>
        <w:t>At December 31, 2019, 2018, and 2017,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1001"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32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88"/>
              </w:rPr>
              <w:t>As of December 31,</w:t>
            </w:r>
          </w:p>
        </w:tc>
        <w:tc>
          <w:tcPr>
            <w:tcW w:w="86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9,494,712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6,889,287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6,072,368</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Warrants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6,301,216</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847,000</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Series B Convertible Preferred*</w:t>
            </w:r>
          </w:p>
        </w:tc>
        <w:tc>
          <w:tcPr>
            <w:tcW w:w="920" w:type="dxa"/>
            <w:vAlign w:val="bottom"/>
          </w:tcPr>
          <w:p>
            <w:pPr>
              <w:jc w:val="right"/>
              <w:spacing w:after="0"/>
              <w:rPr>
                <w:sz w:val="20"/>
                <w:szCs w:val="20"/>
                <w:color w:val="auto"/>
              </w:rPr>
            </w:pPr>
            <w:r>
              <w:rPr>
                <w:rFonts w:ascii="Arial" w:cs="Arial" w:eastAsia="Arial" w:hAnsi="Arial"/>
                <w:sz w:val="18"/>
                <w:szCs w:val="18"/>
                <w:color w:val="auto"/>
              </w:rPr>
              <w:t>3,581,119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5,854,845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7,378,241</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68,742</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114,582</w:t>
            </w: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13,195,747</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12,909,874</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20,713,407</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*on an as-converted basis</w:t>
      </w:r>
    </w:p>
    <w:p>
      <w:pPr>
        <w:spacing w:after="0" w:line="185" w:lineRule="exact"/>
        <w:rPr>
          <w:sz w:val="20"/>
          <w:szCs w:val="20"/>
          <w:color w:val="auto"/>
        </w:rPr>
      </w:pPr>
    </w:p>
    <w:p>
      <w:pPr>
        <w:ind w:left="1" w:right="100" w:firstLine="324"/>
        <w:spacing w:after="0" w:line="264" w:lineRule="auto"/>
        <w:rPr>
          <w:sz w:val="20"/>
          <w:szCs w:val="20"/>
          <w:color w:val="auto"/>
        </w:rPr>
      </w:pPr>
      <w:r>
        <w:rPr>
          <w:rFonts w:ascii="Arial" w:cs="Arial" w:eastAsia="Arial" w:hAnsi="Arial"/>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8" w:lineRule="exact"/>
        <w:rPr>
          <w:sz w:val="20"/>
          <w:szCs w:val="20"/>
          <w:color w:val="auto"/>
        </w:rPr>
      </w:pPr>
    </w:p>
    <w:p>
      <w:pPr>
        <w:ind w:left="1" w:right="160" w:firstLine="324"/>
        <w:spacing w:after="0" w:line="257" w:lineRule="auto"/>
        <w:rPr>
          <w:sz w:val="20"/>
          <w:szCs w:val="20"/>
          <w:color w:val="auto"/>
        </w:rPr>
      </w:pPr>
      <w:r>
        <w:rPr>
          <w:rFonts w:ascii="Arial" w:cs="Arial" w:eastAsia="Arial" w:hAnsi="Arial"/>
          <w:sz w:val="18"/>
          <w:szCs w:val="18"/>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88" w:lineRule="exact"/>
        <w:rPr>
          <w:sz w:val="20"/>
          <w:szCs w:val="20"/>
          <w:color w:val="auto"/>
        </w:rPr>
      </w:pPr>
    </w:p>
    <w:p>
      <w:pPr>
        <w:ind w:left="1" w:right="40" w:firstLine="324"/>
        <w:spacing w:after="0" w:line="264"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41" w:lineRule="exact"/>
        <w:rPr>
          <w:sz w:val="20"/>
          <w:szCs w:val="20"/>
          <w:color w:val="auto"/>
        </w:rPr>
      </w:pPr>
    </w:p>
    <w:p>
      <w:pPr>
        <w:ind w:left="1" w:right="240" w:firstLine="324"/>
        <w:spacing w:after="0" w:line="277" w:lineRule="auto"/>
        <w:rPr>
          <w:sz w:val="20"/>
          <w:szCs w:val="20"/>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pacing w:after="0" w:line="130" w:lineRule="exact"/>
        <w:rPr>
          <w:sz w:val="20"/>
          <w:szCs w:val="20"/>
          <w:color w:val="auto"/>
        </w:rPr>
      </w:pPr>
    </w:p>
    <w:p>
      <w:pPr>
        <w:ind w:left="1" w:right="500" w:firstLine="324"/>
        <w:spacing w:after="0" w:line="277" w:lineRule="auto"/>
        <w:rPr>
          <w:sz w:val="20"/>
          <w:szCs w:val="20"/>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pacing w:after="0" w:line="143" w:lineRule="exact"/>
        <w:rPr>
          <w:sz w:val="20"/>
          <w:szCs w:val="20"/>
          <w:color w:val="auto"/>
        </w:rPr>
      </w:pPr>
    </w:p>
    <w:p>
      <w:pPr>
        <w:ind w:left="321"/>
        <w:spacing w:after="0"/>
        <w:rPr>
          <w:sz w:val="20"/>
          <w:szCs w:val="20"/>
          <w:color w:val="auto"/>
        </w:rPr>
      </w:pPr>
      <w:r>
        <w:rPr>
          <w:rFonts w:ascii="Arial" w:cs="Arial" w:eastAsia="Arial" w:hAnsi="Arial"/>
          <w:sz w:val="18"/>
          <w:szCs w:val="18"/>
          <w:color w:val="auto"/>
        </w:rPr>
        <w:t>The Company does not have fair valued assets classified under Level 2 as of December 31, 2019 and 2018.</w:t>
      </w:r>
    </w:p>
    <w:p>
      <w:pPr>
        <w:spacing w:after="0" w:line="185" w:lineRule="exact"/>
        <w:rPr>
          <w:sz w:val="20"/>
          <w:szCs w:val="20"/>
          <w:color w:val="auto"/>
        </w:rPr>
      </w:pPr>
    </w:p>
    <w:p>
      <w:pPr>
        <w:ind w:left="1" w:right="560" w:firstLine="324"/>
        <w:spacing w:after="0" w:line="277" w:lineRule="auto"/>
        <w:rPr>
          <w:sz w:val="20"/>
          <w:szCs w:val="20"/>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30" w:lineRule="exact"/>
        <w:rPr>
          <w:sz w:val="20"/>
          <w:szCs w:val="20"/>
          <w:color w:val="auto"/>
        </w:rPr>
      </w:pPr>
    </w:p>
    <w:p>
      <w:pPr>
        <w:ind w:left="321"/>
        <w:spacing w:after="0"/>
        <w:rPr>
          <w:sz w:val="20"/>
          <w:szCs w:val="20"/>
          <w:color w:val="auto"/>
        </w:rPr>
      </w:pPr>
      <w:r>
        <w:rPr>
          <w:rFonts w:ascii="Arial" w:cs="Arial" w:eastAsia="Arial" w:hAnsi="Arial"/>
          <w:sz w:val="18"/>
          <w:szCs w:val="18"/>
          <w:color w:val="auto"/>
        </w:rPr>
        <w:t>The Company does not have fair valued assets classified under Level 3 as of December 31, 2019 and 2018.</w:t>
      </w:r>
    </w:p>
    <w:p>
      <w:pPr>
        <w:sectPr>
          <w:pgSz w:w="11900" w:h="16838" w:orient="portrait"/>
          <w:cols w:equalWidth="0" w:num="1">
            <w:col w:w="10041"/>
          </w:cols>
          <w:pgMar w:left="919" w:top="665" w:right="9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665" w:right="9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Company’s financial instruments consist of cash and cash equivalents and short-term investments, all of which are reported at their respective fair value on its consolidated balance sheets.</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December 31, 2019 and 2018, financial assets measured at fair value on a recurring basis are categorized in the table below based upon the lowest level of significant input to the valuations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5"/>
          </w:tcPr>
          <w:p>
            <w:pPr>
              <w:jc w:val="right"/>
              <w:ind w:right="172"/>
              <w:spacing w:after="0"/>
              <w:rPr>
                <w:sz w:val="20"/>
                <w:szCs w:val="20"/>
                <w:color w:val="auto"/>
              </w:rPr>
            </w:pPr>
            <w:r>
              <w:rPr>
                <w:rFonts w:ascii="Arial" w:cs="Arial" w:eastAsia="Arial" w:hAnsi="Arial"/>
                <w:sz w:val="18"/>
                <w:szCs w:val="18"/>
                <w:b w:val="1"/>
                <w:bCs w:val="1"/>
                <w:color w:val="auto"/>
                <w:w w:val="91"/>
              </w:rPr>
              <w:t>Assets at Fair Value as of December 31, 2019</w:t>
            </w:r>
          </w:p>
        </w:tc>
      </w:tr>
      <w:tr>
        <w:trPr>
          <w:trHeight w:val="210"/>
        </w:trPr>
        <w:tc>
          <w:tcPr>
            <w:tcW w:w="6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Total</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242,249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242,249</w:t>
            </w: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r>
      <w:tr>
        <w:trPr>
          <w:trHeight w:val="210"/>
        </w:trPr>
        <w:tc>
          <w:tcPr>
            <w:tcW w:w="6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293,112</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293,112</w:t>
            </w:r>
          </w:p>
        </w:tc>
      </w:tr>
      <w:tr>
        <w:trPr>
          <w:trHeight w:val="20"/>
        </w:trPr>
        <w:tc>
          <w:tcPr>
            <w:tcW w:w="6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r>
      <w:tr>
        <w:trPr>
          <w:trHeight w:val="359"/>
        </w:trPr>
        <w:tc>
          <w:tcPr>
            <w:tcW w:w="6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5"/>
          </w:tcPr>
          <w:p>
            <w:pPr>
              <w:jc w:val="right"/>
              <w:ind w:right="512"/>
              <w:spacing w:after="0"/>
              <w:rPr>
                <w:sz w:val="20"/>
                <w:szCs w:val="20"/>
                <w:color w:val="auto"/>
              </w:rPr>
            </w:pPr>
            <w:r>
              <w:rPr>
                <w:rFonts w:ascii="Arial" w:cs="Arial" w:eastAsia="Arial" w:hAnsi="Arial"/>
                <w:sz w:val="14"/>
                <w:szCs w:val="14"/>
                <w:b w:val="1"/>
                <w:bCs w:val="1"/>
                <w:color w:val="auto"/>
              </w:rPr>
              <w:t>Assets at Fair Value as of December 31, 2018</w:t>
            </w:r>
          </w:p>
        </w:tc>
      </w:tr>
      <w:tr>
        <w:trPr>
          <w:trHeight w:val="142"/>
        </w:trPr>
        <w:tc>
          <w:tcPr>
            <w:tcW w:w="6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265,393</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265,393</w:t>
            </w: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120,978</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120,978</w:t>
            </w:r>
          </w:p>
        </w:tc>
      </w:tr>
      <w:tr>
        <w:trPr>
          <w:trHeight w:val="210"/>
        </w:trPr>
        <w:tc>
          <w:tcPr>
            <w:tcW w:w="6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2"/>
              </w:rPr>
              <w:t>386,371</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386,371</w:t>
            </w:r>
          </w:p>
        </w:tc>
      </w:tr>
      <w:tr>
        <w:trPr>
          <w:trHeight w:val="20"/>
        </w:trPr>
        <w:tc>
          <w:tcPr>
            <w:tcW w:w="6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America (“GAAP”) requires management to make estimates and assumptions that affect the reported amounts of assets and liabilities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disclosure of contingent assets and liabilities at the date of the financial statements and the reported amounts of revenue and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reporting period. Actual results could differ from those estimates. Significant estimates include the assumptions made in valuing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instruments issued for services and used in measuring operating right-of-use assets and operating lease liabilities, valuation of short-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 investments, accounting for potential liabilities, and the valuation allowance associated with the Company’s deferred tax assets.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8"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Iovance Biotherapeutics, Inc. and its wholly-owned subsidiary, Iovance Biotherapeutics GmbH. All intercompany accounts and transactions have been eliminated. The U.S. dollar is the functional currency for all the Company's consolidated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20" w:firstLine="492"/>
        <w:spacing w:after="0" w:line="284"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its consolidated balance sheet as Operating lease right-of-use assets and Operating lease liabilities as of December 31, 2019.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 Update (ASU) No. 2016-02 and ASU No.</w:t>
      </w:r>
    </w:p>
    <w:p>
      <w:pPr>
        <w:spacing w:after="0" w:line="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50"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jc w:val="both"/>
        <w:ind w:right="60" w:firstLine="492"/>
        <w:spacing w:after="0" w:line="264" w:lineRule="auto"/>
        <w:rPr>
          <w:sz w:val="20"/>
          <w:szCs w:val="20"/>
          <w:color w:val="auto"/>
        </w:rPr>
      </w:pPr>
      <w:r>
        <w:rPr>
          <w:rFonts w:ascii="Arial" w:cs="Arial" w:eastAsia="Arial" w:hAnsi="Arial"/>
          <w:sz w:val="18"/>
          <w:szCs w:val="18"/>
          <w:color w:val="auto"/>
        </w:rPr>
        <w:t>Prior period amounts continue to be reported in accordance with the Company's historic accounting under previous lease guidance, Topic 840. See “Recently Adopted Accounting Standards - Leases” below, for more information about the impact of the adoption on Topic 842.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periodically grants stock options to 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Upon the adoption of ASU No. 2018-07, Compensation-Stock Compensation (“Topic 718”),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 options have vested. The nonemployee awards that contain a performance condition that affects the quantity or other terms of the award are measured based on the outcome that is probable.</w:t>
      </w:r>
    </w:p>
    <w:p>
      <w:pPr>
        <w:spacing w:after="0" w:line="140"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11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has in the past issued restricted stock units (RSU) and restricted stock awards (RSA) as part of its share-based compensation programs. The Company measures the compensation cost with respect to RSUs and RSAs issued to employees based upon the estimated fair value of the equity instruments at the date of the grant, which is recognized as an expense over the period during which an employee is required to provide services in exchange for the awards.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RSUs and RSAs is based on the closing price of the Company’s common stock on the grant date.</w:t>
      </w:r>
    </w:p>
    <w:p>
      <w:pPr>
        <w:spacing w:after="0" w:line="19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consolidated statements of operations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r>
      <w:tr>
        <w:trPr>
          <w:trHeight w:val="210"/>
        </w:trPr>
        <w:tc>
          <w:tcPr>
            <w:tcW w:w="6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w:t>
            </w: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stock-based compensation broken down based on each individual instrument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r>
      <w:tr>
        <w:trPr>
          <w:trHeight w:val="210"/>
        </w:trPr>
        <w:tc>
          <w:tcPr>
            <w:tcW w:w="6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Restricted stock award expense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11,968</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research and development activities are deferred and amortized over the period that the goods are delivered, or the related services are performed, subject to an assessment of recoverability.</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Clinical development costs are a significant component of research and development expenses. The Company has a history of contracting with third parties that perform various clinical trial activities on its behalf in connection with the ongoing development of its product candidates. The financial terms of these contracts are subject to negotiations and may vary from contract to contract and may result in uneven payment flow. The Company accrues and expenses costs for clinical trial activities performed by third parties based upon estimates of the percentage of work completed over the life of the individual trial in accordance with agreements established with contract research organizations and clinical trial sites. The Company determines its estimates through discussions with internal clinical personnel and outside service providers as to the progress or stage of completion of trials or services and the agreed upon fee to be paid for such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legal, investor relations, facilities, business development, marketing, commercial and human resources functions. Other significant costs include facility costs not otherwise included in research and development expenses, sublicense royalty expenses, legal fees relating to corporate matters, insurance, public company expenses relating to maintaining compliance with Nasdaq listing rules and Securities and Exchange Commission (“SEC”) requirements, investor relations costs, and fees for accounting and consulting services. General and administrative costs are expensed as incurred, and the Company accrues for services provided by third parties related to the above expenses by monitoring the status of services provided and receiving estimates from its service providers and adjusting its accruals as actual costs become known.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158"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is subject to credit risk from its portfolio of cash equivalents and short-term investments. Under its investment policy, it limits amounts invested in such securities by credit rating, maturity, industry group, investment type and issuer, except for securities issued by the U.S. government. The Company is not exposed to any significant concentrations of credit risk from these financial instruments. The goals of its investment policy, in order of priority, are as follows: safety and preservation of principal and diversification of risk; liquidity of investments sufficient to meet cash flow requirements; and a competitive after-tax rate of return. The Company maintains cash, cash equivalents and short-term investment balances at three financial institutions. At times, the amounts on deposit may exceed the federally insured limits. Management believes that the financial institutions which hold its cash are financially sound and, accordingly, minimal credit risk exists. As of December 31, 2019, and 2018, respectively, the Company’s cash balances were in excess of insured limits maintained at the financial institutions.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w:t>
      </w:r>
    </w:p>
    <w:p>
      <w:pPr>
        <w:sectPr>
          <w:pgSz w:w="11900" w:h="16838" w:orient="portrait"/>
          <w:cols w:equalWidth="0" w:num="1">
            <w:col w:w="10060"/>
          </w:cols>
          <w:pgMar w:left="920" w:top="665" w:right="9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18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according to certain criteria. The criteria include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6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9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January 1, 2019, the Company adopted Topic 842, which establishes a new lease accounting method for lessees. The updated guidance requires an entity to recognize assets and liabilities arising from a lease for both financing and operating leases, along with additional qualitative and quantitative disclosures. The Company elected the package of practical expedients requiring no reassessment of whether any expired or existing contracts are or contain leases, the lease classification of any expired or existing leases, or initial direct costs for any existing leases. The standard had a material impact on its consolidated balance sheets by recognizing Operating lease right-of-use assets and Operating lease liabilities for operating leases but did not have an impact on its consolidated statement of operations or cash flows. The adoption of Topic 842 resulted in recognition of Operating lease right-of-use assets of $10.4 million, $4.9 million of Operating lease liabilities - current, and $5.8 million of Operating lease liabilities - noncurrent as of January 1, 2019, the date of adoption.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Nonemployee Share-Based Payment Accounting</w:t>
      </w:r>
    </w:p>
    <w:p>
      <w:pPr>
        <w:spacing w:after="0" w:line="18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On January 1, 2019, the Company adopted Topic 718, which eliminates the separate accounting method for nonemployee share-based payment awards and requires companies to account for share-based payment transactions with nonemployees in the same manner as share-based payment transactions with employees except for the term used in the grant date fair value. Under the new guidance, nonemployee share-based payment transactions are measured at the grant-date fair value and are no longer remeasured at the then-current fair values at each reporting date until the share options have vested. The guidance requires a modified-retrospective approach in transition. The Company compared the cumulative amounts that were recorded for its nonemployee share-based payments through December 31, 2018 immediately preceding the date of adoption to the cumulative amounts that should be recognized at the adoption date and recognized a cumulative effect of the transition adjustment of $0.3 million to retained earnings as of the date of adoption, January 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Disclosure</w:t>
      </w:r>
    </w:p>
    <w:p>
      <w:pPr>
        <w:spacing w:after="0" w:line="185" w:lineRule="exact"/>
        <w:rPr>
          <w:sz w:val="20"/>
          <w:szCs w:val="20"/>
          <w:color w:val="auto"/>
        </w:rPr>
      </w:pPr>
    </w:p>
    <w:p>
      <w:pPr>
        <w:jc w:val="both"/>
        <w:ind w:right="300" w:firstLine="324"/>
        <w:spacing w:after="0" w:line="312" w:lineRule="auto"/>
        <w:rPr>
          <w:sz w:val="20"/>
          <w:szCs w:val="20"/>
          <w:color w:val="auto"/>
        </w:rPr>
      </w:pPr>
      <w:r>
        <w:rPr>
          <w:rFonts w:ascii="Arial" w:cs="Arial" w:eastAsia="Arial" w:hAnsi="Arial"/>
          <w:sz w:val="16"/>
          <w:szCs w:val="16"/>
          <w:color w:val="auto"/>
        </w:rPr>
        <w:t>In August 2018, the FASB issued ASU No. 2018-13 Fair Value Measurement (Topic 820): Disclosure Framework- Changes to the Disclosure Requirements for Fair Value Measurement, which eliminates disclosure requirement regarding transfers between level 1 and level 2 of the fair value of hierarchy, however, adds disclosure requirements on the range and weighted average used to develop</w:t>
      </w:r>
    </w:p>
    <w:p>
      <w:pPr>
        <w:sectPr>
          <w:pgSz w:w="11900" w:h="16838" w:orient="portrait"/>
          <w:cols w:equalWidth="0" w:num="1">
            <w:col w:w="10060"/>
          </w:cols>
          <w:pgMar w:left="920" w:top="665" w:right="9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significant unobservable inputs for level 3 fair value measurements. The Company adopted the guidance on January 1, 2019, however, there was no adjustment required to its disclosures as it did not have fair value assets classified under level 2 or 3 as of December 31, 2019 and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9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June 2016, the FASB issued ASU 2016-13, Financial Instruments - Credit Losses, and also issued subsequent amendments to the initial guidance, ASU 2018-19, ASU 2019-04, ASU 2019-05, and ASU 2019-11 (collectively, Topic 326), to introduce a new impairment model for recognizing credit losses on financial instruments based on an estimate of current expected credit losses (CECL). Under Topic 326, an entity is required to estimate CECL on available-for-sale (AFS) debt securities only when the fair value is below the amortized cost of the asset and is no longer based on an impairment being “other-than-temporary”. Topic 326 also requires the impairment calculation on an individual security level and requires an entity use present value of cash flows when estimating the CECL. The credit-related losses are required to be recognized through earnings and non-credit related losses are reported in other comprehensive income. In April 2019, the FASB further clarified the scope of Topic 326 and addressed issues related to accrued interest receivable balances, recoveries, variable interest rates and prepayment. Topic 326 will be effective for public entities in fiscal years beginning after December 15, 2019, including interim periods within those fiscal years. The new guidance will require modified retrospective application to all outstanding instruments, with a cumulative effect adjustment recorded to opening retained earnings as of the beginning of the first period in which the guidance becomes effective. The Company will adopt this guidance on January 1, 2020, however, the Company does not believe the adoption of this new guidance will have any material impact on its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8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(ASU 2018-15), to help entities evaluate the accounting for fees paid by a customer in a cloud computing arrangement (hosting arrangement) by providing guidance for determining when the arrangement includes a software license. The guidance provided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(service) of the arrangement are expensed as incurred. ASU 2018-15 is effective for fiscal years beginning subsequent to December 15, 2019. The Company plans to adopt this guidance on January 1, 2020, and believes it will have a material impact on its consolidated balance sheets and statements of operations during 2020 by deferring recognition of costs as it prepares to invest in information technology infrastructure for its commercial manufacturing build-out.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operates in one segment, focused on developing and commercializing ACT using autologous TIL for the treatment of metastatic melanoma and other solid cancers.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85" w:lineRule="exact"/>
        <w:rPr>
          <w:sz w:val="20"/>
          <w:szCs w:val="20"/>
          <w:color w:val="auto"/>
        </w:rPr>
      </w:pPr>
    </w:p>
    <w:p>
      <w:pPr>
        <w:ind w:right="680" w:firstLine="492"/>
        <w:spacing w:after="0" w:line="308" w:lineRule="auto"/>
        <w:rPr>
          <w:sz w:val="20"/>
          <w:szCs w:val="20"/>
          <w:color w:val="auto"/>
        </w:rPr>
      </w:pPr>
      <w:r>
        <w:rPr>
          <w:rFonts w:ascii="Arial" w:cs="Arial" w:eastAsia="Arial" w:hAnsi="Arial"/>
          <w:sz w:val="17"/>
          <w:szCs w:val="17"/>
          <w:color w:val="auto"/>
        </w:rPr>
        <w:t>Management of the Company evaluates events that have occurred after the balance sheet date through the date the financial statements are issued. Based upon the review, the Company identified the following subsequent events.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exclusive worldwide license agreement</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January 12, 2020, the Company announced that it had entered into a research collaboration and exclusive worldwide license agreement whereby the Company will license gene-editing technology from Cellectis S.A. (“Cellectis”), a clinical-stage biopharmaceutical company, in order to develop TIL therapies that have been genetically edited. Financial terms of the license include development, regulatory and sales milestone payments from the Company to Cellectis, as well as royalty payments based on net sales of TALEN-modified TIL products.</w:t>
      </w:r>
    </w:p>
    <w:p>
      <w:pPr>
        <w:spacing w:after="0" w:line="148"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On January 12, 2020, the Company announced that it had obtained a license from Novartis Pharma AG (“Novartis”) to develop and commercialize an antibody cytokine engrafted protein, referred to as IOV-3001. Under the agreement, Iovance has paid an upfront</w:t>
      </w:r>
    </w:p>
    <w:p>
      <w:pPr>
        <w:sectPr>
          <w:pgSz w:w="11900" w:h="16838" w:orient="portrait"/>
          <w:cols w:equalWidth="0" w:num="1">
            <w:col w:w="10060"/>
          </w:cols>
          <w:pgMar w:left="920" w:top="665" w:right="9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payment to Novartis and may pay future milestones related to initiation of patent dosing in various phases of clinical development for IOV-3001 and approval of the product in the U.S, EU and Japan. Novartis is also entitled to low-to-mid single digit royalties from commercial sales of the product.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NOTE 3. CASH AND CASH EQUIVALENTS, AND SHORT-TERM INVESTMENTS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7600" w:type="dxa"/>
            <w:vAlign w:val="bottom"/>
            <w:gridSpan w:val="2"/>
          </w:tcPr>
          <w:p>
            <w:pPr>
              <w:ind w:left="320"/>
              <w:spacing w:after="0"/>
              <w:rPr>
                <w:sz w:val="20"/>
                <w:szCs w:val="20"/>
                <w:color w:val="auto"/>
              </w:rPr>
            </w:pPr>
            <w:r>
              <w:rPr>
                <w:rFonts w:ascii="Arial" w:cs="Arial" w:eastAsia="Arial" w:hAnsi="Arial"/>
                <w:sz w:val="18"/>
                <w:szCs w:val="18"/>
                <w:color w:val="auto"/>
              </w:rPr>
              <w:t>Cash equivalents, and short-term investments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7"/>
        </w:trPr>
        <w:tc>
          <w:tcPr>
            <w:tcW w:w="6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0"/>
        </w:trPr>
        <w:tc>
          <w:tcPr>
            <w:tcW w:w="6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25,968</w:t>
            </w:r>
          </w:p>
        </w:tc>
      </w:tr>
      <w:tr>
        <w:trPr>
          <w:trHeight w:val="210"/>
        </w:trPr>
        <w:tc>
          <w:tcPr>
            <w:tcW w:w="7600" w:type="dxa"/>
            <w:vAlign w:val="bottom"/>
            <w:gridSpan w:val="2"/>
          </w:tcPr>
          <w:p>
            <w:pPr>
              <w:ind w:left="120"/>
              <w:spacing w:after="0"/>
              <w:rPr>
                <w:sz w:val="20"/>
                <w:szCs w:val="20"/>
                <w:color w:val="auto"/>
              </w:rPr>
            </w:pPr>
            <w:r>
              <w:rPr>
                <w:rFonts w:ascii="Arial" w:cs="Arial" w:eastAsia="Arial" w:hAnsi="Arial"/>
                <w:sz w:val="18"/>
                <w:szCs w:val="18"/>
                <w:color w:val="auto"/>
              </w:rPr>
              <w:t>Cash equivalents 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25,968</w:t>
            </w:r>
          </w:p>
        </w:tc>
      </w:tr>
      <w:tr>
        <w:trPr>
          <w:trHeight w:val="20"/>
        </w:trPr>
        <w:tc>
          <w:tcPr>
            <w:tcW w:w="6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Cash equivalents in the tables above exclude cash demand deposits of $3.9 million and $56.2 million as of December 31, 2019 and 2018, respectively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265,393</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120,978</w:t>
            </w:r>
          </w:p>
        </w:tc>
      </w:tr>
      <w:tr>
        <w:trPr>
          <w:trHeight w:val="210"/>
        </w:trPr>
        <w:tc>
          <w:tcPr>
            <w:tcW w:w="7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investments total</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386,371</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cost and fair value of cash equivalents and short-term investments at December 31, 2018 and 2019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Gross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Accretion</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Gains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3"/>
              </w:rPr>
              <w:t>Losses</w:t>
            </w: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$ 241,709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242,249</w:t>
            </w: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US government agency securities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50,712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50,863</w:t>
            </w:r>
          </w:p>
        </w:tc>
      </w:tr>
      <w:tr>
        <w:trPr>
          <w:trHeight w:val="210"/>
        </w:trPr>
        <w:tc>
          <w:tcPr>
            <w:tcW w:w="4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$ 292,421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293,112</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Gross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2018</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Accretion</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Gains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3"/>
              </w:rPr>
              <w:t>Losses</w:t>
            </w: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$ 264,619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265,393</w:t>
            </w: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US government agency securities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120,653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120,978</w:t>
            </w:r>
          </w:p>
        </w:tc>
      </w:tr>
      <w:tr>
        <w:trPr>
          <w:trHeight w:val="210"/>
        </w:trPr>
        <w:tc>
          <w:tcPr>
            <w:tcW w:w="4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$ 385,272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386,371</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Unrealized gains and losses are included in accumulated other comprehensive loss. All short-term investments held by the Company as of December 31, 2019 and 2018 have a maturity of less than one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8"/>
        </w:trPr>
        <w:tc>
          <w:tcPr>
            <w:tcW w:w="1280" w:type="dxa"/>
            <w:vAlign w:val="bottom"/>
            <w:tcBorders>
              <w:top w:val="single" w:sz="8" w:color="0000EE"/>
            </w:tcBorders>
          </w:tcPr>
          <w:p>
            <w:pPr>
              <w:spacing w:after="0"/>
              <w:rPr>
                <w:sz w:val="24"/>
                <w:szCs w:val="24"/>
                <w:color w:val="auto"/>
              </w:rPr>
            </w:pPr>
          </w:p>
        </w:tc>
        <w:tc>
          <w:tcPr>
            <w:tcW w:w="632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rPr>
              <w:t>IOVANCE BIOTHERAPEUTICS,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32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rPr>
              <w:t>NOTES TO CONSOLIDATED FINANCIAL STATEMENTS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6"/>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NOTE 4. BALANCE SHEET COMPONENTS</w:t>
            </w: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7600" w:type="dxa"/>
            <w:vAlign w:val="bottom"/>
            <w:gridSpan w:val="3"/>
          </w:tcPr>
          <w:p>
            <w:pPr>
              <w:ind w:left="32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7"/>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128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0"/>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Lab equipment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Office furniture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0"/>
        </w:trPr>
        <w:tc>
          <w:tcPr>
            <w:tcW w:w="7600" w:type="dxa"/>
            <w:vAlign w:val="bottom"/>
            <w:gridSpan w:val="3"/>
          </w:tcPr>
          <w:p>
            <w:pPr>
              <w:spacing w:after="0"/>
              <w:rPr>
                <w:sz w:val="20"/>
                <w:szCs w:val="20"/>
                <w:color w:val="auto"/>
              </w:rPr>
            </w:pPr>
            <w:r>
              <w:rPr>
                <w:rFonts w:ascii="Arial" w:cs="Arial" w:eastAsia="Arial" w:hAnsi="Arial"/>
                <w:sz w:val="18"/>
                <w:szCs w:val="18"/>
                <w:color w:val="auto"/>
              </w:rPr>
              <w:t>Total Property and equipment,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6,643</w:t>
            </w: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(4,498)</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r>
      <w:tr>
        <w:trPr>
          <w:trHeight w:val="210"/>
        </w:trPr>
        <w:tc>
          <w:tcPr>
            <w:tcW w:w="76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r>
      <w:tr>
        <w:trPr>
          <w:trHeight w:val="20"/>
        </w:trPr>
        <w:tc>
          <w:tcPr>
            <w:tcW w:w="1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Depreciation expense for the years ended December 31, 2019, 2018 and 2017 was approximately $1.2 million, $1.0 million and $1.0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320"/>
              <w:spacing w:after="0"/>
              <w:rPr>
                <w:sz w:val="20"/>
                <w:szCs w:val="20"/>
                <w:color w:val="auto"/>
              </w:rPr>
            </w:pPr>
            <w:r>
              <w:rPr>
                <w:rFonts w:ascii="Arial" w:cs="Arial" w:eastAsia="Arial" w:hAnsi="Arial"/>
                <w:sz w:val="18"/>
                <w:szCs w:val="18"/>
                <w:color w:val="auto"/>
              </w:rPr>
              <w:t>Accrued liabilities consist of the following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27"/>
        </w:trPr>
        <w:tc>
          <w:tcPr>
            <w:tcW w:w="760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Legal and related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Manufacturing related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rent - current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10"/>
        </w:trPr>
        <w:tc>
          <w:tcPr>
            <w:tcW w:w="7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Offerings</w:t>
      </w:r>
    </w:p>
    <w:p>
      <w:pPr>
        <w:spacing w:after="0" w:line="18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3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On October 17,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$252.2 million, with net proceeds to the Company of $236.7 million.</w:t>
      </w:r>
    </w:p>
    <w:p>
      <w:pPr>
        <w:spacing w:after="0" w:line="14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June 10, 2019, the certificate of incorporation of the Company was amended to increase the number of authorized shares of the Company’s common stock, par value $0.000041666, from 150,000,000 shares to 300,000,000 shares (the “Certificate of Amendment”). The Certificate of Amendment was approved by the Company’s stockholders at the Company’s 2019 Annual Meeting of Stockholders held on June 10,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48" w:right="9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85"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The Company’s certificate of incorporation authorizes the issuance of up to 50,000,000 shares of “blank check” preferred stock. At December 31, 2019, 17,000 shares were designated as Series A Convertible Preferred Stock and 11,500,000 shares were designated as Series B Convertible Preferred Stock (“Series B Convertible Preferred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1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w:t>
      </w:r>
    </w:p>
    <w:p>
      <w:pPr>
        <w:spacing w:after="0" w:line="14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The common shares issued were determined on a formula basis of 500 common shares for each share of Series A Convertible Preferred Stock converted.</w:t>
      </w:r>
    </w:p>
    <w:p>
      <w:pPr>
        <w:spacing w:after="0" w:line="152"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No Shares of Series A Convertible Preferred Stock were converted during the year ended December 31, 2019. A total of 1,500 shares of Series A Convertible Preferred Stock were converted into 750,000 shares of common stock during the year ended December 31, 2018. At December 31, 2019 and 2018, 194 shares of Series A Convertible Preferred Stock (that are convertible into 97,000 shares of common stock) remained outstanding.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18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w:t>
      </w:r>
    </w:p>
    <w:p>
      <w:pPr>
        <w:spacing w:after="0" w:line="16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31"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auto"/>
        </w:rPr>
        <w:t>A total of 2,273,726 shares of Series B Convertible Preferred Stock were converted into 2,273,726 shares of common stock during the year ended December 31, 2019. A total of 1,523,396 shares of Series B Convertible Preferred Stock were converted into 1,523,396 shares of common stock during the year ended December 31, 2018. At December 31, 2019 and 2018, 3,581,119 and 5,854,845 shares of Series B Preferred Stock (that are convertible into 3,581,119 and 5,854,845 shares of common stock) remained outstanding,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Cancellation of Common Shares</w:t>
      </w:r>
    </w:p>
    <w:p>
      <w:pPr>
        <w:spacing w:after="0" w:line="19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September 30, 2013, the Company and a third party entered into an agreement under which the Company issued 50,000 shares of unregistered stock in the Company to the third party. On January 16, 2019, the two parties entered into a confidential settlement agreement in connection with a dispute related to their prior relationship and activities. As part of the settlement, the third party returned 32,500 shares of common stock to the Company for cancellation and retained the remaining 17,500 shares. The Company included a gain of $335,000 on cancellation of 32,500 shares in Other income in its consolidated statement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There were no remaining outstanding warrants as of December 31, 2019 and 2018. A summary of the changes of stock warrants is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Weighted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8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Under</w:t>
            </w:r>
          </w:p>
        </w:tc>
        <w:tc>
          <w:tcPr>
            <w:tcW w:w="2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58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Life</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6,566,216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Issued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Expired/Cancelled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6,301,216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Issued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(6,301,216)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Expired/Cancelled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197"/>
        </w:trPr>
        <w:tc>
          <w:tcPr>
            <w:tcW w:w="5840" w:type="dxa"/>
            <w:vAlign w:val="bottom"/>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Borders>
              <w:top w:val="single" w:sz="8" w:color="auto"/>
              <w:bottom w:val="single" w:sz="8" w:color="auto"/>
            </w:tcBorders>
          </w:tcPr>
          <w:p>
            <w:pPr>
              <w:ind w:left="64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780"/>
              <w:spacing w:after="0" w:line="196" w:lineRule="exact"/>
              <w:rPr>
                <w:sz w:val="20"/>
                <w:szCs w:val="20"/>
                <w:color w:val="auto"/>
              </w:rPr>
            </w:pPr>
            <w:r>
              <w:rPr>
                <w:rFonts w:ascii="Arial" w:cs="Arial" w:eastAsia="Arial" w:hAnsi="Arial"/>
                <w:sz w:val="18"/>
                <w:szCs w:val="18"/>
                <w:color w:val="auto"/>
              </w:rPr>
              <w:t>—</w:t>
            </w:r>
          </w:p>
        </w:tc>
      </w:tr>
      <w:tr>
        <w:trPr>
          <w:trHeight w:val="20"/>
        </w:trPr>
        <w:tc>
          <w:tcPr>
            <w:tcW w:w="5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October 14, 2011, the Company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Company’s Board of Directors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Company’s Board of Directors amended the 2011 Plan to increase the number of shares available for issuance upon the exercise of stock options under the 2011 Plan from 1,700,000 to 1,900,000 shares, effective immediately. At December 31, 2019, 151,240 shares were available for future grant under the 2011 Plan.</w:t>
      </w:r>
    </w:p>
    <w:p>
      <w:pPr>
        <w:spacing w:after="0" w:line="14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September 19, 2014, the Company’s Board of Directors adopted the Iovance Biotherapeutics, Inc. 2014 Equity Incentive Plan (the “2014 Plan”). The 2014 Plan was approved by the Company’s stockholders at the Company’s 2014 Annual Meeting of Stockholders held in November 2014. The 2014 Plan, as approved by the stockholders, authorized the issuance up to an aggregate of 2,350,000 shares of the Company’s common stock. On April 10, 2015, the Board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3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On August 16, 2016, the Company’s stockholders approved an increase in the total number of shares that can be issued under the 2014 Plan to 9,000,000 shares of the Company’s common stock. At December 31, 2019, 174,292 shares were available for grant under the Company’s 2014 Plan.</w:t>
      </w:r>
    </w:p>
    <w:p>
      <w:pPr>
        <w:spacing w:after="0" w:line="14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April 22, 2018, the Board of Directors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At December 31, 2019, 3,297,600 shares of common stock were available for grant under the Company’s 2018 Plan.</w:t>
      </w:r>
    </w:p>
    <w:p>
      <w:pPr>
        <w:sectPr>
          <w:pgSz w:w="11900" w:h="16838" w:orient="portrait"/>
          <w:cols w:equalWidth="0" w:num="1">
            <w:col w:w="10060"/>
          </w:cols>
          <w:pgMar w:left="920" w:top="665" w:right="9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On June 1, 2016, the Company entered into a restricted stock unit agreement with the Company’s new Chief Executive Officer, Maria Fardis, Ph.D., pursuant to which the Company granted Dr. Fardis 550,000 non-transferrable restricted stock units at fair market value of $5.87 per share as an inducement of employment pursuant to the exception to The Nasdaq Global Market rules that generally require stockholder approval of equity incentive plans. The 550,000 restricted stock units vest in installments as follows: (i) 137,500 restricted stock units vested upon the first anniversary of the effective date of Dr. Fardis’ employment agreement; (ii) 275,000 restricted stock units vest upon the satisfaction of certain clinical trial milestones; and (iii) 137,500 restricted stock units vest in equal monthly installments over the 36-month period following the first anniversary of the effective date of Dr. Fardis’ employment, provided that Dr. Fardis has been continuously employed with the Company as of such vesting dates. At December 31, 2019, 22,916 restricted stock units remained unvested.</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Stock-based compensation expense for restricted stock units are measured based on the closing fair market value of the Company's common stock on the date of grant. The stock-based compensation expenses relating to restricted stock units were $0.3 million, $0.3 million, and $1.1 million for the years ended December 31, 2019, 2018, and 2017, respectively, recorded as part of general and administrative expenses.</w:t>
      </w:r>
    </w:p>
    <w:p>
      <w:pPr>
        <w:spacing w:after="0" w:line="14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December 31, 2019, $0.1 million of total unrecognized compensation costs related to non-vested restricted stock units to be recognized over a weighted average period of 0.42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 summary of the status of stock options at December 31, 2019, and the changes during the three years then ended, is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Weighted</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Exercise</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Life</w:t>
            </w:r>
          </w:p>
        </w:tc>
        <w:tc>
          <w:tcPr>
            <w:tcW w:w="2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6,233,150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Issued</w:t>
            </w:r>
          </w:p>
        </w:tc>
        <w:tc>
          <w:tcPr>
            <w:tcW w:w="900" w:type="dxa"/>
            <w:vAlign w:val="bottom"/>
          </w:tcPr>
          <w:p>
            <w:pPr>
              <w:jc w:val="right"/>
              <w:spacing w:after="0"/>
              <w:rPr>
                <w:sz w:val="20"/>
                <w:szCs w:val="20"/>
                <w:color w:val="auto"/>
              </w:rPr>
            </w:pPr>
            <w:r>
              <w:rPr>
                <w:rFonts w:ascii="Arial" w:cs="Arial" w:eastAsia="Arial" w:hAnsi="Arial"/>
                <w:sz w:val="18"/>
                <w:szCs w:val="18"/>
                <w:color w:val="auto"/>
              </w:rPr>
              <w:t>2,188,800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(1,011,284)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(1,338,298)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6,072,368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Issued</w:t>
            </w:r>
          </w:p>
        </w:tc>
        <w:tc>
          <w:tcPr>
            <w:tcW w:w="900" w:type="dxa"/>
            <w:vAlign w:val="bottom"/>
          </w:tcPr>
          <w:p>
            <w:pPr>
              <w:jc w:val="right"/>
              <w:spacing w:after="0"/>
              <w:rPr>
                <w:sz w:val="20"/>
                <w:szCs w:val="20"/>
                <w:color w:val="auto"/>
              </w:rPr>
            </w:pPr>
            <w:r>
              <w:rPr>
                <w:rFonts w:ascii="Arial" w:cs="Arial" w:eastAsia="Arial" w:hAnsi="Arial"/>
                <w:sz w:val="18"/>
                <w:szCs w:val="18"/>
                <w:color w:val="auto"/>
              </w:rPr>
              <w:t>2,960,620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14.73</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(1,336,514)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(807,187)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Issued</w:t>
            </w:r>
          </w:p>
        </w:tc>
        <w:tc>
          <w:tcPr>
            <w:tcW w:w="900" w:type="dxa"/>
            <w:vAlign w:val="bottom"/>
          </w:tcPr>
          <w:p>
            <w:pPr>
              <w:jc w:val="right"/>
              <w:spacing w:after="0"/>
              <w:rPr>
                <w:sz w:val="20"/>
                <w:szCs w:val="20"/>
                <w:color w:val="auto"/>
              </w:rPr>
            </w:pPr>
            <w:r>
              <w:rPr>
                <w:rFonts w:ascii="Arial" w:cs="Arial" w:eastAsia="Arial" w:hAnsi="Arial"/>
                <w:sz w:val="18"/>
                <w:szCs w:val="18"/>
                <w:color w:val="auto"/>
              </w:rPr>
              <w:t>4,166,600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14.73</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(833,683)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9,494,712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8.05 years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December 31, 2019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4,548,959</w:t>
            </w: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w:t>
            </w:r>
          </w:p>
        </w:tc>
        <w:tc>
          <w:tcPr>
            <w:tcW w:w="200" w:type="dxa"/>
            <w:vAlign w:val="bottom"/>
          </w:tcPr>
          <w:p>
            <w:pPr>
              <w:spacing w:after="0"/>
              <w:rPr>
                <w:sz w:val="17"/>
                <w:szCs w:val="17"/>
                <w:color w:val="auto"/>
              </w:rPr>
            </w:pPr>
          </w:p>
        </w:tc>
        <w:tc>
          <w:tcPr>
            <w:tcW w:w="96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w w:val="92"/>
              </w:rPr>
              <w:t>6.95 years</w:t>
            </w:r>
          </w:p>
        </w:tc>
        <w:tc>
          <w:tcPr>
            <w:tcW w:w="1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82,864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recorded stock-based compensation expenses related to stock options of $24.0 million, $19.8 million, and $10.9 million for the years ended December 31, 2019, 2018, and 2017, respectively. As of December 31, 2019, there was $41.2 million of total unrecognized compensation expenses related to non-vested employee options to be recognized over a weighted average period of 1.97 years.</w:t>
      </w:r>
    </w:p>
    <w:p>
      <w:pPr>
        <w:spacing w:after="0" w:line="14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years ended December 31, 2019, 2018, and 2017 was $9.48, $14.44, and $6.58 per option respectively.</w:t>
      </w:r>
    </w:p>
    <w:p>
      <w:pPr>
        <w:sectPr>
          <w:pgSz w:w="11900" w:h="16838" w:orient="portrait"/>
          <w:cols w:equalWidth="0" w:num="1">
            <w:col w:w="10060"/>
          </w:cols>
          <w:pgMar w:left="920" w:top="665" w:right="9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year ended December 31, 2019 and the exercise price of the options, multiplied by the number of in-the-money stock options) that would have been received by the option holders had all option holders exercised their options on December 31, 2019. The intrinsic value of the Company’s stock options changes based on the closing price of the Company’s common stock.</w:t>
      </w:r>
    </w:p>
    <w:p>
      <w:pPr>
        <w:spacing w:after="0" w:line="14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total pre-tax intrinsic value of stock options exercised during the year ended December 31, 2019, 2018, and 2017 were $5.3 million, $2.3 million, and $2.6 million, respectively.</w:t>
      </w:r>
    </w:p>
    <w:p>
      <w:pPr>
        <w:spacing w:after="0" w:line="14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years ended December 31, 2019, 2018, and 2017:</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530"/>
              <w:spacing w:after="0"/>
              <w:rPr>
                <w:sz w:val="20"/>
                <w:szCs w:val="20"/>
                <w:color w:val="auto"/>
              </w:rPr>
            </w:pPr>
            <w:r>
              <w:rPr>
                <w:rFonts w:ascii="Arial" w:cs="Arial" w:eastAsia="Arial" w:hAnsi="Arial"/>
                <w:sz w:val="18"/>
                <w:szCs w:val="18"/>
                <w:b w:val="1"/>
                <w:bCs w:val="1"/>
                <w:color w:val="auto"/>
                <w:w w:val="89"/>
              </w:rPr>
              <w:t>Years Ended December 31,</w:t>
            </w:r>
          </w:p>
        </w:tc>
        <w:tc>
          <w:tcPr>
            <w:tcW w:w="80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8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15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tcBorders>
              <w:top w:val="single" w:sz="8" w:color="auto"/>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2.59%</w:t>
            </w:r>
          </w:p>
        </w:tc>
        <w:tc>
          <w:tcPr>
            <w:tcW w:w="700" w:type="dxa"/>
            <w:vAlign w:val="bottom"/>
          </w:tcPr>
          <w:p>
            <w:pPr>
              <w:ind w:left="20"/>
              <w:spacing w:after="0"/>
              <w:rPr>
                <w:sz w:val="20"/>
                <w:szCs w:val="20"/>
                <w:color w:val="auto"/>
              </w:rPr>
            </w:pPr>
            <w:r>
              <w:rPr>
                <w:rFonts w:ascii="Arial" w:cs="Arial" w:eastAsia="Arial" w:hAnsi="Arial"/>
                <w:sz w:val="18"/>
                <w:szCs w:val="18"/>
                <w:color w:val="auto"/>
              </w:rPr>
              <w:t>- 1.62%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2.97%</w:t>
            </w:r>
          </w:p>
        </w:tc>
        <w:tc>
          <w:tcPr>
            <w:tcW w:w="860" w:type="dxa"/>
            <w:vAlign w:val="bottom"/>
          </w:tcPr>
          <w:p>
            <w:pPr>
              <w:ind w:left="40"/>
              <w:spacing w:after="0"/>
              <w:rPr>
                <w:sz w:val="20"/>
                <w:szCs w:val="20"/>
                <w:color w:val="auto"/>
              </w:rPr>
            </w:pPr>
            <w:r>
              <w:rPr>
                <w:rFonts w:ascii="Arial" w:cs="Arial" w:eastAsia="Arial" w:hAnsi="Arial"/>
                <w:sz w:val="18"/>
                <w:szCs w:val="18"/>
                <w:color w:val="auto"/>
              </w:rPr>
              <w:t>- 2.27%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800" w:type="dxa"/>
            <w:vAlign w:val="bottom"/>
          </w:tcPr>
          <w:p>
            <w:pPr>
              <w:ind w:left="20"/>
              <w:spacing w:after="0"/>
              <w:rPr>
                <w:sz w:val="20"/>
                <w:szCs w:val="20"/>
                <w:color w:val="auto"/>
              </w:rPr>
            </w:pPr>
            <w:r>
              <w:rPr>
                <w:rFonts w:ascii="Arial" w:cs="Arial" w:eastAsia="Arial" w:hAnsi="Arial"/>
                <w:sz w:val="18"/>
                <w:szCs w:val="18"/>
                <w:color w:val="auto"/>
              </w:rPr>
              <w:t>- 1.72%</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- 5.13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- 5.13</w:t>
            </w: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71.62%</w:t>
            </w:r>
          </w:p>
        </w:tc>
        <w:tc>
          <w:tcPr>
            <w:tcW w:w="700" w:type="dxa"/>
            <w:vAlign w:val="bottom"/>
          </w:tcPr>
          <w:p>
            <w:pPr>
              <w:ind w:left="20"/>
              <w:spacing w:after="0"/>
              <w:rPr>
                <w:sz w:val="20"/>
                <w:szCs w:val="20"/>
                <w:color w:val="auto"/>
              </w:rPr>
            </w:pPr>
            <w:r>
              <w:rPr>
                <w:rFonts w:ascii="Arial" w:cs="Arial" w:eastAsia="Arial" w:hAnsi="Arial"/>
                <w:sz w:val="18"/>
                <w:szCs w:val="18"/>
                <w:color w:val="auto"/>
                <w:w w:val="91"/>
              </w:rPr>
              <w:t>- 70.63%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200.28%</w:t>
            </w:r>
          </w:p>
        </w:tc>
        <w:tc>
          <w:tcPr>
            <w:tcW w:w="860" w:type="dxa"/>
            <w:vAlign w:val="bottom"/>
          </w:tcPr>
          <w:p>
            <w:pPr>
              <w:ind w:left="40"/>
              <w:spacing w:after="0"/>
              <w:rPr>
                <w:sz w:val="20"/>
                <w:szCs w:val="20"/>
                <w:color w:val="auto"/>
              </w:rPr>
            </w:pPr>
            <w:r>
              <w:rPr>
                <w:rFonts w:ascii="Arial" w:cs="Arial" w:eastAsia="Arial" w:hAnsi="Arial"/>
                <w:sz w:val="18"/>
                <w:szCs w:val="18"/>
                <w:color w:val="auto"/>
                <w:w w:val="97"/>
              </w:rPr>
              <w:t>- 167.54%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209.69%</w:t>
            </w:r>
          </w:p>
        </w:tc>
        <w:tc>
          <w:tcPr>
            <w:tcW w:w="800" w:type="dxa"/>
            <w:vAlign w:val="bottom"/>
          </w:tcPr>
          <w:p>
            <w:pPr>
              <w:ind w:left="20"/>
              <w:spacing w:after="0"/>
              <w:rPr>
                <w:sz w:val="20"/>
                <w:szCs w:val="20"/>
                <w:color w:val="auto"/>
              </w:rPr>
            </w:pPr>
            <w:r>
              <w:rPr>
                <w:rFonts w:ascii="Arial" w:cs="Arial" w:eastAsia="Arial" w:hAnsi="Arial"/>
                <w:sz w:val="18"/>
                <w:szCs w:val="18"/>
                <w:color w:val="auto"/>
                <w:w w:val="92"/>
              </w:rPr>
              <w:t>- 190.46%</w:t>
            </w: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Expected Dividend Yield —The Company has never paid dividends and does not expect to pay dividends in the foreseeable future.</w:t>
      </w:r>
    </w:p>
    <w:p>
      <w:pPr>
        <w:spacing w:after="0" w:line="20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Risk-Free Interest Rate —The risk-free interest rate was based on the market yield currently available on United States Treasury securities with maturities approximately equal to the option’s expected term.</w:t>
      </w:r>
    </w:p>
    <w:p>
      <w:pPr>
        <w:spacing w:after="0" w:line="13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Expected Term —The expected term of the stock option grants was calculated based on historical exercises, cancellations, and forfeitures of stock options and outstanding option shares</w:t>
      </w:r>
    </w:p>
    <w:p>
      <w:pPr>
        <w:spacing w:after="0" w:line="14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Expected Volatility —The expected volatility is based on the historical volatility for the Company's stock over a period equal to the expected terms of the options.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Forfeiture Rate —The Company recognizes forfeitures as they occur.</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665" w:right="9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outstanding and exercisable stock options as of December 31, 2019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rPr>
              <w:t>Options Outstanding</w:t>
            </w:r>
          </w:p>
        </w:tc>
        <w:tc>
          <w:tcPr>
            <w:tcW w:w="840" w:type="dxa"/>
            <w:vAlign w:val="bottom"/>
          </w:tcPr>
          <w:p>
            <w:pPr>
              <w:spacing w:after="0"/>
              <w:rPr>
                <w:sz w:val="20"/>
                <w:szCs w:val="20"/>
                <w:color w:val="auto"/>
              </w:rPr>
            </w:pPr>
          </w:p>
        </w:tc>
        <w:tc>
          <w:tcPr>
            <w:tcW w:w="2500" w:type="dxa"/>
            <w:vAlign w:val="bottom"/>
            <w:gridSpan w:val="5"/>
          </w:tcPr>
          <w:p>
            <w:pPr>
              <w:jc w:val="right"/>
              <w:ind w:right="810"/>
              <w:spacing w:after="0"/>
              <w:rPr>
                <w:sz w:val="20"/>
                <w:szCs w:val="20"/>
                <w:color w:val="auto"/>
              </w:rPr>
            </w:pPr>
            <w:r>
              <w:rPr>
                <w:rFonts w:ascii="Arial" w:cs="Arial" w:eastAsia="Arial" w:hAnsi="Arial"/>
                <w:sz w:val="18"/>
                <w:szCs w:val="18"/>
                <w:b w:val="1"/>
                <w:bCs w:val="1"/>
                <w:color w:val="auto"/>
                <w:w w:val="91"/>
              </w:rPr>
              <w:t>Options Exercisable</w:t>
            </w:r>
          </w:p>
        </w:tc>
      </w:tr>
      <w:tr>
        <w:trPr>
          <w:trHeight w:val="191"/>
        </w:trPr>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16"/>
        </w:trPr>
        <w:tc>
          <w:tcPr>
            <w:tcW w:w="1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5"/>
              </w:rPr>
              <w:t>Remaining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Range of Exercise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r>
      <w:tr>
        <w:trPr>
          <w:trHeight w:val="234"/>
        </w:trPr>
        <w:tc>
          <w:tcPr>
            <w:tcW w:w="31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Prices</w:t>
            </w: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29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$5.05 - $5.87</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1,086,300</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945,048</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1440" w:type="dxa"/>
            <w:vAlign w:val="bottom"/>
          </w:tcPr>
          <w:p>
            <w:pPr>
              <w:jc w:val="right"/>
              <w:spacing w:after="0"/>
              <w:rPr>
                <w:sz w:val="20"/>
                <w:szCs w:val="20"/>
                <w:color w:val="auto"/>
              </w:rPr>
            </w:pPr>
            <w:r>
              <w:rPr>
                <w:rFonts w:ascii="Arial" w:cs="Arial" w:eastAsia="Arial" w:hAnsi="Arial"/>
                <w:sz w:val="18"/>
                <w:szCs w:val="18"/>
                <w:color w:val="auto"/>
              </w:rPr>
              <w:t>$5.88</w:t>
            </w:r>
          </w:p>
        </w:tc>
        <w:tc>
          <w:tcPr>
            <w:tcW w:w="1540" w:type="dxa"/>
            <w:vAlign w:val="bottom"/>
          </w:tcPr>
          <w:p>
            <w:pPr>
              <w:jc w:val="right"/>
              <w:ind w:right="910"/>
              <w:spacing w:after="0"/>
              <w:rPr>
                <w:sz w:val="20"/>
                <w:szCs w:val="20"/>
                <w:color w:val="auto"/>
              </w:rPr>
            </w:pPr>
            <w:r>
              <w:rPr>
                <w:rFonts w:ascii="Arial" w:cs="Arial" w:eastAsia="Arial" w:hAnsi="Arial"/>
                <w:sz w:val="18"/>
                <w:szCs w:val="18"/>
                <w:color w:val="auto"/>
                <w:w w:val="92"/>
              </w:rPr>
              <w:t>- $7.55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1,413,645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1,329,098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16"/>
        </w:trPr>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5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2"/>
              </w:rPr>
              <w:t>- $9.10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2980" w:type="dxa"/>
            <w:vAlign w:val="bottom"/>
            <w:gridSpan w:val="2"/>
          </w:tcPr>
          <w:p>
            <w:pPr>
              <w:jc w:val="center"/>
              <w:spacing w:after="0"/>
              <w:rPr>
                <w:sz w:val="20"/>
                <w:szCs w:val="20"/>
                <w:color w:val="auto"/>
              </w:rPr>
            </w:pPr>
            <w:r>
              <w:rPr>
                <w:rFonts w:ascii="Arial" w:cs="Arial" w:eastAsia="Arial" w:hAnsi="Arial"/>
                <w:sz w:val="18"/>
                <w:szCs w:val="18"/>
                <w:color w:val="auto"/>
                <w:w w:val="89"/>
              </w:rPr>
              <w:t>$9.11 - $10.69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962,900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248,689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16"/>
        </w:trPr>
        <w:tc>
          <w:tcPr>
            <w:tcW w:w="29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$10.70 - $11.15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16"/>
        </w:trPr>
        <w:tc>
          <w:tcPr>
            <w:tcW w:w="1440" w:type="dxa"/>
            <w:vAlign w:val="bottom"/>
          </w:tcPr>
          <w:p>
            <w:pPr>
              <w:jc w:val="right"/>
              <w:spacing w:after="0"/>
              <w:rPr>
                <w:sz w:val="20"/>
                <w:szCs w:val="20"/>
                <w:color w:val="auto"/>
              </w:rPr>
            </w:pPr>
            <w:r>
              <w:rPr>
                <w:rFonts w:ascii="Arial" w:cs="Arial" w:eastAsia="Arial" w:hAnsi="Arial"/>
                <w:sz w:val="18"/>
                <w:szCs w:val="18"/>
                <w:color w:val="auto"/>
              </w:rPr>
              <w:t>$11.16</w:t>
            </w:r>
          </w:p>
        </w:tc>
        <w:tc>
          <w:tcPr>
            <w:tcW w:w="1540" w:type="dxa"/>
            <w:vAlign w:val="bottom"/>
          </w:tcPr>
          <w:p>
            <w:pPr>
              <w:jc w:val="right"/>
              <w:ind w:right="830"/>
              <w:spacing w:after="0"/>
              <w:rPr>
                <w:sz w:val="20"/>
                <w:szCs w:val="20"/>
                <w:color w:val="auto"/>
              </w:rPr>
            </w:pPr>
            <w:r>
              <w:rPr>
                <w:rFonts w:ascii="Arial" w:cs="Arial" w:eastAsia="Arial" w:hAnsi="Arial"/>
                <w:sz w:val="18"/>
                <w:szCs w:val="18"/>
                <w:color w:val="auto"/>
                <w:w w:val="90"/>
              </w:rPr>
              <w:t>- $11.26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1,574,900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$11.27 - $16.50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1,283,110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16"/>
        </w:trPr>
        <w:tc>
          <w:tcPr>
            <w:tcW w:w="1440" w:type="dxa"/>
            <w:vAlign w:val="bottom"/>
          </w:tcPr>
          <w:p>
            <w:pPr>
              <w:jc w:val="right"/>
              <w:spacing w:after="0"/>
              <w:rPr>
                <w:sz w:val="20"/>
                <w:szCs w:val="20"/>
                <w:color w:val="auto"/>
              </w:rPr>
            </w:pPr>
            <w:r>
              <w:rPr>
                <w:rFonts w:ascii="Arial" w:cs="Arial" w:eastAsia="Arial" w:hAnsi="Arial"/>
                <w:sz w:val="18"/>
                <w:szCs w:val="18"/>
                <w:color w:val="auto"/>
              </w:rPr>
              <w:t>$16.51</w:t>
            </w:r>
          </w:p>
        </w:tc>
        <w:tc>
          <w:tcPr>
            <w:tcW w:w="1540" w:type="dxa"/>
            <w:vAlign w:val="bottom"/>
          </w:tcPr>
          <w:p>
            <w:pPr>
              <w:jc w:val="right"/>
              <w:ind w:right="830"/>
              <w:spacing w:after="0"/>
              <w:rPr>
                <w:sz w:val="20"/>
                <w:szCs w:val="20"/>
                <w:color w:val="auto"/>
              </w:rPr>
            </w:pPr>
            <w:r>
              <w:rPr>
                <w:rFonts w:ascii="Arial" w:cs="Arial" w:eastAsia="Arial" w:hAnsi="Arial"/>
                <w:sz w:val="18"/>
                <w:szCs w:val="18"/>
                <w:color w:val="auto"/>
                <w:w w:val="90"/>
              </w:rPr>
              <w:t>- $19.75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1,046,000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378,581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16"/>
        </w:trPr>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5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0"/>
              </w:rPr>
              <w:t>- $25.78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994,800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Borders>
              <w:bottom w:val="single" w:sz="8" w:color="CCEEFF"/>
            </w:tcBorders>
            <w:gridSpan w:val="2"/>
          </w:tcPr>
          <w:p>
            <w:pPr>
              <w:jc w:val="right"/>
              <w:ind w:right="830"/>
              <w:spacing w:after="0"/>
              <w:rPr>
                <w:sz w:val="20"/>
                <w:szCs w:val="20"/>
                <w:color w:val="auto"/>
              </w:rPr>
            </w:pPr>
            <w:r>
              <w:rPr>
                <w:rFonts w:ascii="Arial" w:cs="Arial" w:eastAsia="Arial" w:hAnsi="Arial"/>
                <w:sz w:val="18"/>
                <w:szCs w:val="18"/>
                <w:color w:val="auto"/>
              </w:rPr>
              <w:t>$25.79 - 117.00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42.15</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99.12</w:t>
            </w:r>
          </w:p>
        </w:tc>
      </w:tr>
      <w:tr>
        <w:trPr>
          <w:trHeight w:val="210"/>
        </w:trPr>
        <w:tc>
          <w:tcPr>
            <w:tcW w:w="14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9,494,712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4,548,959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0"/>
        </w:trPr>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18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were no unvested restricted common stock awards as of December 31, 2019, 2018, and 2017. During the year ended December 31, 2019, 2018 and 2017, no expense was recognized in connection with these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NOTE.7 EMPLOYEE BENEFIT PLAN</w:t>
      </w:r>
    </w:p>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maintains a defined contribution plan covering substantially all U.S. employees under Section 401(k) of the Internal Revenue Code of 1986, as amended (the “IRC”). The Company's matching contribution to the plan was $0.9 million, 0.5 million, and $0.3 million for the years ended December 31, 2019, 2018, and 2017,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NOTE 8. INCOME TAXES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7680" w:type="dxa"/>
            <w:vAlign w:val="bottom"/>
            <w:gridSpan w:val="2"/>
          </w:tcPr>
          <w:p>
            <w:pPr>
              <w:ind w:left="320"/>
              <w:spacing w:after="0"/>
              <w:rPr>
                <w:sz w:val="20"/>
                <w:szCs w:val="20"/>
                <w:color w:val="auto"/>
              </w:rPr>
            </w:pPr>
            <w:r>
              <w:rPr>
                <w:rFonts w:ascii="Arial" w:cs="Arial" w:eastAsia="Arial" w:hAnsi="Arial"/>
                <w:sz w:val="18"/>
                <w:szCs w:val="18"/>
                <w:color w:val="auto"/>
              </w:rPr>
              <w:t>Net deferred tax assets (liabilities) are summarized as follows (in thousands):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21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212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10"/>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Net operating loss carry forward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95,473</w:t>
            </w:r>
          </w:p>
        </w:tc>
        <w:tc>
          <w:tcPr>
            <w:tcW w:w="10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56,971</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Tax credit carry forwards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14,356</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Reserves and accruals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10"/>
        </w:trPr>
        <w:tc>
          <w:tcPr>
            <w:tcW w:w="7680" w:type="dxa"/>
            <w:vAlign w:val="bottom"/>
            <w:gridSpan w:val="2"/>
          </w:tcPr>
          <w:p>
            <w:pPr>
              <w:spacing w:after="0"/>
              <w:rPr>
                <w:sz w:val="20"/>
                <w:szCs w:val="20"/>
                <w:color w:val="auto"/>
              </w:rPr>
            </w:pPr>
            <w:r>
              <w:rPr>
                <w:rFonts w:ascii="Arial" w:cs="Arial" w:eastAsia="Arial" w:hAnsi="Arial"/>
                <w:sz w:val="18"/>
                <w:szCs w:val="18"/>
                <w:color w:val="auto"/>
              </w:rPr>
              <w:t>Deferred tax assets before valuation allowance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78,199</w:t>
            </w:r>
          </w:p>
        </w:tc>
      </w:tr>
      <w:tr>
        <w:trPr>
          <w:trHeight w:val="216"/>
        </w:trPr>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(78,146)</w:t>
            </w:r>
          </w:p>
        </w:tc>
      </w:tr>
      <w:tr>
        <w:trPr>
          <w:trHeight w:val="210"/>
        </w:trPr>
        <w:tc>
          <w:tcPr>
            <w:tcW w:w="7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deferred income tax assets</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7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060"/>
          </w:cols>
          <w:pgMar w:left="920" w:top="665" w:right="9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320"/>
              <w:spacing w:after="0"/>
              <w:rPr>
                <w:sz w:val="20"/>
                <w:szCs w:val="20"/>
                <w:color w:val="auto"/>
              </w:rPr>
            </w:pPr>
            <w:r>
              <w:rPr>
                <w:rFonts w:ascii="Arial" w:cs="Arial" w:eastAsia="Arial" w:hAnsi="Arial"/>
                <w:sz w:val="18"/>
                <w:szCs w:val="18"/>
                <w:color w:val="auto"/>
                <w:w w:val="97"/>
              </w:rPr>
              <w:t>Reconciliation of the effective income tax rate to the U.S. statutory rate is as follows: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12"/>
          </w:tcPr>
          <w:p>
            <w:pPr>
              <w:jc w:val="right"/>
              <w:ind w:right="55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Orphan Drug &amp; Research credits</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Permanent and other differences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Tax rate change</w:t>
            </w:r>
          </w:p>
        </w:tc>
        <w:tc>
          <w:tcPr>
            <w:tcW w:w="10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State tax, net of federal benefit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26 %</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24 %</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Effective tax rate</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320"/>
              <w:spacing w:after="0"/>
              <w:rPr>
                <w:sz w:val="20"/>
                <w:szCs w:val="20"/>
                <w:color w:val="auto"/>
              </w:rPr>
            </w:pPr>
            <w:r>
              <w:rPr>
                <w:rFonts w:ascii="Arial" w:cs="Arial" w:eastAsia="Arial" w:hAnsi="Arial"/>
                <w:sz w:val="18"/>
                <w:szCs w:val="18"/>
                <w:color w:val="auto"/>
              </w:rPr>
              <w:t>The components of income tax expense (benefit) are as follows (in thousands):</w:t>
            </w: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2"/>
          </w:tcPr>
          <w:p>
            <w:pPr>
              <w:jc w:val="center"/>
              <w:ind w:right="5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(47,010)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(28,277)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State and Local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(3,564)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30,297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 Company had net operating loss carryovers (“NOLs”) for federal and state income tax purposes of approximately $426.8 million and $128.5 million, respectively, as of December 31, 2019. $142.4 million of federal NOLs will expire beginning in 2027, while $284.4 million generated after Tax Reform will have an indefinite life. The state NOLs will expire if unused in years 2031 through 2038.</w:t>
      </w:r>
    </w:p>
    <w:p>
      <w:pPr>
        <w:spacing w:after="0" w:line="10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Company’s utilization of NOLs is subject to an annual limitation due to ownership changes that have occurred previously or that could occur in the future as provided in Section 382 of the IRC (“Section 382”), as well as similar state provisions. Section 382 limits the utilization of NOLs when there is a greater than 50% change of ownership as determined under the regulations. Since its formation, the Company has raised capital through the issuance of capital stock and various convertible instruments which, combined with the purchasing shareholders’ subsequent disposition of these shares, has resulted in an ownership change as defined by Section 382, and could result in an ownership change in the future upon subsequent disposition.</w:t>
      </w:r>
    </w:p>
    <w:p>
      <w:pPr>
        <w:spacing w:after="0" w:line="15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the deferred tax assets will not be realized. The ultimate realization of deferred tax assets is dependent upon future generation for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years ended December 31, 2019, 2018, and 2017, the change in the valuation allowance was approximately $50.6 million, $30.3 million, and 6.4 million respectively.</w:t>
      </w:r>
    </w:p>
    <w:p>
      <w:pPr>
        <w:spacing w:after="0" w:line="12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benefits.” A liability is recognized (or amount of net operating loss carry forward or amount of tax refundable is</w:t>
      </w:r>
    </w:p>
    <w:p>
      <w:pPr>
        <w:sectPr>
          <w:pgSz w:w="11900" w:h="16838" w:orient="portrait"/>
          <w:cols w:equalWidth="0" w:num="1">
            <w:col w:w="10060"/>
          </w:cols>
          <w:pgMar w:left="920" w:top="665" w:right="9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reduced) for unrecognized tax benefit because it represents an enterprise’s potential future obligation to the taxing authority for a tax position that was not recognized as a result of applying the provisions of ASC 740.</w:t>
      </w:r>
    </w:p>
    <w:p>
      <w:pPr>
        <w:spacing w:after="0" w:line="13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If applicable, interest costs related to the unrecognized tax benefits are required to be calculated and would be classified as income tax expenses in the consolidated statement of operations. Penalties would be recognized as a component of “General and Administrative Expenses” in the consolidated statement of operations.</w:t>
      </w:r>
    </w:p>
    <w:p>
      <w:pPr>
        <w:spacing w:after="0" w:line="15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 reconciliation of the beginning and ending balances of the unrecognized tax benefits during the years ended December 31, 2019, 2018, and 2017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r>
      <w:tr>
        <w:trPr>
          <w:trHeight w:val="210"/>
        </w:trPr>
        <w:tc>
          <w:tcPr>
            <w:tcW w:w="6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Gross decreases - prior period tax positions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increase current period tax positions</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Unrecognized benefit - end of period</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r>
    </w:tbl>
    <w:p>
      <w:pPr>
        <w:spacing w:after="0" w:line="202"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No interest or penalties on unpaid tax were recorded during the years ended December 31, 2019, 2018, and 2017, respectively. The Company does not anticipate any significant changes within 12 months of this reporting date of its uncertain tax positions.</w:t>
      </w:r>
    </w:p>
    <w:p>
      <w:pPr>
        <w:spacing w:after="0" w:line="8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files tax returns in the U.S. federal and state jurisdictions. The U.S. federal and U.S. state taxing authorities may choose to audit tax returns for tax years beyond the statute of limitation period due to significant tax attribute carryforwards from prior years, making adjustments only to carryforward attributes. The Company is not currently under examination by income tax authorities in federal, state or other foreign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LICENSES AND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185" w:lineRule="exact"/>
        <w:rPr>
          <w:sz w:val="20"/>
          <w:szCs w:val="20"/>
          <w:color w:val="auto"/>
        </w:rPr>
      </w:pPr>
    </w:p>
    <w:p>
      <w:pPr>
        <w:ind w:right="100" w:firstLine="492"/>
        <w:spacing w:after="0" w:line="342" w:lineRule="auto"/>
        <w:rPr>
          <w:sz w:val="20"/>
          <w:szCs w:val="20"/>
          <w:color w:val="auto"/>
        </w:rPr>
      </w:pPr>
      <w:r>
        <w:rPr>
          <w:rFonts w:ascii="Arial" w:cs="Arial" w:eastAsia="Arial" w:hAnsi="Arial"/>
          <w:sz w:val="16"/>
          <w:szCs w:val="16"/>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5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5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$2.2 million, $2.0 million, and 2.0 million for the years ended December 31, 2019, 2018 and 2017, respectively, as research and development expenses.</w:t>
      </w:r>
    </w:p>
    <w:p>
      <w:pPr>
        <w:sectPr>
          <w:pgSz w:w="11900" w:h="16838" w:orient="portrait"/>
          <w:cols w:equalWidth="0" w:num="1">
            <w:col w:w="10060"/>
          </w:cols>
          <w:pgMar w:left="920" w:top="665" w:right="9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8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Effective October 5, 2011, the Company entered into an Exclusive Patent License Agreement (the “Patent License Agreement”) with the NIH, an agency of the United States Public Health Service within the Department of Health and Human Services (NIH),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8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85"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In December 2016, the Company entered into a new three-year Sponsored Research Agreement with H. Lee Moffitt Cancer Center (“Moffitt”).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In the years ended December 31, 2019, 2018 and 2017, the Company recorded research and development costs of $0.7 million, $1.2 million, and $1.2 million, respectively, in connection with the research collaboration and clinical grant agreements with Moffitt.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98"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1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w:t>
      </w:r>
    </w:p>
    <w:p>
      <w:pPr>
        <w:sectPr>
          <w:pgSz w:w="11900" w:h="16838" w:orient="portrait"/>
          <w:cols w:equalWidth="0" w:num="1">
            <w:col w:w="10060"/>
          </w:cols>
          <w:pgMar w:left="920" w:top="665" w:right="9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License related to the treatment of any cancers in the United States, Europe and Japan and in other countries designated by the Company in agreement with Moffitt.</w:t>
      </w:r>
    </w:p>
    <w:p>
      <w:pPr>
        <w:spacing w:after="0" w:line="13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for the year ended December 31, 2018. An annual license maintenance fee is also payable commencing on the first anniversary of the effective date. In addition, the Company agreed to pay an annual commercial use payment for each indication for which a first sale has occurred, which in the aggregate amounts to up to $0.4 million a year. The Company recorded $0.1 million for the years ended December 31, 2019 and 2018 as research and development expenses in connection with this 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In May 2017, the Company made a prepayment of $1.4 million under this agreement. The Company recorded $3.4 million and $0.8 million associated with the SAA for the year ended December 31, 2019 and 2018 as research and development expenses, respectively. No expense was recognized in 2017.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MedImmune</w:t>
      </w:r>
    </w:p>
    <w:p>
      <w:pPr>
        <w:spacing w:after="0" w:line="18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December 2015, the Company entered into a collaboration agreement (the “MedImmune Agreement”) with MedImmune, the global biologics research and development arm of AstraZeneca (“MedImmune”), to conduct clinical and preclinical research immuno-oncology. Under the MedImmune Agreement, the Company funded and sought to conduct at least one clinical trial combining MedImmune's PD-L1 inhibitor, durvalumab, with TIL for the treatment of patients. MedImmune will supply durvalumab for the clinical trials. On April 3, 2019, the Company and MedImmune announced that the study was closed because of a changing treatment landscape and a lack of enrollment, and the collaboration agreement was terminated as of April 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w:t>
      </w:r>
    </w:p>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November 2016, the Company entered into a three-year manufacturing and services agreement (“MSA”) with WuXi AppTech, Inc. (“WuXi”) pursuant to which WuXi agreed to provide manufacturing and other services. Under the agreement, the Company entered into two statements of work for two cGMP manufacturing suites to be established and operated by WuXi for the Company, both of the suites are expected to be capable of being used for the commercial manufacture of its products. The statements of work for each of the suites were amended in 2019. The statements of work for facility include a fixed component to reserve a dedicated suite and a trained work force, and a variable component, mainly materials and testing used during the manufacturing processes. Both statements of work provide for adjustments to the targeted production capacity levels and the corresponding fixed quarterly fees upon written notice from the Company of 30 days and 90 days for the first and second dedicated suites, respectively. The quarterly fixed fees payable for each of the dedicated manufacturing suites ranges from $1.2 million to $2.7 million depending on the production capacity level targeted. The terms of the related statements of work for the first and second dedicated manufacturing suites currently extend to May 2020 and June 2021, respectively. The Company recorded costs associated with agreements with WuXi of $28.4 million, $15.1 million, and $13.9 million for the years ended December 31, 2019, 2018, and 2017 respectively, as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8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described further in "Note 2. Summary of Significant Accounting Policies", the Company adopted Topic 842 as of January 1, 2019. Prior period amounts have not been adjusted and continue to be reported in accordance with its historic accounting under ASU Topic 840-Leases (Topic 840).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189"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19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had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In December 2019, the Company entered into an agreement to extend the lease term to December 18, 2024 for approximately $20,500 a month.</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198"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8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pacing w:after="0" w:line="146"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2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On June 19, 2019, the Company entered into a first amendment (the "Amended Lease") to its previously disclosed lease agreement with Hudson Skyway Landing, LLC (the "Lease") for additional space at its corporate headquarters in San Carlos, California. Under the Amended Lease, the Company will lease an additional 8,110 square feet (the "Expansion Space"), for a total of approximately 20,432 square feet of space on the first floor of the building located at 999 Skyway Road, San Carlos, California, commonly known as Skyway Landing II. The term of the Amended Lease remains the same as that of the Lease and expires on April 30, 2021, unless earlier terminated in accordance with the Amended Lease. The Company's monthly base rent for the Expansion Space under the Amended Lease will be approximately $39,000 for the first year, and $40,000 for the second year.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18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leased office space in New York for a monthly rental of approximately $18,000 a month from January 2017 through July 2017. On June 5, 2017, the Company entered into an agreement whereby the Company will lease office space from August 1, 2017 to July 31, 2018, for approximately $9,000 a month. On April 20, 2018, the Company entered into an agreement to extend the lease term to January 31, 2019 for approximately $7,000 a month. On November 2, 2018, the Company entered into an agreement to extend the lease term to July 31, 2019 for approximately $4,000 a month.</w:t>
      </w:r>
    </w:p>
    <w:p>
      <w:pPr>
        <w:spacing w:after="0" w:line="161" w:lineRule="exact"/>
        <w:rPr>
          <w:sz w:val="20"/>
          <w:szCs w:val="20"/>
          <w:color w:val="auto"/>
        </w:rPr>
      </w:pPr>
    </w:p>
    <w:p>
      <w:pPr>
        <w:ind w:right="80" w:firstLine="369"/>
        <w:spacing w:after="0" w:line="264" w:lineRule="auto"/>
        <w:rPr>
          <w:sz w:val="20"/>
          <w:szCs w:val="20"/>
          <w:color w:val="auto"/>
        </w:rPr>
      </w:pPr>
      <w:r>
        <w:rPr>
          <w:rFonts w:ascii="Arial" w:cs="Arial" w:eastAsia="Arial" w:hAnsi="Arial"/>
          <w:sz w:val="18"/>
          <w:szCs w:val="18"/>
          <w:color w:val="auto"/>
        </w:rPr>
        <w:t>On May 1, 2019, the Company entered into an agreement to extend the lease term to January 31, 2020 for approximately $4,000 a month. On October 24, 2019, the Company entered into an agreement to extend the lease term to April 30, 2020 for approximately $4,000 a month.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18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8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will lease approximately 136,000 rentable square feet of space in a building to be located at 300 Rouse Boulevard, Philadelphia, Pennsylvania (the “Premises”). The commercial manufacturing facility is expected to be constructed in two phases: Phase I-A, the construction of the commercial manufacturing facility, with approximately 66,000 rentable square feet of space; and Phase I-B, the construction of offices and laboratories, with approximately 70,000 rentable square feet of space. The Commercial Manufacturing Facility Lease is for a term of 242 months, commencing on the earlier of (i) the date on which the Company occupies any portion of the Premises for the normal operation of its business or (ii) the date that is the later of (A) one hundred sixty (160) days after the Phase I-A substantial completion date, currently anticipated to be July 16, 2020, or (B) the Phase I-B Substantial Completion Date (the “Commencement Date”). The Commencement Date shall be extended by one day for each day of landlord delay, net of any tenant delay, as defined in the Lease.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w:t>
      </w:r>
    </w:p>
    <w:p>
      <w:pPr>
        <w:spacing w:after="0" w:line="14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Beginning on the Commencement Date, the Company’s monthly base rent under the Lease will be approximately $320,000, subject to an annual increase of 2% for the first ten years, and an annual increase of the greater of 2% or 75% of the average ten-year consumer price index. The Company will also be responsible for paying operating expenses, which are expected to be approximately $53,000 per month in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w:t>
      </w:r>
    </w:p>
    <w:p>
      <w:pPr>
        <w:sectPr>
          <w:pgSz w:w="11900" w:h="16838" w:orient="portrait"/>
          <w:cols w:equalWidth="0" w:num="1">
            <w:col w:w="10040"/>
          </w:cols>
          <w:pgMar w:left="920" w:top="665" w:right="9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665" w:right="9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8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40" w:lineRule="exact"/>
        <w:rPr>
          <w:sz w:val="20"/>
          <w:szCs w:val="20"/>
          <w:color w:val="auto"/>
        </w:rPr>
      </w:pPr>
    </w:p>
    <w:p>
      <w:pPr>
        <w:ind w:right="180" w:firstLine="324"/>
        <w:spacing w:after="0" w:line="340" w:lineRule="auto"/>
        <w:rPr>
          <w:sz w:val="20"/>
          <w:szCs w:val="20"/>
          <w:color w:val="auto"/>
        </w:rPr>
      </w:pPr>
      <w:r>
        <w:rPr>
          <w:rFonts w:ascii="Arial" w:cs="Arial" w:eastAsia="Arial" w:hAnsi="Arial"/>
          <w:sz w:val="15"/>
          <w:szCs w:val="15"/>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balance sheet classification of the Company’s right-of-use asset and lease liabilities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w:t>
            </w: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2"/>
            <w:vMerge w:val="continue"/>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portion included in current liabilities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Long-term portion included in non-current liabilities</w:t>
            </w:r>
          </w:p>
        </w:tc>
        <w:tc>
          <w:tcPr>
            <w:tcW w:w="2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lease liabilities</w:t>
            </w:r>
          </w:p>
        </w:tc>
        <w:tc>
          <w:tcPr>
            <w:tcW w:w="2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components of lease expenses, which were included in Total expenses in the Company’s consolidated statement of operations, were as follows:</w:t>
      </w:r>
    </w:p>
    <w:p>
      <w:pPr>
        <w:sectPr>
          <w:pgSz w:w="11900" w:h="16838" w:orient="portrait"/>
          <w:cols w:equalWidth="0" w:num="1">
            <w:col w:w="10060"/>
          </w:cols>
          <w:pgMar w:left="920" w:top="665"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638873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cost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38873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5"/>
        <w:spacing w:after="0"/>
        <w:rPr>
          <w:sz w:val="20"/>
          <w:szCs w:val="20"/>
          <w:color w:val="auto"/>
        </w:rPr>
      </w:pPr>
      <w:r>
        <w:rPr>
          <w:rFonts w:ascii="Arial" w:cs="Arial" w:eastAsia="Arial" w:hAnsi="Arial"/>
          <w:sz w:val="14"/>
          <w:szCs w:val="14"/>
          <w:b w:val="1"/>
          <w:bCs w:val="1"/>
          <w:color w:val="auto"/>
        </w:rPr>
        <w:t>For the Year</w:t>
      </w:r>
    </w:p>
    <w:p>
      <w:pPr>
        <w:jc w:val="center"/>
        <w:ind w:right="15"/>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right="15"/>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9436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90" w:lineRule="exact"/>
        <w:rPr>
          <w:sz w:val="20"/>
          <w:szCs w:val="20"/>
          <w:color w:val="auto"/>
        </w:rPr>
      </w:pPr>
    </w:p>
    <w:p>
      <w:pPr>
        <w:ind w:left="1025" w:hanging="1025"/>
        <w:spacing w:after="0"/>
        <w:tabs>
          <w:tab w:leader="none" w:pos="1025" w:val="left"/>
        </w:tabs>
        <w:numPr>
          <w:ilvl w:val="0"/>
          <w:numId w:val="39"/>
        </w:numPr>
        <w:rPr>
          <w:rFonts w:ascii="Arial" w:cs="Arial" w:eastAsia="Arial" w:hAnsi="Arial"/>
          <w:sz w:val="15"/>
          <w:szCs w:val="15"/>
          <w:color w:val="auto"/>
        </w:rPr>
      </w:pPr>
      <w:r>
        <w:rPr>
          <w:rFonts w:ascii="Arial" w:cs="Arial" w:eastAsia="Arial" w:hAnsi="Arial"/>
          <w:sz w:val="15"/>
          <w:szCs w:val="15"/>
          <w:color w:val="auto"/>
        </w:rPr>
        <w:t>9,213</w:t>
      </w:r>
    </w:p>
    <w:p>
      <w:pPr>
        <w:spacing w:after="0" w:line="57" w:lineRule="exact"/>
        <w:rPr>
          <w:rFonts w:ascii="Arial" w:cs="Arial" w:eastAsia="Arial" w:hAnsi="Arial"/>
          <w:sz w:val="15"/>
          <w:szCs w:val="15"/>
          <w:color w:val="auto"/>
        </w:rPr>
      </w:pPr>
    </w:p>
    <w:p>
      <w:pPr>
        <w:ind w:left="1025"/>
        <w:spacing w:after="0"/>
        <w:rPr>
          <w:rFonts w:ascii="Arial" w:cs="Arial" w:eastAsia="Arial" w:hAnsi="Arial"/>
          <w:sz w:val="15"/>
          <w:szCs w:val="15"/>
          <w:color w:val="auto"/>
        </w:rPr>
      </w:pPr>
      <w:r>
        <w:rPr>
          <w:rFonts w:ascii="Arial" w:cs="Arial" w:eastAsia="Arial" w:hAnsi="Arial"/>
          <w:sz w:val="15"/>
          <w:szCs w:val="15"/>
          <w:color w:val="auto"/>
        </w:rPr>
        <w:t>5,801</w:t>
      </w:r>
    </w:p>
    <w:p>
      <w:pPr>
        <w:spacing w:after="0" w:line="43" w:lineRule="exact"/>
        <w:rPr>
          <w:rFonts w:ascii="Arial" w:cs="Arial" w:eastAsia="Arial" w:hAnsi="Arial"/>
          <w:sz w:val="15"/>
          <w:szCs w:val="15"/>
          <w:color w:val="auto"/>
        </w:rPr>
      </w:pPr>
    </w:p>
    <w:p>
      <w:pPr>
        <w:ind w:left="1245"/>
        <w:spacing w:after="0"/>
        <w:rPr>
          <w:rFonts w:ascii="Arial" w:cs="Arial" w:eastAsia="Arial" w:hAnsi="Arial"/>
          <w:sz w:val="15"/>
          <w:szCs w:val="15"/>
          <w:color w:val="auto"/>
        </w:rPr>
      </w:pPr>
      <w:r>
        <w:rPr>
          <w:rFonts w:ascii="Arial" w:cs="Arial" w:eastAsia="Arial" w:hAnsi="Arial"/>
          <w:sz w:val="16"/>
          <w:szCs w:val="16"/>
          <w:color w:val="auto"/>
        </w:rPr>
        <w:t>72</w:t>
      </w:r>
    </w:p>
    <w:p>
      <w:pPr>
        <w:spacing w:after="0" w:line="32" w:lineRule="exact"/>
        <w:rPr>
          <w:sz w:val="20"/>
          <w:szCs w:val="20"/>
          <w:color w:val="auto"/>
        </w:rPr>
      </w:pPr>
    </w:p>
    <w:p>
      <w:pPr>
        <w:ind w:left="945" w:hanging="945"/>
        <w:spacing w:after="0"/>
        <w:tabs>
          <w:tab w:leader="none" w:pos="945" w:val="left"/>
        </w:tabs>
        <w:numPr>
          <w:ilvl w:val="0"/>
          <w:numId w:val="40"/>
        </w:numPr>
        <w:rPr>
          <w:rFonts w:ascii="Arial" w:cs="Arial" w:eastAsia="Arial" w:hAnsi="Arial"/>
          <w:sz w:val="15"/>
          <w:szCs w:val="15"/>
          <w:color w:val="auto"/>
        </w:rPr>
      </w:pPr>
      <w:r>
        <w:rPr>
          <w:rFonts w:ascii="Arial" w:cs="Arial" w:eastAsia="Arial" w:hAnsi="Arial"/>
          <w:sz w:val="15"/>
          <w:szCs w:val="15"/>
          <w:color w:val="auto"/>
        </w:rPr>
        <w:t>15,086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9436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wp:posOffset>
            </wp:positionV>
            <wp:extent cx="9436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9436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7855" w:space="720"/>
            <w:col w:w="1485"/>
          </w:cols>
          <w:pgMar w:left="920" w:top="665" w:right="919" w:bottom="1440" w:gutter="0" w:footer="0" w:header="0"/>
          <w:type w:val="continuous"/>
        </w:sectPr>
      </w:pPr>
    </w:p>
    <w:p>
      <w:pPr>
        <w:spacing w:after="0" w:line="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Cash paid for amounts included in the measurement of lease liabilities for the year ended December 31, 2019 was $8.6 million, respectively, and were included in Net cash used by operating activities in its consolidated statement of cash flows. Upon the adoption of Topic 842 on January 1, 2019, the Company increased noncash balances of operating lease right-of-use assets and operating lease liabilities by $10.4 million and $10.7 million, respectively. The Company additionally increased operating lease right-of-use assets by $7.8 million and operating lease liability by $8.9 million for the twelve months ended December 31, 2019 as a result of lease modifications and additional lease agreements entered by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2019, the maturities of the Company's operating lease liabilities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CMO</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embedded</w:t>
            </w: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leases</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or the date of lease modifications. As of December 31, 2019, the weighted average remaining lease term is 1.74 years and the weighted average discount rate used to determine the operating lease liabilities was 7.7%. As of December 31, 2019, the Company has a finance lease for the commercial manufacturing facility that has not yet commenced. This finance lease will commence in 2020 with a lease term of 20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LEGAL PROCEEDINGS</w:t>
      </w:r>
    </w:p>
    <w:p>
      <w:pPr>
        <w:spacing w:after="0" w:line="18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the Company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The Company's settlement with the SEC is consistent with its previous disclosures (including in its Annual Report on Form 10-K that the Company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 Lion Biotechnologies, Inc., et al.,</w:t>
      </w:r>
      <w:r>
        <w:rPr>
          <w:rFonts w:ascii="Arial" w:cs="Arial" w:eastAsia="Arial" w:hAnsi="Arial"/>
          <w:sz w:val="16"/>
          <w:szCs w:val="16"/>
          <w:color w:val="auto"/>
        </w:rPr>
        <w:t xml:space="preserve"> case no. 3:17cv2086) against its company and three of its former officers and directors. On April 19, 2017, a second class action complaint </w:t>
      </w:r>
      <w:r>
        <w:rPr>
          <w:rFonts w:ascii="Arial" w:cs="Arial" w:eastAsia="Arial" w:hAnsi="Arial"/>
          <w:sz w:val="16"/>
          <w:szCs w:val="16"/>
          <w:i w:val="1"/>
          <w:iCs w:val="1"/>
          <w:color w:val="auto"/>
        </w:rPr>
        <w:t>(Amra Kuc vs. Lion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Biotechnologies, Inc., et al., </w:t>
      </w:r>
      <w:r>
        <w:rPr>
          <w:rFonts w:ascii="Arial" w:cs="Arial" w:eastAsia="Arial" w:hAnsi="Arial"/>
          <w:sz w:val="16"/>
          <w:szCs w:val="16"/>
          <w:color w:val="auto"/>
        </w:rPr>
        <w:t>case no. 3:17-cv-2188) was filed in the same court. Both complaints allege, among other things,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defendants violated the federal securities laws by making materially false and misleading statements, or by failing to make certain disclosures, regarding the actions taken by Manish Singh, its former CEO, and its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On July 20, 2017, the plaintiff in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case filed a notice to voluntarily dismiss that case. The court entered an 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 Biotechnologies, Inc., 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 </w:t>
      </w:r>
      <w:r>
        <w:rPr>
          <w:rFonts w:ascii="Arial" w:cs="Arial" w:eastAsia="Arial" w:hAnsi="Arial"/>
          <w:sz w:val="16"/>
          <w:szCs w:val="16"/>
          <w:color w:val="auto"/>
        </w:rPr>
        <w:t>case no. 3:17-cv-2086) seeking class action status that alleges, among other things, that the defendants violated federal securities laws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making materially false and misleading statements, or by failing to make certain disclosures, regarding the actions taken by Manish Singh and its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the result of mediation, on September 28, 2018, lead plaintiff filed an unopposed motion for settlement, the cost of which, if approved, is expected to be borne by the Company’s insurance carrier and would result in no loss to the Company. The court gave preliminary approval to the proposed settlement on November 30, 2018, and the final hearing is currently scheduled for April 12, 2019.</w:t>
      </w:r>
    </w:p>
    <w:p>
      <w:pPr>
        <w:spacing w:after="0" w:line="36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u w:val="single" w:color="auto"/>
          <w:color w:val="auto"/>
        </w:rPr>
        <w:t>Derivative Lawsuits.</w:t>
      </w:r>
      <w:r>
        <w:rPr>
          <w:rFonts w:ascii="Arial" w:cs="Arial" w:eastAsia="Arial" w:hAnsi="Arial"/>
          <w:sz w:val="16"/>
          <w:szCs w:val="16"/>
          <w:color w:val="auto"/>
        </w:rPr>
        <w:t xml:space="preserve"> On December 15, 2017, a purported stockholder derivative complaint was filed by plaintiff Kevin Fong against the Company, as nominal defendant, and certain of its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its April 10, 2017 settlement thereof, and seeks unspecified damages on behalf of the Company and injunctive relief. 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w:t>
      </w:r>
    </w:p>
    <w:p>
      <w:pPr>
        <w:sectPr>
          <w:pgSz w:w="11900" w:h="16838" w:orient="portrait"/>
          <w:cols w:equalWidth="0" w:num="1">
            <w:col w:w="10060"/>
          </w:cols>
          <w:pgMar w:left="920" w:top="665" w:right="9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of fiduciary duty, aiding and abetting, waste of corporate assets, and unjust enrichment. The complaint is based on claims arising from the SEC’s investigation in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investigation and the Company’s April 10, 2017 settlement thereof, and seeks unspecified damages on behalf of the Company and injunctive relief. On May 1, 2018, the court consolidated this case with the aforementioned purported stockholder derivative case filed by plaintiff Kevin Fong. The consolidated case is titled </w:t>
      </w:r>
      <w:r>
        <w:rPr>
          <w:rFonts w:ascii="Arial" w:cs="Arial" w:eastAsia="Arial" w:hAnsi="Arial"/>
          <w:sz w:val="17"/>
          <w:szCs w:val="17"/>
          <w:i w:val="1"/>
          <w:iCs w:val="1"/>
          <w:color w:val="auto"/>
        </w:rPr>
        <w:t>In re Iovance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Biotherapeutics, Inc. Stockholder Derivative Litigation </w:t>
      </w:r>
      <w:r>
        <w:rPr>
          <w:rFonts w:ascii="Arial" w:cs="Arial" w:eastAsia="Arial" w:hAnsi="Arial"/>
          <w:sz w:val="17"/>
          <w:szCs w:val="17"/>
          <w:color w:val="auto"/>
        </w:rPr>
        <w:t>(lead case no. 17-cv-1806). On January 28, 2020, the parties reached a proposed</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 which is currently awaiting preliminary approval by the court. The terms of the settlement will be disseminated to shareholders as part of the notice process for the settlement if preliminary approval is granted. If the proposed settlement is given final approval by the court, the Company does not expect to incur any significant costs or expenses in connection with this settlement. Based on the current stage of the litigation, and the uncertainty of final approval by the court, it is not possible to estimate the amount or range of possible loss that might result from an adverse judgment or a settlement of these matters.</w:t>
      </w:r>
    </w:p>
    <w:p>
      <w:pPr>
        <w:spacing w:after="0" w:line="13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titled </w:t>
      </w:r>
      <w:r>
        <w:rPr>
          <w:rFonts w:ascii="Arial" w:cs="Arial" w:eastAsia="Arial" w:hAnsi="Arial"/>
          <w:sz w:val="17"/>
          <w:szCs w:val="17"/>
          <w:i w:val="1"/>
          <w:iCs w:val="1"/>
          <w:color w:val="auto"/>
        </w:rPr>
        <w:t>Solomon Capital, LLC, Solomon Capital 401(K) Trust, Solomon Sharbat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Shelhav Raff v. Lion Biotechnologies, Inc. </w:t>
      </w:r>
      <w:r>
        <w:rPr>
          <w:rFonts w:ascii="Arial" w:cs="Arial" w:eastAsia="Arial" w:hAnsi="Arial"/>
          <w:sz w:val="17"/>
          <w:szCs w:val="17"/>
          <w:color w:val="auto"/>
        </w:rPr>
        <w:t>was filed by Solomon Capital, LLC, Solomon Capital 401(k) Trust, Solomon Sharbat and</w:t>
      </w:r>
      <w:r>
        <w:rPr>
          <w:rFonts w:ascii="Arial" w:cs="Arial" w:eastAsia="Arial" w:hAnsi="Arial"/>
          <w:sz w:val="17"/>
          <w:szCs w:val="17"/>
          <w:i w:val="1"/>
          <w:iCs w:val="1"/>
          <w:color w:val="auto"/>
        </w:rPr>
        <w:t xml:space="preserve"> </w:t>
      </w:r>
      <w:r>
        <w:rPr>
          <w:rFonts w:ascii="Arial" w:cs="Arial" w:eastAsia="Arial" w:hAnsi="Arial"/>
          <w:sz w:val="17"/>
          <w:szCs w:val="17"/>
          <w:color w:val="auto"/>
        </w:rPr>
        <w:t>Shelhav Raff against the Company in the Supreme Court of the State of New York, County of New York (index no. 651881/2016) (the "First Solomon Suit"). The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1,110 shares to the Solomon Plaintiffs (after the 1-for-100 reverse split of our common stock effected in March 2013), and (iii) allow the plaintiffs to convert the foregoing funds into its securities in the next transaction. The plaintiffs allege that they should have been able to convert their advances and payments into shares of the Company's common stock in the restructuring that took effect in May 2013. Based on the foregoing, the plaintiffs allege causes for breach of contract and unjust enrichment and demand judgment against the Company in an unspecified amount exceeding $1.5 million, plus interest.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In our counterclaims, the Company are seeking damages in an amount exceeding $0.5 million and an order rescinding any and all agreements that the plaintiffs contend entitled them to obtain shares of Company stock. No trial date has been set for the lawsuit.</w:t>
      </w:r>
    </w:p>
    <w:p>
      <w:pPr>
        <w:spacing w:after="0" w:line="15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On September 27, 2019, the Solomon Plaintiffs filed a new lawsuit (through new legal counsel) titled </w:t>
      </w:r>
      <w:r>
        <w:rPr>
          <w:rFonts w:ascii="Arial" w:cs="Arial" w:eastAsia="Arial" w:hAnsi="Arial"/>
          <w:sz w:val="16"/>
          <w:szCs w:val="16"/>
          <w:i w:val="1"/>
          <w:iCs w:val="1"/>
          <w:color w:val="auto"/>
        </w:rPr>
        <w:t>Solomon Capital, LLC, Solomon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401(K) Trust, Solomon Sharbat and Shelhav Raff v. Iovance Biotherapeutics, Inc., f/k/a/ Lion Biotechnologies Inc. f/k/a/ Genesis Biopharma Inc., and Manish Singh </w:t>
      </w:r>
      <w:r>
        <w:rPr>
          <w:rFonts w:ascii="Arial" w:cs="Arial" w:eastAsia="Arial" w:hAnsi="Arial"/>
          <w:sz w:val="16"/>
          <w:szCs w:val="16"/>
          <w:color w:val="auto"/>
        </w:rPr>
        <w:t>in the Supreme Court of the State of New York, County of New York (index no. 655668/2019)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Solomon Suit”).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or were willing to invest.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United States District Court for the Southern District of New York, where the case has been assigned case no. 1:20-cv-1391. The Company has not yet responded to the complaint in the Second Solomon Suit.</w:t>
      </w:r>
    </w:p>
    <w:p>
      <w:pPr>
        <w:spacing w:after="0" w:line="134"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w:t>
      </w:r>
      <w:r>
        <w:rPr>
          <w:rFonts w:ascii="Arial" w:cs="Arial" w:eastAsia="Arial" w:hAnsi="Arial"/>
          <w:sz w:val="17"/>
          <w:szCs w:val="17"/>
          <w:color w:val="auto"/>
        </w:rPr>
        <w:t xml:space="preserve"> </w:t>
      </w:r>
      <w:r>
        <w:rPr>
          <w:rFonts w:ascii="Arial" w:cs="Arial" w:eastAsia="Arial" w:hAnsi="Arial"/>
          <w:sz w:val="17"/>
          <w:szCs w:val="17"/>
          <w:i w:val="1"/>
          <w:iCs w:val="1"/>
          <w:color w:val="auto"/>
        </w:rPr>
        <w:t>Maria Fardis</w:t>
      </w:r>
      <w:r>
        <w:rPr>
          <w:rFonts w:ascii="Arial" w:cs="Arial" w:eastAsia="Arial" w:hAnsi="Arial"/>
          <w:sz w:val="17"/>
          <w:szCs w:val="17"/>
          <w:color w:val="auto"/>
        </w:rPr>
        <w:t>, Dr. Steven Fischkoff, the Company’s former Vice President and Chief Medical Officer, filed a lawsuit against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the Company's common stock, together with prejudgment</w:t>
      </w:r>
    </w:p>
    <w:p>
      <w:pPr>
        <w:sectPr>
          <w:pgSz w:w="11900" w:h="16838" w:orient="portrait"/>
          <w:cols w:equalWidth="0" w:num="1">
            <w:col w:w="10060"/>
          </w:cols>
          <w:pgMar w:left="920" w:top="665" w:right="9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the Company's materials, prohibiting him from disclosing or using the Company’s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 No trial date has been set in this matter, and the parties are currently engaged in fact discovery.</w:t>
      </w:r>
    </w:p>
    <w:p>
      <w:pPr>
        <w:spacing w:after="0" w:line="173"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Company intends to vigorously defend against Dr. Fischkoff’s lawsuit and pursue the Company’s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4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u w:val="single" w:color="auto"/>
          <w:color w:val="auto"/>
        </w:rPr>
        <w:t>Other Matters.</w:t>
      </w:r>
      <w:r>
        <w:rPr>
          <w:rFonts w:ascii="Arial" w:cs="Arial" w:eastAsia="Arial" w:hAnsi="Arial"/>
          <w:sz w:val="16"/>
          <w:szCs w:val="16"/>
          <w:color w:val="auto"/>
        </w:rPr>
        <w:t xml:space="preserve"> During the second quarter of 2016, warrants representing 128,500 shares were exercised. The 128,500 shares of common stock had previously been registered for re-sale. However, the Company believes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3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Company’s 2011 Equity Incentive Plan. Before the Company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financial statements.</w:t>
      </w:r>
    </w:p>
    <w:p>
      <w:pPr>
        <w:spacing w:after="0" w:line="15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QUARTERLY UNAUDITED RESULTS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results of operations by quarter for the years ended December 31, 2019 and 2018 are as follow: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12"/>
          </w:tcPr>
          <w:p>
            <w:pPr>
              <w:jc w:val="right"/>
              <w:ind w:right="48"/>
              <w:spacing w:after="0" w:line="142" w:lineRule="exact"/>
              <w:rPr>
                <w:sz w:val="20"/>
                <w:szCs w:val="20"/>
                <w:color w:val="auto"/>
              </w:rPr>
            </w:pPr>
            <w:r>
              <w:rPr>
                <w:rFonts w:ascii="Arial" w:cs="Arial" w:eastAsia="Arial" w:hAnsi="Arial"/>
                <w:sz w:val="14"/>
                <w:szCs w:val="14"/>
                <w:b w:val="1"/>
                <w:bCs w:val="1"/>
                <w:color w:val="auto"/>
              </w:rPr>
              <w:t>(in thousands, except per share information)</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2"/>
                <w:szCs w:val="12"/>
                <w:color w:val="auto"/>
              </w:rPr>
            </w:pPr>
          </w:p>
        </w:tc>
        <w:tc>
          <w:tcPr>
            <w:tcW w:w="6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6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Q4</w:t>
            </w:r>
          </w:p>
        </w:tc>
      </w:tr>
      <w:tr>
        <w:trPr>
          <w:trHeight w:val="142"/>
        </w:trPr>
        <w:tc>
          <w:tcPr>
            <w:tcW w:w="3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w:t>
            </w: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(36,950)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(47,551)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(49,487)</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(63,568)</w:t>
            </w:r>
          </w:p>
        </w:tc>
        <w:tc>
          <w:tcPr>
            <w:tcW w:w="2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(26,515)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9"/>
              </w:rPr>
              <w:t>(30,660)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9"/>
              </w:rPr>
              <w:t>(33,830)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(32,575)</w:t>
            </w: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 basic and diluted</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(0.50)</w:t>
            </w:r>
          </w:p>
        </w:tc>
        <w:tc>
          <w:tcPr>
            <w:tcW w:w="2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(0.34)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(0.36)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(0.27)</w:t>
            </w: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w w:val="99"/>
              </w:rPr>
              <w:t>Weighted average share used in computing net loss</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82"/>
        </w:trPr>
        <w:tc>
          <w:tcPr>
            <w:tcW w:w="3240" w:type="dxa"/>
            <w:vAlign w:val="bottom"/>
          </w:tcPr>
          <w:p>
            <w:pPr>
              <w:ind w:left="140"/>
              <w:spacing w:after="0"/>
              <w:rPr>
                <w:sz w:val="20"/>
                <w:szCs w:val="20"/>
                <w:color w:val="auto"/>
              </w:rPr>
            </w:pPr>
            <w:r>
              <w:rPr>
                <w:rFonts w:ascii="Arial" w:cs="Arial" w:eastAsia="Arial" w:hAnsi="Arial"/>
                <w:sz w:val="14"/>
                <w:szCs w:val="14"/>
                <w:color w:val="auto"/>
              </w:rPr>
              <w:t>per share, basic and diluted</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123,415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123,567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124,035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8"/>
              </w:rPr>
              <w:t>126,273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84,350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90,236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95,077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119,085</w:t>
            </w:r>
          </w:p>
        </w:tc>
      </w:tr>
    </w:tbl>
    <w:p>
      <w:pPr>
        <w:spacing w:after="0" w:line="200" w:lineRule="exact"/>
        <w:rPr>
          <w:sz w:val="20"/>
          <w:szCs w:val="20"/>
          <w:color w:val="auto"/>
        </w:rPr>
      </w:pPr>
    </w:p>
    <w:p>
      <w:pPr>
        <w:sectPr>
          <w:pgSz w:w="11900" w:h="16838" w:orient="portrait"/>
          <w:cols w:equalWidth="0" w:num="1">
            <w:col w:w="10060"/>
          </w:cols>
          <w:pgMar w:left="920" w:top="665" w:right="91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RELATED PARTY TRANSACTIONS</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former member of the Company’s board of directors was an attorney at a law firm, TroyGould PC, that rendered legal services to the Company during the period of his directorship until June 6, 2018, but did not provide legal services to the Company himself during that period. The Company paid TroyGould PC $0.4 million, $0.5 million, and $0.7 million during the years ended December 31, 2019, 2018, and 2017, respectively.</w:t>
      </w:r>
    </w:p>
    <w:p>
      <w:pPr>
        <w:spacing w:after="0" w:line="16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September 14, 2017, the Company entered into a three-year consulting agreement with Iain Dukes, D. Phil, the Chairman of the Board.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$0.4 million, $0.7 million and $0.2 million in stock-based compensation expense related to this consulting agreement during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4.3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following description sets forth certain material terms and provisions of our securities that are registered under Section 12 of the Securities Exchange Act of 1934. This description also summarizes relevant provisions of the General Corporation Law of Delaware (the “DGCL”). The following description is a summary and does not purport to be complete. It is subject to, and qualified in its entirety by reference to, the applicable provisions of the DGCL and our certificate of incorporation, as amended (our “Certificate of Incorporation”), and our amended and restated bylaws (our “Bylaws”), each of which is incorporated by reference as an exhibit to the Annual Report on Form 10-K of which this Exhibit 4.3 is a part. We encourage you to read our Certificate of Incorporation, our Bylaws, and the applicable provisions of the DGCL for additional information.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COMMON STOCK</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are presently authorized to issue 300,000,000 shares of $0.000041666 par value common stock. As of December 31, 2019, we had issued and outstanding 126,411,808 shares of common stock</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one class of common stock. Holders of our common stock are entitled to one vote per share on all matters to be voted upon by stockholders and do not have cumulative voting rights in the election of directors. Holders of shares of common stock are entitled to receive on a pro rata basis such dividends, if any, as may be declared from time to time by our board of directors in its discretion from funds legally available for that use, subject to any preferential dividend rights of outstanding preferred stock. They are also entitled to share on a pro rata basis in any distribution to our common stockholders upon our liquidation, dissolution or winding up, subject to the prior rights of any outstanding preferred stock. Common stockholders do not have preemptive rights to subscribe to any additional stock issuances by us, and they do not have the right to require the redemption of their shares or the conversion of their shares into any other class of our stock. The rights, preferences and privileges of holders of common stock are subject to, and may be adversely affected by, the rights of the holders of any series of preferred stock that we may designate and issue in the future.</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following provisions of our Certificate of Incorporation, and our Bylaws, could have the effect of delaying or discouraging another party from acquiring control of us and could encourage persons seeking to acquire control of us to first negotiate with our board of directors:</w:t>
      </w:r>
    </w:p>
    <w:p>
      <w:pPr>
        <w:spacing w:after="0" w:line="181" w:lineRule="exact"/>
        <w:rPr>
          <w:sz w:val="20"/>
          <w:szCs w:val="20"/>
          <w:color w:val="auto"/>
        </w:rPr>
      </w:pPr>
    </w:p>
    <w:p>
      <w:pPr>
        <w:ind w:left="1300" w:right="580"/>
        <w:spacing w:after="0" w:line="258" w:lineRule="auto"/>
        <w:rPr>
          <w:sz w:val="20"/>
          <w:szCs w:val="20"/>
          <w:color w:val="auto"/>
        </w:rPr>
      </w:pPr>
      <w:r>
        <w:rPr>
          <w:rFonts w:ascii="Arial" w:cs="Arial" w:eastAsia="Arial" w:hAnsi="Arial"/>
          <w:sz w:val="18"/>
          <w:szCs w:val="18"/>
          <w:color w:val="auto"/>
        </w:rPr>
        <w:t>our Certificate of Incorporation and bylaws prohibit our stockholders from filling board vacancies, calling special stockholder</w:t>
      </w:r>
    </w:p>
    <w:p>
      <w:pPr>
        <w:spacing w:after="0" w:line="1" w:lineRule="exact"/>
        <w:rPr>
          <w:sz w:val="20"/>
          <w:szCs w:val="20"/>
          <w:color w:val="auto"/>
        </w:rPr>
      </w:pPr>
    </w:p>
    <w:p>
      <w:pPr>
        <w:ind w:left="1300" w:right="680"/>
        <w:spacing w:after="0" w:line="250" w:lineRule="auto"/>
        <w:rPr>
          <w:sz w:val="20"/>
          <w:szCs w:val="20"/>
          <w:color w:val="auto"/>
        </w:rPr>
      </w:pPr>
      <w:r>
        <w:rPr>
          <w:rFonts w:ascii="Arial" w:cs="Arial" w:eastAsia="Arial" w:hAnsi="Arial"/>
          <w:sz w:val="18"/>
          <w:szCs w:val="18"/>
          <w:color w:val="auto"/>
        </w:rPr>
        <w:t>our Certificate of Incorporation and bylaws require advance written notice of stockholder proposals and director nominations;</w:t>
      </w:r>
    </w:p>
    <w:p>
      <w:pPr>
        <w:spacing w:after="0" w:line="1" w:lineRule="exact"/>
        <w:rPr>
          <w:sz w:val="20"/>
          <w:szCs w:val="20"/>
          <w:color w:val="auto"/>
        </w:rPr>
      </w:pPr>
    </w:p>
    <w:p>
      <w:pPr>
        <w:ind w:left="1300" w:right="320"/>
        <w:spacing w:after="0" w:line="250" w:lineRule="auto"/>
        <w:rPr>
          <w:sz w:val="20"/>
          <w:szCs w:val="20"/>
          <w:color w:val="auto"/>
        </w:rPr>
      </w:pPr>
      <w:r>
        <w:rPr>
          <w:rFonts w:ascii="Arial" w:cs="Arial" w:eastAsia="Arial" w:hAnsi="Arial"/>
          <w:sz w:val="18"/>
          <w:szCs w:val="18"/>
          <w:color w:val="auto"/>
        </w:rPr>
        <w:t>our Certificate of Incorporation requires any action instituted against our officers or directors in connection with their service to us to be brought in the state of Delaware.</w:t>
      </w:r>
    </w:p>
    <w:p>
      <w:pPr>
        <w:spacing w:after="0" w:line="1" w:lineRule="exact"/>
        <w:rPr>
          <w:sz w:val="20"/>
          <w:szCs w:val="20"/>
          <w:color w:val="auto"/>
        </w:rPr>
      </w:pPr>
    </w:p>
    <w:p>
      <w:pPr>
        <w:ind w:left="1300" w:right="360"/>
        <w:spacing w:after="0" w:line="250" w:lineRule="auto"/>
        <w:rPr>
          <w:sz w:val="20"/>
          <w:szCs w:val="20"/>
          <w:color w:val="auto"/>
        </w:rPr>
      </w:pPr>
      <w:r>
        <w:rPr>
          <w:rFonts w:ascii="Arial" w:cs="Arial" w:eastAsia="Arial" w:hAnsi="Arial"/>
          <w:sz w:val="18"/>
          <w:szCs w:val="18"/>
          <w:color w:val="auto"/>
        </w:rPr>
        <w:t>our bylaws provide that our board of directors will establish the authorized number of directors from time to time; our bylaws provide for the removal of a director only with cause and by the affirmative vote of the holders of at least two-thirds of the shares then entitled to vote at an election of our directors;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Certificate of Incorporation does not permit cumulative voting in the election of directors; and</w:t>
      </w:r>
    </w:p>
    <w:p>
      <w:pPr>
        <w:spacing w:after="0" w:line="9" w:lineRule="exact"/>
        <w:rPr>
          <w:sz w:val="20"/>
          <w:szCs w:val="20"/>
          <w:color w:val="auto"/>
        </w:rPr>
      </w:pPr>
    </w:p>
    <w:p>
      <w:pPr>
        <w:ind w:left="1300" w:right="160"/>
        <w:spacing w:after="0" w:line="323" w:lineRule="auto"/>
        <w:rPr>
          <w:sz w:val="20"/>
          <w:szCs w:val="20"/>
          <w:color w:val="auto"/>
        </w:rPr>
      </w:pPr>
      <w:r>
        <w:rPr>
          <w:rFonts w:ascii="Arial" w:cs="Arial" w:eastAsia="Arial" w:hAnsi="Arial"/>
          <w:sz w:val="16"/>
          <w:szCs w:val="16"/>
          <w:color w:val="auto"/>
        </w:rPr>
        <w:t>our Certificate of Incorporation permits our board of directors to determine the rights, privileges and preferences of any new series of preferred stock, some of which could impede the ability of a person to acquire control of our company.</w:t>
      </w:r>
    </w:p>
    <w:p>
      <w:pPr>
        <w:spacing w:after="0" w:line="13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addition, we are subject to the provisions of Section 203 of the DGCL.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and other transactions resulting in a financial benefit to the interested stockholder. Subject to specified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4" w:name="page135"/>
    <w:bookmarkEnd w:id="134"/>
    <w:p>
      <w:pPr>
        <w:spacing w:after="0" w:line="277" w:lineRule="auto"/>
        <w:rPr>
          <w:sz w:val="20"/>
          <w:szCs w:val="20"/>
          <w:color w:val="auto"/>
        </w:rPr>
      </w:pPr>
      <w:r>
        <w:rPr>
          <w:rFonts w:ascii="Arial" w:cs="Arial" w:eastAsia="Arial" w:hAnsi="Arial"/>
          <w:sz w:val="18"/>
          <w:szCs w:val="18"/>
          <w:color w:val="auto"/>
        </w:rPr>
        <w:t>an "interested stockholder" is a person who, together with affiliates and associates, owns, or within three years did own, 15% or more of the corporation's voting stock.</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Further, our Certificate of Incorporation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DGCL, our Certificate of Incorporation or our Bylaws, or (4) any other action asserting a claim against us that is governed by the internal affairs doctrine.</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of 1933, as amended (the “Securities Act”), or the Securities Exchange Act of 1934, as amended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3"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transfer agent and registrar of our common stock is Continental Stock Transfer and Trust Company. The address of our transfer agent and registrar is 1 State Street, 30th Floor, New York, New York 10004, and its telephone number is (212) 509-4000.</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traded on The Nasdaq Global Market under the symbol “IOVA.”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PREFERRED STOCK</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authority to issue 50,000,000 shares of preferred stock, par value $0.001 per share. As of December 31, 2019, we had issued and outstanding 194 shares designated as Series A Convertible Preferred Stock (the “Series A Convertible Preferred Stock”) that are convertible into 97,000 shares of common stock, and 3,581,119 shares designated as Series B Preferred (the “Series B Convertible Preferred Stock”) that are convertible into 3,581,119 shares of common stock. There are no other series of shares of our preferred stock currently issued or outstanding. The rights and restrictions granted or imposed on the shares of the Series A Convertible Preferred Stock and Series B Convertible Preferred Stock are described below.</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 our Certificate of Incorporation, our board of directors has the authority, without further action by stockholders, to designate one or more series of preferred stock and to fix the voting powers, designations, preferences, limitations, restrictions and relative rights granted to or imposed upon the preferred stock, including dividend rights, conversion rights, voting rights, rights and terms of redemption, liquidation preference and sinking fund terms, any or all of which may be preferential to or greater than the rights of the common stock.</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adversely affect the market price of the common stock and the voting and other rights of the holders of common stock.</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board of directors will determine and the prospectus relating to any particular issuance of preferred stock will describe the terms of such preferred stock, including, to the extent applicable, the following: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distinguishing designation of the series of preferred stock;</w:t>
      </w:r>
    </w:p>
    <w:p>
      <w:pPr>
        <w:spacing w:after="0" w:line="23" w:lineRule="exact"/>
        <w:rPr>
          <w:sz w:val="20"/>
          <w:szCs w:val="20"/>
          <w:color w:val="auto"/>
        </w:rPr>
      </w:pPr>
    </w:p>
    <w:p>
      <w:pPr>
        <w:ind w:left="1300"/>
        <w:spacing w:after="0" w:line="250" w:lineRule="auto"/>
        <w:rPr>
          <w:sz w:val="20"/>
          <w:szCs w:val="20"/>
          <w:color w:val="auto"/>
        </w:rPr>
      </w:pPr>
      <w:r>
        <w:rPr>
          <w:rFonts w:ascii="Arial" w:cs="Arial" w:eastAsia="Arial" w:hAnsi="Arial"/>
          <w:sz w:val="18"/>
          <w:szCs w:val="18"/>
          <w:color w:val="auto"/>
        </w:rPr>
        <w:t>the number of shares of the series of preferred stock offered, the liquidation preference per share and the offering price of the series;</w:t>
      </w:r>
    </w:p>
    <w:p>
      <w:pPr>
        <w:spacing w:after="0" w:line="1" w:lineRule="exact"/>
        <w:rPr>
          <w:sz w:val="20"/>
          <w:szCs w:val="20"/>
          <w:color w:val="auto"/>
        </w:rPr>
      </w:pPr>
    </w:p>
    <w:p>
      <w:pPr>
        <w:jc w:val="both"/>
        <w:ind w:left="1300" w:right="140"/>
        <w:spacing w:after="0" w:line="250" w:lineRule="auto"/>
        <w:rPr>
          <w:sz w:val="20"/>
          <w:szCs w:val="20"/>
          <w:color w:val="auto"/>
        </w:rPr>
      </w:pPr>
      <w:r>
        <w:rPr>
          <w:rFonts w:ascii="Arial" w:cs="Arial" w:eastAsia="Arial" w:hAnsi="Arial"/>
          <w:sz w:val="18"/>
          <w:szCs w:val="18"/>
          <w:color w:val="auto"/>
        </w:rPr>
        <w:t>the dividend rate(s), period(s) or payment date(s) or method(s) of calculation applicable to the series of preferred stock; whether dividends are cumulative or non-cumulative and, if cumulative, the date from which dividends on the series of preferred stock will accumulate;</w:t>
      </w:r>
    </w:p>
    <w:p>
      <w:pPr>
        <w:spacing w:after="0" w:line="1" w:lineRule="exact"/>
        <w:rPr>
          <w:sz w:val="20"/>
          <w:szCs w:val="20"/>
          <w:color w:val="auto"/>
        </w:rPr>
      </w:pPr>
    </w:p>
    <w:p>
      <w:pPr>
        <w:ind w:left="1300" w:right="2440"/>
        <w:spacing w:after="0" w:line="265" w:lineRule="auto"/>
        <w:rPr>
          <w:sz w:val="20"/>
          <w:szCs w:val="20"/>
          <w:color w:val="auto"/>
        </w:rPr>
      </w:pPr>
      <w:r>
        <w:rPr>
          <w:rFonts w:ascii="Arial" w:cs="Arial" w:eastAsia="Arial" w:hAnsi="Arial"/>
          <w:sz w:val="17"/>
          <w:szCs w:val="17"/>
          <w:color w:val="auto"/>
        </w:rPr>
        <w:t>the procedures for any auction and remarketing, if any, for the series of preferred stock; the provisions for a sinking fund, if any, for the series of preferred stock;</w:t>
      </w:r>
    </w:p>
    <w:p>
      <w:pPr>
        <w:ind w:left="1300" w:right="3360"/>
        <w:spacing w:after="0" w:line="281" w:lineRule="auto"/>
        <w:rPr>
          <w:sz w:val="20"/>
          <w:szCs w:val="20"/>
          <w:color w:val="auto"/>
        </w:rPr>
      </w:pPr>
      <w:r>
        <w:rPr>
          <w:rFonts w:ascii="Arial" w:cs="Arial" w:eastAsia="Arial" w:hAnsi="Arial"/>
          <w:sz w:val="16"/>
          <w:szCs w:val="16"/>
          <w:color w:val="auto"/>
        </w:rPr>
        <w:t>the provision for redemption, if applicable, of the series of preferred stock; any listing of the series of preferred stock on any securities exchange;</w:t>
      </w:r>
    </w:p>
    <w:p>
      <w:pPr>
        <w:spacing w:after="0" w:line="1" w:lineRule="exact"/>
        <w:rPr>
          <w:sz w:val="20"/>
          <w:szCs w:val="20"/>
          <w:color w:val="auto"/>
        </w:rPr>
      </w:pPr>
    </w:p>
    <w:p>
      <w:pPr>
        <w:ind w:left="1300" w:right="160"/>
        <w:spacing w:after="0" w:line="250" w:lineRule="auto"/>
        <w:rPr>
          <w:sz w:val="20"/>
          <w:szCs w:val="20"/>
          <w:color w:val="auto"/>
        </w:rPr>
      </w:pPr>
      <w:r>
        <w:rPr>
          <w:rFonts w:ascii="Arial" w:cs="Arial" w:eastAsia="Arial" w:hAnsi="Arial"/>
          <w:sz w:val="18"/>
          <w:szCs w:val="18"/>
          <w:color w:val="auto"/>
        </w:rPr>
        <w:t>the terms and conditions, if applicable, upon which the series of preferred stock will be convertible into common stock, including the conversion price or manner of calculation and conversion period; voting rights, if any, of the series of preferred stock;</w:t>
      </w:r>
    </w:p>
    <w:p>
      <w:pPr>
        <w:spacing w:after="0" w:line="1" w:lineRule="exact"/>
        <w:rPr>
          <w:sz w:val="20"/>
          <w:szCs w:val="20"/>
          <w:color w:val="auto"/>
        </w:rPr>
      </w:pPr>
    </w:p>
    <w:p>
      <w:pPr>
        <w:jc w:val="both"/>
        <w:ind w:left="1300" w:right="100"/>
        <w:spacing w:after="0" w:line="250" w:lineRule="auto"/>
        <w:rPr>
          <w:sz w:val="20"/>
          <w:szCs w:val="20"/>
          <w:color w:val="auto"/>
        </w:rPr>
      </w:pPr>
      <w:r>
        <w:rPr>
          <w:rFonts w:ascii="Arial" w:cs="Arial" w:eastAsia="Arial" w:hAnsi="Arial"/>
          <w:sz w:val="18"/>
          <w:szCs w:val="18"/>
          <w:color w:val="auto"/>
        </w:rPr>
        <w:t>a discussion of any material or special U.S. federal income tax considerations applicable to the series of preferred stock; the relative ranking and preferences of the series of preferred stock as to dividend rights and rights upon the liquidation, dissolution or winding up of our affairs;</w:t>
      </w:r>
    </w:p>
    <w:p>
      <w:pPr>
        <w:spacing w:after="0" w:line="1" w:lineRule="exact"/>
        <w:rPr>
          <w:sz w:val="20"/>
          <w:szCs w:val="20"/>
          <w:color w:val="auto"/>
        </w:rPr>
      </w:pPr>
    </w:p>
    <w:p>
      <w:pPr>
        <w:ind w:left="1300" w:right="260"/>
        <w:spacing w:after="0" w:line="302" w:lineRule="auto"/>
        <w:rPr>
          <w:sz w:val="20"/>
          <w:szCs w:val="20"/>
          <w:color w:val="auto"/>
        </w:rPr>
      </w:pPr>
      <w:r>
        <w:rPr>
          <w:rFonts w:ascii="Arial" w:cs="Arial" w:eastAsia="Arial" w:hAnsi="Arial"/>
          <w:sz w:val="16"/>
          <w:szCs w:val="16"/>
          <w:color w:val="auto"/>
        </w:rPr>
        <w:t>any limitations on issuance of any series of preferred stock ranking senior to or on a parity with the series of preferred stock being offered as to dividend rights and rights upon liquidation, dissolution or winding up of our affairs; and any other specific terms, preferences, rights, limitations or restrictions of the series of preferred stock.</w:t>
      </w:r>
    </w:p>
    <w:p>
      <w:pPr>
        <w:spacing w:after="0" w:line="15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Unless our board of directors determines otherwise and we specify otherwise in the applicable prospectus, the preferred stock will rank, relating to dividends and upon our liquidation, dissolution or winding up:</w:t>
      </w:r>
    </w:p>
    <w:p>
      <w:pPr>
        <w:spacing w:after="0" w:line="170" w:lineRule="exact"/>
        <w:rPr>
          <w:sz w:val="20"/>
          <w:szCs w:val="20"/>
          <w:color w:val="auto"/>
        </w:rPr>
      </w:pPr>
    </w:p>
    <w:p>
      <w:pPr>
        <w:ind w:left="1300"/>
        <w:spacing w:after="0" w:line="256" w:lineRule="auto"/>
        <w:rPr>
          <w:sz w:val="20"/>
          <w:szCs w:val="20"/>
          <w:color w:val="auto"/>
        </w:rPr>
      </w:pPr>
      <w:r>
        <w:rPr>
          <w:rFonts w:ascii="Arial" w:cs="Arial" w:eastAsia="Arial" w:hAnsi="Arial"/>
          <w:sz w:val="18"/>
          <w:szCs w:val="18"/>
          <w:color w:val="auto"/>
        </w:rPr>
        <w:t>senior to all classes or series of our common stock and to all of our equity securities ranking junior to the preferred stock; on a parity with all of our equity securities the terms of which specifically provide that the equity securities rank on a parity with the preferred stock; and</w:t>
      </w:r>
    </w:p>
    <w:p>
      <w:pPr>
        <w:ind w:left="1300" w:right="240"/>
        <w:spacing w:after="0" w:line="261" w:lineRule="auto"/>
        <w:rPr>
          <w:sz w:val="20"/>
          <w:szCs w:val="20"/>
          <w:color w:val="auto"/>
        </w:rPr>
      </w:pPr>
      <w:r>
        <w:rPr>
          <w:rFonts w:ascii="Arial" w:cs="Arial" w:eastAsia="Arial" w:hAnsi="Arial"/>
          <w:sz w:val="18"/>
          <w:szCs w:val="18"/>
          <w:color w:val="auto"/>
        </w:rPr>
        <w:t>junior to all of our equity securities the terms of which specifically provide that the equity securities rank senior to the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October 2013, we created a new class of preferred stock, the Series A Convertible Preferred Stock, designated as “Series A Convertible Preferred Stock.” The shares of Series A Convertible Preferred Stock have a stated value of $1,000 per share and are initially convertible into shares of common stock at a price of $2.00 per share (subject to adjustment as described below). The rights of the Series A Convertible Preferred Stock are set forth in the Certificate of Designation of Preferences and Rights of Series A Convertible Preferred Stock (the “Series A Certificate of Designation”), which gives the holders of the Series A Convertible Preferred Stock the rights, preferences and privileges described in the following paragraphs.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Series A Convertible Preferred Stock may, at the option of the holder, be converted at any time or from time to time into fully paid and non-assessable shares of common stock at the conversion price in effect at the time of conversion; provided, that a holder of Series A Convertible Preferred Stock may at any given time convert only up to that number of shares of Series A Convertible Preferred Stock so that, upon conversion,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36" w:name="page137"/>
    <w:bookmarkEnd w:id="136"/>
    <w:p>
      <w:pPr>
        <w:spacing w:after="0" w:line="293" w:lineRule="auto"/>
        <w:rPr>
          <w:sz w:val="20"/>
          <w:szCs w:val="20"/>
          <w:color w:val="auto"/>
        </w:rPr>
      </w:pPr>
      <w:r>
        <w:rPr>
          <w:rFonts w:ascii="Arial" w:cs="Arial" w:eastAsia="Arial" w:hAnsi="Arial"/>
          <w:sz w:val="16"/>
          <w:szCs w:val="16"/>
          <w:color w:val="auto"/>
        </w:rPr>
        <w:t>beneficial ownership of the common stock (calculated pursuant to Rule 13d-3 of the Exchange Act) of such holder and all persons affiliated with such holder, is not more than 4.99% of the common stock then outstanding (subject to adjustment up to 9.99% solely at the holder’s discretion upon 60 days’ prior notice). The number of shares into which one share of Series A Convertible Preferred Stock shall be convertible is determined by dividing the stated value of $1,000 per share by the initial Conversion Price. The "Conversion Price" per share for the Series A Convertible Preferred Stock is initially equal to $2.00 (subject to appropriate adjustment for certain events, including stock splits, stock dividends, combinations, recapitalizations or other recapitalizations affecting the Series A Convertible Preferred Stock).</w:t>
      </w:r>
    </w:p>
    <w:p>
      <w:pPr>
        <w:spacing w:after="0" w:line="16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Series A Convertible Preferred Stock will automatically be converted into common stock at the then-applicable Conversion Price (1) upon the written consent of the holders holding at least a majority of the outstanding shares of Series A Convertible Preferred Stock or (2) if required by us to be able to list our common stock on a national securities exchange; provided, any such conversions will continue to be limited by, and subject to the beneficial ownership conversion limitations set forth above.</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Except as otherwise required by law, the holders of shares of Series A Convertible Preferred Stock do not have the right to vote on matters that come before the stockholders; provided, that we may not, without the prior written consent of a majority of the outstanding Series A Convertible Preferred Stock: (1) amend, alter, or repeal any provision of our Certificate of Incorporation (including the Series A Certificate of Designation) or Bylaws in a manner adverse to the Series A Convertible Preferred Stock; (2) create or authorize the creation of or issue any other security convertible into or exercisable for any equity security, having rights, preferences or privileges senior to or on parity with the Series A Convertible Preferred Stock, or increase the authorized number of shares of Series A Convertible Preferred Stock; or (3) enter into any agreement with respect to any of the foregoing.</w:t>
      </w:r>
    </w:p>
    <w:p>
      <w:pPr>
        <w:spacing w:after="0" w:line="178"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In the event of any dissolution or winding up of our company, whether voluntary or involuntary, the proceeds would be paid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among the holders of shares of our common stock, Series A Convertible Preferred Stock and Series B Convertible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based on the number of shares held by each such holder, treating for this purpose all such securities as if they had been converted to common stock.</w:t>
      </w:r>
    </w:p>
    <w:p>
      <w:pPr>
        <w:spacing w:after="0" w:line="18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may not declare, pay or set aside any dividends on shares of any class or series of our capital stock (other than dividends on shares of common stock payable in shares of common stock) unless the holders of the Series A Convertible Preferred Stock shall first receive, or simultaneously receive, an equal dividend on each outstanding share of Series A Convertible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June 2016, we created a new class of Preferred Stock designated as “Series B Preferred Stock,” which are now convertible into common stock. The rights of the Series B Convertible Preferred Stock are set forth in the Certificate of Designation of Preferences and Rights of Series B Convertible Preferred Stock Stock (the “Series B Certificate of Designation”). A total of 11,500,000 shares of Series B Convertible Preferred Stock are authorized for issuance under the Series B Certificate of Designation. The shares of Series B Convertible Preferred Stock have a stated value of $4.75 per share and are convertible into shares of our common stock at a conversion price of $4.75 per share, subject to certain adjustments.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Holders of Series B Convertible Preferred Stock are entitled to dividends on an as-if-converted basis in the same form as any dividends actually paid on shares of our Series A Convertible Preferred Stock or other securities. So long as any Series B Convertible Preferred Stock remains outstanding, we may not redeem, purchase or otherwise acquire any material amount of our Series A Convertible Preferred Stock or other securities.</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shares of Series B Convertible Preferred Stock are convertible, at the option of each holder, at any time or from time to time into shares of our common stock at the conversion price in effect at the time of conversion, except that, subject to certain limited exceptions, no holder of Series B Convertible Preferred Stock may convert the Series B Convertible Preferred Stock if, after giving effect to the conversion, the holder and all affiliated persons would own beneficially more than 4.99% of our common stock (subject to adjustment to up to 9.99% solely at the holder’s discretion upon 61 days’ prior notice to us). The conversion price of $4.75 is subject to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adjustment in the event of a stock split, stock dividend, combination or other recapitalization affecting our common stock.</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Holders of a majority of the outstanding shares of Series B Convertible Preferred Stock are entitled to elect to convert all of the outstanding shares of the Series B Convertible Preferred Stock into shares of common stock, subject to the beneficial ownership limitations of each holder set forth above.</w:t>
      </w:r>
    </w:p>
    <w:p>
      <w:pPr>
        <w:spacing w:after="0" w:line="181"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Except as otherwise required by law, the holders of Series B Convertible Preferred Stock have no right to vote on matters submitted to a vote of our stockholders. Without the prior written consent of a majority of the outstanding shares of Series B Convertible Preferred Stock, however, we may not: (i) amend our Certificate of Incorporation (including the Series B Certificate of Designation) in a manner adverse to the Series B Convertible Preferred Stock; (ii) create or authorize the creation of any other security convertible into or exercisable for any equity security ranking as to dividends, redemption or distribution of assets upon a liquidation senior to, the Series B Convertible Preferred Stock, or increase the authorized number of shares of Series B Convertible Preferred Stock; or (iii) enter into any agreement with respect to any of the foregoing.</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In the event of the dissolution and winding up of our company, the proceeds available for distribution to our stockholders would be paid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among the holders of shares of our common stock, Series A Convertible Preferred Stock and Series B Convertible Preferred Stock, pro rata based upon the number of shares held by each such holder, treating for this purpose all such securities as if they had been converted into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10.4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IOVANCE BIOTHERAPEUTICS,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OPTION CERTIFICATE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(Incentive Stock Option)</w:t>
      </w:r>
    </w:p>
    <w:p>
      <w:pPr>
        <w:spacing w:after="0" w:line="221"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THIS IS TO CERTIFY that Iovance Biotherapeutics, Inc., a Delaware corporation (the “Company”), has granted to the employee named below (“Optionee”) an incentive stock option (the “Option”) to purchase shares of the Company’s Common Stock (the “Shares”) under its 2011 Equity Incentive Plan (the “Plan”) and upon the terms and conditions set forth below and in the attached Stock Option Agreement: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Pr>
          <w:p>
            <w:pPr>
              <w:spacing w:after="0"/>
              <w:rPr>
                <w:sz w:val="20"/>
                <w:szCs w:val="20"/>
                <w:color w:val="auto"/>
              </w:rPr>
            </w:pPr>
            <w:r>
              <w:rPr>
                <w:rFonts w:ascii="Arial" w:cs="Arial" w:eastAsia="Arial" w:hAnsi="Arial"/>
                <w:sz w:val="16"/>
                <w:szCs w:val="16"/>
                <w:color w:val="auto"/>
              </w:rPr>
              <w:t>Name of Optionee:</w:t>
            </w:r>
          </w:p>
        </w:tc>
        <w:tc>
          <w:tcPr>
            <w:tcW w:w="5020" w:type="dxa"/>
            <w:vAlign w:val="bottom"/>
          </w:tcPr>
          <w:p>
            <w:pPr>
              <w:ind w:left="1120"/>
              <w:spacing w:after="0"/>
              <w:rPr>
                <w:sz w:val="20"/>
                <w:szCs w:val="20"/>
                <w:color w:val="auto"/>
              </w:rPr>
            </w:pPr>
            <w:r>
              <w:rPr>
                <w:rFonts w:ascii="Arial" w:cs="Arial" w:eastAsia="Arial" w:hAnsi="Arial"/>
                <w:sz w:val="16"/>
                <w:szCs w:val="16"/>
                <w:color w:val="auto"/>
              </w:rPr>
              <w:t>%%FIRST_NAME%-% %%LAST_NAME%-%</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4"/>
                <w:szCs w:val="24"/>
                <w:color w:val="auto"/>
              </w:rPr>
            </w:pPr>
          </w:p>
        </w:tc>
        <w:tc>
          <w:tcPr>
            <w:tcW w:w="5020" w:type="dxa"/>
            <w:vAlign w:val="bottom"/>
          </w:tcPr>
          <w:p>
            <w:pPr>
              <w:ind w:left="1120"/>
              <w:spacing w:after="0"/>
              <w:rPr>
                <w:sz w:val="20"/>
                <w:szCs w:val="20"/>
                <w:color w:val="auto"/>
              </w:rPr>
            </w:pPr>
            <w:r>
              <w:rPr>
                <w:rFonts w:ascii="Arial" w:cs="Arial" w:eastAsia="Arial" w:hAnsi="Arial"/>
                <w:sz w:val="16"/>
                <w:szCs w:val="16"/>
                <w:color w:val="auto"/>
              </w:rPr>
              <w:t>%%ADDRESS_LINE_1%-%</w:t>
            </w:r>
          </w:p>
        </w:tc>
        <w:tc>
          <w:tcPr>
            <w:tcW w:w="0" w:type="dxa"/>
            <w:vAlign w:val="bottom"/>
          </w:tcPr>
          <w:p>
            <w:pPr>
              <w:spacing w:after="0"/>
              <w:rPr>
                <w:sz w:val="1"/>
                <w:szCs w:val="1"/>
                <w:color w:val="auto"/>
              </w:rPr>
            </w:pPr>
          </w:p>
        </w:tc>
      </w:tr>
      <w:tr>
        <w:trPr>
          <w:trHeight w:val="270"/>
        </w:trPr>
        <w:tc>
          <w:tcPr>
            <w:tcW w:w="2800" w:type="dxa"/>
            <w:vAlign w:val="bottom"/>
            <w:vMerge w:val="restart"/>
          </w:tcPr>
          <w:p>
            <w:pPr>
              <w:spacing w:after="0"/>
              <w:rPr>
                <w:sz w:val="20"/>
                <w:szCs w:val="20"/>
                <w:color w:val="auto"/>
              </w:rPr>
            </w:pPr>
            <w:r>
              <w:rPr>
                <w:rFonts w:ascii="Arial" w:cs="Arial" w:eastAsia="Arial" w:hAnsi="Arial"/>
                <w:sz w:val="16"/>
                <w:szCs w:val="16"/>
                <w:color w:val="auto"/>
              </w:rPr>
              <w:t>Address of Optionee:</w:t>
            </w:r>
          </w:p>
        </w:tc>
        <w:tc>
          <w:tcPr>
            <w:tcW w:w="5020" w:type="dxa"/>
            <w:vAlign w:val="bottom"/>
          </w:tcPr>
          <w:p>
            <w:pPr>
              <w:ind w:left="1120"/>
              <w:spacing w:after="0"/>
              <w:rPr>
                <w:sz w:val="20"/>
                <w:szCs w:val="20"/>
                <w:color w:val="auto"/>
              </w:rPr>
            </w:pPr>
            <w:r>
              <w:rPr>
                <w:rFonts w:ascii="Arial" w:cs="Arial" w:eastAsia="Arial" w:hAnsi="Arial"/>
                <w:sz w:val="16"/>
                <w:szCs w:val="16"/>
                <w:color w:val="auto"/>
              </w:rPr>
              <w:t>%%ADDRESS_LINE_2%-%</w:t>
            </w: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5020" w:type="dxa"/>
            <w:vAlign w:val="bottom"/>
            <w:vMerge w:val="restart"/>
          </w:tcPr>
          <w:p>
            <w:pPr>
              <w:ind w:left="1120"/>
              <w:spacing w:after="0"/>
              <w:rPr>
                <w:sz w:val="20"/>
                <w:szCs w:val="20"/>
                <w:color w:val="auto"/>
              </w:rPr>
            </w:pPr>
            <w:r>
              <w:rPr>
                <w:rFonts w:ascii="Arial" w:cs="Arial" w:eastAsia="Arial" w:hAnsi="Arial"/>
                <w:sz w:val="16"/>
                <w:szCs w:val="16"/>
                <w:color w:val="auto"/>
              </w:rPr>
              <w:t>%%CITY%-%, %%STATE%-% %%ZIPCODE%-%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5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5020" w:type="dxa"/>
            <w:vAlign w:val="bottom"/>
          </w:tcPr>
          <w:p>
            <w:pPr>
              <w:ind w:left="1120"/>
              <w:spacing w:after="0"/>
              <w:rPr>
                <w:sz w:val="20"/>
                <w:szCs w:val="20"/>
                <w:color w:val="auto"/>
              </w:rPr>
            </w:pPr>
            <w:r>
              <w:rPr>
                <w:rFonts w:ascii="Arial" w:cs="Arial" w:eastAsia="Arial" w:hAnsi="Arial"/>
                <w:sz w:val="16"/>
                <w:szCs w:val="16"/>
                <w:color w:val="auto"/>
              </w:rPr>
              <w:t>%%COUNTRY%-%</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Number of Shares:</w:t>
            </w:r>
          </w:p>
        </w:tc>
        <w:tc>
          <w:tcPr>
            <w:tcW w:w="5020" w:type="dxa"/>
            <w:vAlign w:val="bottom"/>
          </w:tcPr>
          <w:p>
            <w:pPr>
              <w:ind w:left="1120"/>
              <w:spacing w:after="0"/>
              <w:rPr>
                <w:sz w:val="20"/>
                <w:szCs w:val="20"/>
                <w:color w:val="auto"/>
              </w:rPr>
            </w:pPr>
            <w:r>
              <w:rPr>
                <w:rFonts w:ascii="Arial" w:cs="Arial" w:eastAsia="Arial" w:hAnsi="Arial"/>
                <w:sz w:val="16"/>
                <w:szCs w:val="16"/>
                <w:color w:val="auto"/>
              </w:rPr>
              <w:t>%%TOTAL_SHARES_GRANTED,'999,999,999'%-%</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Option Exercise Price:</w:t>
            </w:r>
          </w:p>
        </w:tc>
        <w:tc>
          <w:tcPr>
            <w:tcW w:w="5020" w:type="dxa"/>
            <w:vAlign w:val="bottom"/>
          </w:tcPr>
          <w:p>
            <w:pPr>
              <w:ind w:left="1120"/>
              <w:spacing w:after="0"/>
              <w:rPr>
                <w:sz w:val="20"/>
                <w:szCs w:val="20"/>
                <w:color w:val="auto"/>
              </w:rPr>
            </w:pPr>
            <w:r>
              <w:rPr>
                <w:rFonts w:ascii="Arial" w:cs="Arial" w:eastAsia="Arial" w:hAnsi="Arial"/>
                <w:sz w:val="16"/>
                <w:szCs w:val="16"/>
                <w:color w:val="auto"/>
              </w:rPr>
              <w:t>%%OPTION_PRICE%-%</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Date of Grant:</w:t>
            </w:r>
          </w:p>
        </w:tc>
        <w:tc>
          <w:tcPr>
            <w:tcW w:w="5020" w:type="dxa"/>
            <w:vAlign w:val="bottom"/>
          </w:tcPr>
          <w:p>
            <w:pPr>
              <w:ind w:left="1120"/>
              <w:spacing w:after="0"/>
              <w:rPr>
                <w:sz w:val="20"/>
                <w:szCs w:val="20"/>
                <w:color w:val="auto"/>
              </w:rPr>
            </w:pPr>
            <w:r>
              <w:rPr>
                <w:rFonts w:ascii="Arial" w:cs="Arial" w:eastAsia="Arial" w:hAnsi="Arial"/>
                <w:sz w:val="16"/>
                <w:szCs w:val="16"/>
                <w:color w:val="auto"/>
              </w:rPr>
              <w:t>%%OPTION_DATE,'Month DD, YYYY'%-%</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Option Expiration Date:</w:t>
            </w:r>
          </w:p>
        </w:tc>
        <w:tc>
          <w:tcPr>
            <w:tcW w:w="5020" w:type="dxa"/>
            <w:vAlign w:val="bottom"/>
          </w:tcPr>
          <w:p>
            <w:pPr>
              <w:ind w:left="1120"/>
              <w:spacing w:after="0"/>
              <w:rPr>
                <w:sz w:val="20"/>
                <w:szCs w:val="20"/>
                <w:color w:val="auto"/>
              </w:rPr>
            </w:pPr>
            <w:r>
              <w:rPr>
                <w:rFonts w:ascii="Arial" w:cs="Arial" w:eastAsia="Arial" w:hAnsi="Arial"/>
                <w:sz w:val="16"/>
                <w:szCs w:val="16"/>
                <w:color w:val="auto"/>
              </w:rPr>
              <w:t>%%EXPIRE_DATE_PERIOD1,'Month DD, YYYY'%-%</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Exercise Schedule: The Option shall become exercisable (“vest”) as follows:</w:t>
      </w:r>
    </w:p>
    <w:p>
      <w:pPr>
        <w:sectPr>
          <w:pgSz w:w="11900" w:h="16838" w:orient="portrait"/>
          <w:cols w:equalWidth="0" w:num="1">
            <w:col w:w="10060"/>
          </w:cols>
          <w:pgMar w:left="920" w:top="121" w:right="91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%%SHARES_PERIOD1%-%</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%%VEST_TYPE_PERIOD1%-%</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%%VEST_DATE_PERIOD1,'Month DD, YYYY'%-%</w:t>
      </w:r>
    </w:p>
    <w:p>
      <w:pPr>
        <w:spacing w:after="0" w:line="169" w:lineRule="exact"/>
        <w:rPr>
          <w:sz w:val="20"/>
          <w:szCs w:val="20"/>
          <w:color w:val="auto"/>
        </w:rPr>
      </w:pPr>
    </w:p>
    <w:p>
      <w:pPr>
        <w:sectPr>
          <w:pgSz w:w="11900" w:h="16838" w:orient="portrait"/>
          <w:cols w:equalWidth="0" w:num="3">
            <w:col w:w="2640" w:space="720"/>
            <w:col w:w="2620" w:space="720"/>
            <w:col w:w="3360"/>
          </w:cols>
          <w:pgMar w:left="920" w:top="121" w:right="919" w:bottom="1440" w:gutter="0" w:footer="0" w:header="0"/>
          <w:type w:val="continuous"/>
        </w:sectPr>
      </w:pPr>
    </w:p>
    <w:p>
      <w:pPr>
        <w:spacing w:after="0"/>
        <w:rPr>
          <w:sz w:val="20"/>
          <w:szCs w:val="20"/>
          <w:color w:val="auto"/>
        </w:rPr>
      </w:pPr>
      <w:r>
        <w:rPr>
          <w:rFonts w:ascii="Arial" w:cs="Arial" w:eastAsia="Arial" w:hAnsi="Arial"/>
          <w:sz w:val="16"/>
          <w:szCs w:val="16"/>
          <w:color w:val="auto"/>
        </w:rPr>
        <w:t>%%SHARES_PERIOD2%-%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%%VEST_TYPE_PERIOD2%-%</w:t>
      </w:r>
    </w:p>
    <w:p>
      <w:pPr>
        <w:spacing w:after="0" w:line="20" w:lineRule="exact"/>
        <w:rPr>
          <w:sz w:val="20"/>
          <w:szCs w:val="20"/>
          <w:color w:val="auto"/>
        </w:rPr>
      </w:pPr>
      <w:r>
        <w:rPr>
          <w:sz w:val="20"/>
          <w:szCs w:val="20"/>
          <w:color w:val="auto"/>
        </w:rPr>
        <w:br w:type="column"/>
      </w:r>
    </w:p>
    <w:p>
      <w:pPr>
        <w:ind w:right="480"/>
        <w:spacing w:after="0" w:line="260" w:lineRule="auto"/>
        <w:rPr>
          <w:sz w:val="20"/>
          <w:szCs w:val="20"/>
          <w:color w:val="auto"/>
        </w:rPr>
      </w:pPr>
      <w:r>
        <w:rPr>
          <w:rFonts w:ascii="Arial" w:cs="Arial" w:eastAsia="Arial" w:hAnsi="Arial"/>
          <w:sz w:val="16"/>
          <w:szCs w:val="16"/>
          <w:color w:val="auto"/>
        </w:rPr>
        <w:t>%%VEST_DATE_PERIOD2,'Month DD, YYYY'%-%</w:t>
      </w:r>
    </w:p>
    <w:p>
      <w:pPr>
        <w:spacing w:after="0" w:line="182" w:lineRule="exact"/>
        <w:rPr>
          <w:sz w:val="20"/>
          <w:szCs w:val="20"/>
          <w:color w:val="auto"/>
        </w:rPr>
      </w:pPr>
    </w:p>
    <w:p>
      <w:pPr>
        <w:sectPr>
          <w:pgSz w:w="11900" w:h="16838" w:orient="portrait"/>
          <w:cols w:equalWidth="0" w:num="3">
            <w:col w:w="2640" w:space="720"/>
            <w:col w:w="2620" w:space="720"/>
            <w:col w:w="3360"/>
          </w:cols>
          <w:pgMar w:left="920" w:top="121" w:right="919" w:bottom="1440" w:gutter="0" w:footer="0" w:header="0"/>
          <w:type w:val="continuous"/>
        </w:sectPr>
      </w:pPr>
    </w:p>
    <w:p>
      <w:pPr>
        <w:spacing w:after="0"/>
        <w:rPr>
          <w:sz w:val="20"/>
          <w:szCs w:val="20"/>
          <w:color w:val="auto"/>
        </w:rPr>
      </w:pPr>
      <w:r>
        <w:rPr>
          <w:rFonts w:ascii="Arial" w:cs="Arial" w:eastAsia="Arial" w:hAnsi="Arial"/>
          <w:sz w:val="16"/>
          <w:szCs w:val="16"/>
          <w:color w:val="auto"/>
        </w:rPr>
        <w:t>In Witness Whereof, the Company has granted to Optionee the Option as of the Date of Grant set forth above.</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OPTIONEE</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IOVANCE BIOTHERAPEUTICS, INC.</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%%FIRST_NAME%-% %%LAST_NAME%-%</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By Timothy E. Morris</w:t>
      </w:r>
    </w:p>
    <w:p>
      <w:pPr>
        <w:spacing w:after="0" w:line="194"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499110</wp:posOffset>
            </wp:positionV>
            <wp:extent cx="638873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type w:val="continuous"/>
        </w:sectPr>
      </w:pPr>
    </w:p>
    <w:bookmarkStart w:id="139" w:name="page140"/>
    <w:bookmarkEnd w:id="139"/>
    <w:p>
      <w:pPr>
        <w:jc w:val="center"/>
        <w:ind w:right="-20"/>
        <w:spacing w:after="0"/>
        <w:rPr>
          <w:sz w:val="20"/>
          <w:szCs w:val="20"/>
          <w:color w:val="auto"/>
        </w:rPr>
      </w:pPr>
      <w:r>
        <w:rPr>
          <w:rFonts w:ascii="Arial" w:cs="Arial" w:eastAsia="Arial" w:hAnsi="Arial"/>
          <w:sz w:val="16"/>
          <w:szCs w:val="16"/>
          <w:b w:val="1"/>
          <w:bCs w:val="1"/>
          <w:color w:val="auto"/>
        </w:rPr>
        <w:t>STOCK OPTION AGREEMENT</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(Incentive Stock Option)</w:t>
      </w:r>
    </w:p>
    <w:p>
      <w:pPr>
        <w:spacing w:after="0" w:line="221" w:lineRule="exact"/>
        <w:rPr>
          <w:sz w:val="20"/>
          <w:szCs w:val="20"/>
          <w:color w:val="auto"/>
        </w:rPr>
      </w:pPr>
    </w:p>
    <w:p>
      <w:pPr>
        <w:ind w:left="1"/>
        <w:spacing w:after="0" w:line="253" w:lineRule="auto"/>
        <w:rPr>
          <w:sz w:val="20"/>
          <w:szCs w:val="20"/>
          <w:color w:val="auto"/>
        </w:rPr>
      </w:pPr>
      <w:r>
        <w:rPr>
          <w:rFonts w:ascii="Arial" w:cs="Arial" w:eastAsia="Arial" w:hAnsi="Arial"/>
          <w:sz w:val="16"/>
          <w:szCs w:val="16"/>
          <w:color w:val="auto"/>
        </w:rPr>
        <w:t>This STOCK OPTION AGREEMENT (this “Agreement”) is made and entered into as of the Date of Grant set forth in the Option Certificate to which this Agreement is attached (the “Certificate”) by and between Iovance Biotherapeutics, Inc., a Delaware corporation (the “Company”) on behalf of itself and its Affiliates, and the optionee (the “Optionee”) named in the Certificate.</w:t>
      </w:r>
    </w:p>
    <w:p>
      <w:pPr>
        <w:spacing w:after="0" w:line="201"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Pursuant to the 2011 Equity Incentive Plan of the Company (the “Plan”), the Administrator has determined that Optionee is to be granted, on the terms and conditions set forth in this Agreement and in the Plan, an option to purchase shares of the Company’s common stock (the “Common Stock”). It is intended that the option qualify as an “incentive stock option” within the meaning of Section 422 of the Internal Revenue Code of 1986, as amended from time to time (the “Code”). Capitalized terms not otherwise defined in this Agreement shall have the meanings ascribed to them in the Plan.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Company and Optionee agree as follows:</w:t>
      </w:r>
    </w:p>
    <w:p>
      <w:pPr>
        <w:spacing w:after="0" w:line="221" w:lineRule="exact"/>
        <w:rPr>
          <w:sz w:val="20"/>
          <w:szCs w:val="20"/>
          <w:color w:val="auto"/>
        </w:rPr>
      </w:pPr>
    </w:p>
    <w:p>
      <w:pPr>
        <w:ind w:left="1" w:right="220" w:hanging="1"/>
        <w:spacing w:after="0" w:line="253" w:lineRule="auto"/>
        <w:tabs>
          <w:tab w:leader="none" w:pos="226" w:val="left"/>
        </w:tabs>
        <w:numPr>
          <w:ilvl w:val="0"/>
          <w:numId w:val="41"/>
        </w:numPr>
        <w:rPr>
          <w:rFonts w:ascii="Arial" w:cs="Arial" w:eastAsia="Arial" w:hAnsi="Arial"/>
          <w:sz w:val="16"/>
          <w:szCs w:val="16"/>
          <w:color w:val="auto"/>
        </w:rPr>
      </w:pPr>
      <w:r>
        <w:rPr>
          <w:rFonts w:ascii="Arial" w:cs="Arial" w:eastAsia="Arial" w:hAnsi="Arial"/>
          <w:sz w:val="16"/>
          <w:szCs w:val="16"/>
          <w:color w:val="auto"/>
        </w:rPr>
        <w:t>Grant of Option. The Company hereby grants to Optionee, upon the terms and subject to the conditions set forth in this Agreement, an Option (the “Option”) to purchase all or any portion of that number of shares of Common Stock set forth in the Certificate (the “Option Shares”), at the exercise price set forth in the Certificate (the “Exercise Price”).</w:t>
      </w:r>
    </w:p>
    <w:p>
      <w:pPr>
        <w:spacing w:after="0" w:line="201" w:lineRule="exact"/>
        <w:rPr>
          <w:rFonts w:ascii="Arial" w:cs="Arial" w:eastAsia="Arial" w:hAnsi="Arial"/>
          <w:sz w:val="16"/>
          <w:szCs w:val="16"/>
          <w:color w:val="auto"/>
        </w:rPr>
      </w:pPr>
    </w:p>
    <w:p>
      <w:pPr>
        <w:ind w:left="221" w:hanging="221"/>
        <w:spacing w:after="0"/>
        <w:tabs>
          <w:tab w:leader="none" w:pos="221" w:val="left"/>
        </w:tabs>
        <w:numPr>
          <w:ilvl w:val="0"/>
          <w:numId w:val="41"/>
        </w:numPr>
        <w:rPr>
          <w:rFonts w:ascii="Arial" w:cs="Arial" w:eastAsia="Arial" w:hAnsi="Arial"/>
          <w:sz w:val="16"/>
          <w:szCs w:val="16"/>
          <w:color w:val="auto"/>
        </w:rPr>
      </w:pPr>
      <w:r>
        <w:rPr>
          <w:rFonts w:ascii="Arial" w:cs="Arial" w:eastAsia="Arial" w:hAnsi="Arial"/>
          <w:sz w:val="16"/>
          <w:szCs w:val="16"/>
          <w:color w:val="auto"/>
        </w:rPr>
        <w:t>Vesting.</w:t>
      </w:r>
    </w:p>
    <w:p>
      <w:pPr>
        <w:spacing w:after="0" w:line="221" w:lineRule="exact"/>
        <w:rPr>
          <w:sz w:val="20"/>
          <w:szCs w:val="20"/>
          <w:color w:val="auto"/>
        </w:rPr>
      </w:pPr>
    </w:p>
    <w:p>
      <w:pPr>
        <w:jc w:val="both"/>
        <w:ind w:left="1" w:right="120"/>
        <w:spacing w:after="0" w:line="253" w:lineRule="auto"/>
        <w:rPr>
          <w:sz w:val="20"/>
          <w:szCs w:val="20"/>
          <w:color w:val="auto"/>
        </w:rPr>
      </w:pPr>
      <w:r>
        <w:rPr>
          <w:rFonts w:ascii="Arial" w:cs="Arial" w:eastAsia="Arial" w:hAnsi="Arial"/>
          <w:sz w:val="16"/>
          <w:szCs w:val="16"/>
          <w:color w:val="auto"/>
        </w:rPr>
        <w:t>2.1. The Option shall “vest” (that is, become exercisable) in installments upon and after the dates set forth under the caption “Exercise Schedule” in the Certificate. The installments shall be cumulative; i.e., the Option may be exercised, as to any or all Shares covered by an installment, at any time or times after the installment first becomes exercisable and until expiration or termination of the Option.</w:t>
      </w:r>
    </w:p>
    <w:p>
      <w:pPr>
        <w:spacing w:after="0" w:line="20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No vesting shall occur after the Employment Termination Date (as defined in Section 4.2 of this Agreement).</w:t>
      </w:r>
    </w:p>
    <w:p>
      <w:pPr>
        <w:spacing w:after="0" w:line="221" w:lineRule="exact"/>
        <w:rPr>
          <w:sz w:val="20"/>
          <w:szCs w:val="20"/>
          <w:color w:val="auto"/>
        </w:rPr>
      </w:pPr>
    </w:p>
    <w:p>
      <w:pPr>
        <w:ind w:left="1" w:right="80"/>
        <w:spacing w:after="0" w:line="253" w:lineRule="auto"/>
        <w:rPr>
          <w:sz w:val="20"/>
          <w:szCs w:val="20"/>
          <w:color w:val="auto"/>
        </w:rPr>
      </w:pPr>
      <w:r>
        <w:rPr>
          <w:rFonts w:ascii="Arial" w:cs="Arial" w:eastAsia="Arial" w:hAnsi="Arial"/>
          <w:sz w:val="16"/>
          <w:szCs w:val="16"/>
          <w:color w:val="auto"/>
        </w:rPr>
        <w:t>2.3. Notwithstanding anything to the contrary contained in this Option Agreement, the Option may not be exercised, in whole or in part, unless and until any then-applicable requirements of all state and federal laws and regulatory agencies shall have been fully complied with to the satisfaction of the Company and its counsel.</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6"/>
          <w:szCs w:val="16"/>
          <w:color w:val="auto"/>
        </w:rPr>
        <w:t>3. Exercise of the Option.</w:t>
      </w:r>
    </w:p>
    <w:p>
      <w:pPr>
        <w:spacing w:after="0" w:line="22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The Option may be exercised, in whole or in part, only by delivery to the Company of:</w:t>
      </w:r>
    </w:p>
    <w:p>
      <w:pPr>
        <w:spacing w:after="0" w:line="221" w:lineRule="exact"/>
        <w:rPr>
          <w:sz w:val="20"/>
          <w:szCs w:val="20"/>
          <w:color w:val="auto"/>
        </w:rPr>
      </w:pPr>
    </w:p>
    <w:p>
      <w:pPr>
        <w:ind w:left="1" w:right="20"/>
        <w:spacing w:after="0" w:line="260" w:lineRule="auto"/>
        <w:rPr>
          <w:sz w:val="20"/>
          <w:szCs w:val="20"/>
          <w:color w:val="auto"/>
        </w:rPr>
      </w:pPr>
      <w:r>
        <w:rPr>
          <w:rFonts w:ascii="Arial" w:cs="Arial" w:eastAsia="Arial" w:hAnsi="Arial"/>
          <w:sz w:val="16"/>
          <w:szCs w:val="16"/>
          <w:color w:val="auto"/>
        </w:rPr>
        <w:t>3.1.1. notice, provided electronically or as the Company may otherwise specify, of the exercise of the Option stating the number of Option Shares being purchased (the “Purchased Shares”); and</w:t>
      </w:r>
    </w:p>
    <w:p>
      <w:pPr>
        <w:spacing w:after="0" w:line="196" w:lineRule="exact"/>
        <w:rPr>
          <w:sz w:val="20"/>
          <w:szCs w:val="20"/>
          <w:color w:val="auto"/>
        </w:rPr>
      </w:pPr>
    </w:p>
    <w:p>
      <w:pPr>
        <w:ind w:left="1" w:right="260"/>
        <w:spacing w:after="0" w:line="260" w:lineRule="auto"/>
        <w:rPr>
          <w:sz w:val="20"/>
          <w:szCs w:val="20"/>
          <w:color w:val="auto"/>
        </w:rPr>
      </w:pPr>
      <w:r>
        <w:rPr>
          <w:rFonts w:ascii="Arial" w:cs="Arial" w:eastAsia="Arial" w:hAnsi="Arial"/>
          <w:sz w:val="16"/>
          <w:szCs w:val="16"/>
          <w:color w:val="auto"/>
        </w:rPr>
        <w:t>3.1.2. payment of the Exercise Price (i) in cash or cash equivalent; or (ii) with the prior approval of the Administrator, by delivery to the Company of such other consideration (such as a note or shares of Common Stock) acceptable to the Administrator.</w:t>
      </w:r>
    </w:p>
    <w:p>
      <w:pPr>
        <w:spacing w:after="0" w:line="196"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3.2. Following receipt of the exercise notice, any other applicable documents and the payment referred to above, the Company shall, within 30 days, cause certificates (which may be in book-entry form) representing the Purchased Shares to be issued and delivered to Optionee (including through electronic delivery to a brokerage account); provided; however, that the Company shall not be obligated to issue a fraction or fractions of a share otherwise issuable upon exercise of the Option, and may pay to Optionee, in cash or cash equivalent, the fair market value of any such fraction or fractions of a share as of the date of exercise.</w:t>
      </w:r>
    </w:p>
    <w:p>
      <w:pPr>
        <w:spacing w:after="0" w:line="203"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3.3. If requested by the Administrator, Optionee shall also deliver this Agreement to the Secretary of the Company, who shall endorse hereon a notation of the exercise and return this Agreement to Optionee. The date of exercise of an Option that is validly exercised shall be deemed to be the date on which there shall have been delivered to the Administrator the instruments referred to in this Section 3. Optionee shall not be deemed to be a holder of any Option Shares pursuant to exercise of the Option until the date of issuance of a stock certificate to him or her for such shares following payment in full for the Option Shares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40" w:name="page141"/>
    <w:bookmarkEnd w:id="140"/>
    <w:p>
      <w:pPr>
        <w:ind w:left="1" w:right="40"/>
        <w:spacing w:after="0" w:line="249" w:lineRule="auto"/>
        <w:rPr>
          <w:sz w:val="20"/>
          <w:szCs w:val="20"/>
          <w:color w:val="auto"/>
        </w:rPr>
      </w:pPr>
      <w:r>
        <w:rPr>
          <w:rFonts w:ascii="Arial" w:cs="Arial" w:eastAsia="Arial" w:hAnsi="Arial"/>
          <w:sz w:val="16"/>
          <w:szCs w:val="16"/>
          <w:color w:val="auto"/>
        </w:rPr>
        <w:t>3.4. If approved by the Company, the Optionee may exercise the Option by means of a broker assisted sale of the Option Shares by delivery of irrevocable directions to a Company approved securities broker (on a form prescribed by the Company) to sell the Option Shares and to deliver all or part of the sale proceeds to the Company in payment of the Exercise Price and/or tax withholding obligations or other required deductions. In the event of any broker-assisted sale of Option Shares, Optionee will be responsible for all broker’s fees and other costs of sale, and Optionee agrees to indemnify and hold the Company harmless from any losses, costs, damages, or expenses relating to any such sale.</w:t>
      </w:r>
    </w:p>
    <w:p>
      <w:pPr>
        <w:spacing w:after="0" w:line="205" w:lineRule="exact"/>
        <w:rPr>
          <w:sz w:val="20"/>
          <w:szCs w:val="20"/>
          <w:color w:val="auto"/>
        </w:rPr>
      </w:pPr>
    </w:p>
    <w:p>
      <w:pPr>
        <w:ind w:left="1" w:right="100"/>
        <w:spacing w:after="0" w:line="250" w:lineRule="auto"/>
        <w:rPr>
          <w:sz w:val="20"/>
          <w:szCs w:val="20"/>
          <w:color w:val="auto"/>
        </w:rPr>
      </w:pPr>
      <w:r>
        <w:rPr>
          <w:rFonts w:ascii="Arial" w:cs="Arial" w:eastAsia="Arial" w:hAnsi="Arial"/>
          <w:sz w:val="16"/>
          <w:szCs w:val="16"/>
          <w:color w:val="auto"/>
        </w:rPr>
        <w:t>3.4. Should this Option become a non-qualified stock option, in whole or in part, for any reason, then, as a condition to exercise of this Option, the Company may require Optionee to pay over to the Company all applicable federal, state and local taxes which the Company is required to withhold with respect to the exercise of such non-qualified stock option. At the discretion of the Administrator and upon the request of Optionee, the minimum statutory withholding tax requirements may be satisfied by the withholding of Shares otherwise issuable to Optionee upon the exercise of this Option.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4. Termination of Option.</w:t>
      </w:r>
    </w:p>
    <w:p>
      <w:pPr>
        <w:spacing w:after="0" w:line="22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Option shall terminate and expire upon the earliest to occur of: (i) the Option Expiration Date set forth in the Option Certificate;</w:t>
      </w:r>
    </w:p>
    <w:p>
      <w:pPr>
        <w:spacing w:after="0" w:line="5" w:lineRule="exact"/>
        <w:rPr>
          <w:sz w:val="20"/>
          <w:szCs w:val="20"/>
          <w:color w:val="auto"/>
        </w:rPr>
      </w:pPr>
    </w:p>
    <w:p>
      <w:pPr>
        <w:ind w:left="1" w:right="400" w:hanging="1"/>
        <w:spacing w:after="0" w:line="260" w:lineRule="auto"/>
        <w:tabs>
          <w:tab w:leader="none" w:pos="22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Termination Date; and (iii) a Corporate Transaction unless otherwise specified (x) in Optionee’s employment agreement or other applicable written agreement with the Company, or (y) by the Administrator.</w:t>
      </w:r>
    </w:p>
    <w:p>
      <w:pPr>
        <w:spacing w:after="0" w:line="196"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For purposes of this Agreement:</w:t>
      </w:r>
    </w:p>
    <w:p>
      <w:pPr>
        <w:spacing w:after="0" w:line="221" w:lineRule="exact"/>
        <w:rPr>
          <w:sz w:val="20"/>
          <w:szCs w:val="20"/>
          <w:color w:val="auto"/>
        </w:rPr>
      </w:pPr>
    </w:p>
    <w:p>
      <w:pPr>
        <w:ind w:left="1" w:right="340"/>
        <w:spacing w:after="0" w:line="250" w:lineRule="auto"/>
        <w:rPr>
          <w:sz w:val="20"/>
          <w:szCs w:val="20"/>
          <w:color w:val="auto"/>
        </w:rPr>
      </w:pPr>
      <w:r>
        <w:rPr>
          <w:rFonts w:ascii="Arial" w:cs="Arial" w:eastAsia="Arial" w:hAnsi="Arial"/>
          <w:sz w:val="16"/>
          <w:szCs w:val="16"/>
          <w:color w:val="auto"/>
        </w:rPr>
        <w:t>4.2.1. “Employment Termination Date” shall mean the first day Optionee is not an employee of the Company or any of its Affiliates. Optionee’s employment shall not be deemed to terminate by reason of a transfer to or from the Company or an Affiliate or among such entities, or sick leave, military leave or other leave of absence approved by the Administrator, if the period of any such leave does not exceed 90 days or, if longer, if Optionee’s right to reemployment by the Company or any Affiliate is guaranteed either contractually or by statute.</w:t>
      </w:r>
    </w:p>
    <w:p>
      <w:pPr>
        <w:spacing w:after="0" w:line="203" w:lineRule="exact"/>
        <w:rPr>
          <w:sz w:val="20"/>
          <w:szCs w:val="20"/>
          <w:color w:val="auto"/>
        </w:rPr>
      </w:pPr>
    </w:p>
    <w:p>
      <w:pPr>
        <w:ind w:left="1" w:right="320"/>
        <w:spacing w:after="0" w:line="251" w:lineRule="auto"/>
        <w:rPr>
          <w:sz w:val="20"/>
          <w:szCs w:val="20"/>
          <w:color w:val="auto"/>
        </w:rPr>
      </w:pPr>
      <w:r>
        <w:rPr>
          <w:rFonts w:ascii="Arial" w:cs="Arial" w:eastAsia="Arial" w:hAnsi="Arial"/>
          <w:sz w:val="16"/>
          <w:szCs w:val="16"/>
          <w:color w:val="auto"/>
        </w:rPr>
        <w:t>4.2.2. “Termination Date” shall be: (a) the date 90 days following the Employment Termination Date unless Optionee’s employment is terminated For Cause or as a result of the death or disability of Optionee; (b) upon the Employment Termination Date if Optionee’s employment is terminated For Cause; or (c) the date one year following the Employment Termination Date as a result of the death or disability of Optionee.</w:t>
      </w:r>
    </w:p>
    <w:p>
      <w:pPr>
        <w:spacing w:after="0" w:line="203" w:lineRule="exact"/>
        <w:rPr>
          <w:sz w:val="20"/>
          <w:szCs w:val="20"/>
          <w:color w:val="auto"/>
        </w:rPr>
      </w:pPr>
    </w:p>
    <w:p>
      <w:pPr>
        <w:ind w:left="1" w:right="120"/>
        <w:spacing w:after="0" w:line="250" w:lineRule="auto"/>
        <w:rPr>
          <w:sz w:val="20"/>
          <w:szCs w:val="20"/>
          <w:color w:val="auto"/>
        </w:rPr>
      </w:pPr>
      <w:r>
        <w:rPr>
          <w:rFonts w:ascii="Arial" w:cs="Arial" w:eastAsia="Arial" w:hAnsi="Arial"/>
          <w:sz w:val="16"/>
          <w:szCs w:val="16"/>
          <w:color w:val="auto"/>
        </w:rPr>
        <w:t>4.2.3. “For Cause” shall mean Optionee’s loss of employment by the Company or any of its Affiliates due to Optionee’s (a) willful breach or habitual neglect or continued incapacity to perform Optionee’s required duties, (b) commission of acts of dishonesty, fraud, misrepresentation or other acts of moral turpitude in connection with Optionee’s services to the Company or its Affiliates or which in the determination of the Administrator would prevent the effective performance of Optionee’s duties or (c) termination For Cause under any employment agreement between the Company and Optionee (as for cause is defined therein).</w:t>
      </w:r>
    </w:p>
    <w:p>
      <w:pPr>
        <w:spacing w:after="0" w:line="203" w:lineRule="exact"/>
        <w:rPr>
          <w:sz w:val="20"/>
          <w:szCs w:val="20"/>
          <w:color w:val="auto"/>
        </w:rPr>
      </w:pPr>
    </w:p>
    <w:p>
      <w:pPr>
        <w:ind w:left="1" w:right="180" w:hanging="1"/>
        <w:spacing w:after="0" w:line="253" w:lineRule="auto"/>
        <w:tabs>
          <w:tab w:leader="none" w:pos="226"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Adjustment. The number of shares and Exercise Price of this Option shall be subject to adjustment under the circumstances contemplated by the Plan and the Option Expiration Date may be accelerated by the Administrator upon the circumstances set forth in the Plan.</w:t>
      </w:r>
    </w:p>
    <w:p>
      <w:pPr>
        <w:spacing w:after="0" w:line="201" w:lineRule="exact"/>
        <w:rPr>
          <w:rFonts w:ascii="Arial" w:cs="Arial" w:eastAsia="Arial" w:hAnsi="Arial"/>
          <w:sz w:val="16"/>
          <w:szCs w:val="16"/>
          <w:color w:val="auto"/>
        </w:rPr>
      </w:pPr>
    </w:p>
    <w:p>
      <w:pPr>
        <w:ind w:left="1" w:right="100" w:hanging="1"/>
        <w:spacing w:after="0" w:line="253" w:lineRule="auto"/>
        <w:tabs>
          <w:tab w:leader="none" w:pos="226"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Corporate Transactions. Upon the occurrence of a Corporate Transaction, the Option shall be subject to the actions of the Administrator as contemplated in the Plan, including without limitation the termination of the Option immediately prior to the consummation of the Corporate Transaction.</w:t>
      </w:r>
    </w:p>
    <w:p>
      <w:pPr>
        <w:spacing w:after="0" w:line="201" w:lineRule="exact"/>
        <w:rPr>
          <w:rFonts w:ascii="Arial" w:cs="Arial" w:eastAsia="Arial" w:hAnsi="Arial"/>
          <w:sz w:val="16"/>
          <w:szCs w:val="16"/>
          <w:color w:val="auto"/>
        </w:rPr>
      </w:pPr>
    </w:p>
    <w:p>
      <w:pPr>
        <w:ind w:left="1" w:hanging="1"/>
        <w:spacing w:after="0" w:line="250" w:lineRule="auto"/>
        <w:tabs>
          <w:tab w:leader="none" w:pos="226" w:val="left"/>
        </w:tabs>
        <w:numPr>
          <w:ilvl w:val="0"/>
          <w:numId w:val="43"/>
        </w:numPr>
        <w:rPr>
          <w:rFonts w:ascii="Arial" w:cs="Arial" w:eastAsia="Arial" w:hAnsi="Arial"/>
          <w:sz w:val="16"/>
          <w:szCs w:val="16"/>
          <w:color w:val="auto"/>
        </w:rPr>
      </w:pPr>
      <w:r>
        <w:rPr>
          <w:rFonts w:ascii="Arial" w:cs="Arial" w:eastAsia="Arial" w:hAnsi="Arial"/>
          <w:sz w:val="16"/>
          <w:szCs w:val="16"/>
          <w:color w:val="auto"/>
        </w:rPr>
        <w:t>Modification. Subject to the terms and conditions and within the limitations of the Plan, the Administrator may modify, extend or renew the Option or accept the surrender of, and authorize the grant of a new option in substitution for, the Option (to the extent not previously exercised). No modification of the Option shall be made which, without the consent of Optionee, would cause the Option to fail to continue to qualify as an “incentive stock option” within the meaning of Section 422 of the Code or would alter or impair any rights of Optionee under the Option.</w:t>
      </w:r>
    </w:p>
    <w:p>
      <w:pPr>
        <w:spacing w:after="0" w:line="203" w:lineRule="exact"/>
        <w:rPr>
          <w:rFonts w:ascii="Arial" w:cs="Arial" w:eastAsia="Arial" w:hAnsi="Arial"/>
          <w:sz w:val="16"/>
          <w:szCs w:val="16"/>
          <w:color w:val="auto"/>
        </w:rPr>
      </w:pPr>
    </w:p>
    <w:p>
      <w:pPr>
        <w:ind w:left="1" w:right="60" w:hanging="1"/>
        <w:spacing w:after="0" w:line="251" w:lineRule="auto"/>
        <w:tabs>
          <w:tab w:leader="none" w:pos="226"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Disqualifying Disposition. Optionee agrees that, should he or she make a “disposition” (as defined in Section 424(c) of the Code) of all or any of the Purchased Shares within two years from the date of the grant of the Option or within one year after the issuance of such Purchased Shares, he or she shall immediately advise the Company in writing as to the occurrence of the sale and the price realized upon the sale of such Purchased Shares.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41" w:right="939" w:bottom="1440" w:gutter="0" w:footer="0" w:header="0"/>
        </w:sectPr>
      </w:pPr>
    </w:p>
    <w:bookmarkStart w:id="141" w:name="page142"/>
    <w:bookmarkEnd w:id="141"/>
    <w:p>
      <w:pPr>
        <w:ind w:left="1" w:right="240"/>
        <w:spacing w:after="0" w:line="260" w:lineRule="auto"/>
        <w:rPr>
          <w:sz w:val="20"/>
          <w:szCs w:val="20"/>
          <w:color w:val="auto"/>
        </w:rPr>
      </w:pPr>
      <w:r>
        <w:rPr>
          <w:rFonts w:ascii="Arial" w:cs="Arial" w:eastAsia="Arial" w:hAnsi="Arial"/>
          <w:sz w:val="16"/>
          <w:szCs w:val="16"/>
          <w:color w:val="auto"/>
        </w:rPr>
        <w:t>agrees that he or she shall maintain all Purchased Shares in his or her name so long as he or she maintains beneficial ownership of such Purchased Shares.</w:t>
      </w:r>
    </w:p>
    <w:p>
      <w:pPr>
        <w:spacing w:after="0" w:line="196" w:lineRule="exact"/>
        <w:rPr>
          <w:sz w:val="20"/>
          <w:szCs w:val="20"/>
          <w:color w:val="auto"/>
        </w:rPr>
      </w:pPr>
    </w:p>
    <w:p>
      <w:pPr>
        <w:ind w:left="1" w:right="220" w:hanging="1"/>
        <w:spacing w:after="0" w:line="260" w:lineRule="auto"/>
        <w:tabs>
          <w:tab w:leader="none" w:pos="226"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Incorporation of Plan. This Agreement is made pursuant to the Plan, and it is intended, and shall be interpreted in a manner, to comply with the Plan. Any provision of this Agreement inconsistent with the Plan shall be superseded and governed by the Plan.</w:t>
      </w:r>
    </w:p>
    <w:p>
      <w:pPr>
        <w:spacing w:after="0" w:line="195" w:lineRule="exact"/>
        <w:rPr>
          <w:rFonts w:ascii="Arial" w:cs="Arial" w:eastAsia="Arial" w:hAnsi="Arial"/>
          <w:sz w:val="16"/>
          <w:szCs w:val="16"/>
          <w:color w:val="auto"/>
        </w:rPr>
      </w:pPr>
    </w:p>
    <w:p>
      <w:pPr>
        <w:ind w:left="1" w:right="60" w:hanging="1"/>
        <w:spacing w:after="0" w:line="248" w:lineRule="auto"/>
        <w:tabs>
          <w:tab w:leader="none" w:pos="316"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Restrictions on Sale of Purchased Shares. Optionee understands that: (a) unless the issuance of the Purchased Shares to Optionee upon exercise of the Option is registered under the Securities Act of 1933, as amended (the “Securities Act”), the Purchased Shares will be “restricted securities” within the meaning of Rule 144 under such Act; (b) the Purchased Shares may not be sold, transferred or assigned by the Optionee except pursuant to an effective registration statement under the Securities Act or an exemption from registration under the Securities Act; and (c) the Company is under no obligation to file a registration statement under the Securities Act covering the Option Shares. Optionee agrees that any certificates evidencing Purchased Shares may bear a legend indicating that their transferability is restricted in accordance with applicable state and federal securities laws.</w:t>
      </w:r>
    </w:p>
    <w:p>
      <w:pPr>
        <w:spacing w:after="0" w:line="208" w:lineRule="exact"/>
        <w:rPr>
          <w:rFonts w:ascii="Arial" w:cs="Arial" w:eastAsia="Arial" w:hAnsi="Arial"/>
          <w:sz w:val="16"/>
          <w:szCs w:val="16"/>
          <w:color w:val="auto"/>
        </w:rPr>
      </w:pPr>
    </w:p>
    <w:p>
      <w:pPr>
        <w:ind w:left="321" w:hanging="321"/>
        <w:spacing w:after="0"/>
        <w:tabs>
          <w:tab w:leader="none" w:pos="321"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Provisions.</w:t>
      </w:r>
    </w:p>
    <w:p>
      <w:pPr>
        <w:spacing w:after="0" w:line="221" w:lineRule="exact"/>
        <w:rPr>
          <w:sz w:val="20"/>
          <w:szCs w:val="20"/>
          <w:color w:val="auto"/>
        </w:rPr>
      </w:pPr>
    </w:p>
    <w:p>
      <w:pPr>
        <w:ind w:left="1" w:right="520"/>
        <w:spacing w:after="0" w:line="260" w:lineRule="auto"/>
        <w:rPr>
          <w:sz w:val="20"/>
          <w:szCs w:val="20"/>
          <w:color w:val="auto"/>
        </w:rPr>
      </w:pPr>
      <w:r>
        <w:rPr>
          <w:rFonts w:ascii="Arial" w:cs="Arial" w:eastAsia="Arial" w:hAnsi="Arial"/>
          <w:sz w:val="16"/>
          <w:szCs w:val="16"/>
          <w:color w:val="auto"/>
        </w:rPr>
        <w:t>11.1. Further Assurances. Optionee shall promptly take all actions and execute all documents requested by the Company that the Company deems to be reasonably necessary to effectuate the term and intent of this Agreement.</w:t>
      </w:r>
    </w:p>
    <w:p>
      <w:pPr>
        <w:spacing w:after="0" w:line="196" w:lineRule="exact"/>
        <w:rPr>
          <w:sz w:val="20"/>
          <w:szCs w:val="20"/>
          <w:color w:val="auto"/>
        </w:rPr>
      </w:pPr>
    </w:p>
    <w:p>
      <w:pPr>
        <w:ind w:left="1" w:right="80"/>
        <w:spacing w:after="0" w:line="249" w:lineRule="auto"/>
        <w:rPr>
          <w:sz w:val="20"/>
          <w:szCs w:val="20"/>
          <w:color w:val="auto"/>
        </w:rPr>
      </w:pPr>
      <w:r>
        <w:rPr>
          <w:rFonts w:ascii="Arial" w:cs="Arial" w:eastAsia="Arial" w:hAnsi="Arial"/>
          <w:sz w:val="16"/>
          <w:szCs w:val="16"/>
          <w:color w:val="auto"/>
        </w:rPr>
        <w:t>11.2. Notices. All notices, requests, demands and other communications (collectively, “Notices”) given pursuant to this Agreement shall be in writing, and shall be delivered by personal service, courier, or by United States first class, registered or certified mail, postage prepaid, addressed to the party at the address set forth on the signature page of this Agreement. Any Notice, other than a Notice sent by registered or certified mail, shall be effective when received; a Notice sent by registered or certified mail, postage prepaid return receipt requested, shall be effective on the earlier of when received or the third day following deposit in the United States mails. Any party may from time to time change its address for further Notices hereunder by giving notice to the other party in the manner prescribed in this Section.</w:t>
      </w:r>
    </w:p>
    <w:p>
      <w:pPr>
        <w:spacing w:after="0" w:line="205" w:lineRule="exact"/>
        <w:rPr>
          <w:sz w:val="20"/>
          <w:szCs w:val="20"/>
          <w:color w:val="auto"/>
        </w:rPr>
      </w:pPr>
    </w:p>
    <w:p>
      <w:pPr>
        <w:ind w:left="1" w:right="60"/>
        <w:spacing w:after="0" w:line="260" w:lineRule="auto"/>
        <w:rPr>
          <w:sz w:val="20"/>
          <w:szCs w:val="20"/>
          <w:color w:val="auto"/>
        </w:rPr>
      </w:pPr>
      <w:r>
        <w:rPr>
          <w:rFonts w:ascii="Arial" w:cs="Arial" w:eastAsia="Arial" w:hAnsi="Arial"/>
          <w:sz w:val="16"/>
          <w:szCs w:val="16"/>
          <w:color w:val="auto"/>
        </w:rPr>
        <w:t>11.3. Failure to Enforce Not a Waiver. The failure of the Company to enforce at any time any provision of this Agreement shall in no way be construed to be a waiver of such provision or of any other provision hereof.</w:t>
      </w:r>
    </w:p>
    <w:p>
      <w:pPr>
        <w:spacing w:after="0" w:line="196" w:lineRule="exact"/>
        <w:rPr>
          <w:sz w:val="20"/>
          <w:szCs w:val="20"/>
          <w:color w:val="auto"/>
        </w:rPr>
      </w:pPr>
    </w:p>
    <w:p>
      <w:pPr>
        <w:ind w:left="1" w:right="720"/>
        <w:spacing w:after="0" w:line="260" w:lineRule="auto"/>
        <w:rPr>
          <w:sz w:val="20"/>
          <w:szCs w:val="20"/>
          <w:color w:val="auto"/>
        </w:rPr>
      </w:pPr>
      <w:r>
        <w:rPr>
          <w:rFonts w:ascii="Arial" w:cs="Arial" w:eastAsia="Arial" w:hAnsi="Arial"/>
          <w:sz w:val="16"/>
          <w:szCs w:val="16"/>
          <w:color w:val="auto"/>
        </w:rPr>
        <w:t>11.4. Governing Law. This Agreement shall be governed by and construed in accordance with the law of the State of Delaware applicable to contracts made in, and to be performed within, that State.</w:t>
      </w:r>
    </w:p>
    <w:p>
      <w:pPr>
        <w:spacing w:after="0" w:line="196" w:lineRule="exact"/>
        <w:rPr>
          <w:sz w:val="20"/>
          <w:szCs w:val="20"/>
          <w:color w:val="auto"/>
        </w:rPr>
      </w:pPr>
    </w:p>
    <w:p>
      <w:pPr>
        <w:ind w:left="1" w:right="140"/>
        <w:spacing w:after="0" w:line="260" w:lineRule="auto"/>
        <w:rPr>
          <w:sz w:val="20"/>
          <w:szCs w:val="20"/>
          <w:color w:val="auto"/>
        </w:rPr>
      </w:pPr>
      <w:r>
        <w:rPr>
          <w:rFonts w:ascii="Arial" w:cs="Arial" w:eastAsia="Arial" w:hAnsi="Arial"/>
          <w:sz w:val="16"/>
          <w:szCs w:val="16"/>
          <w:color w:val="auto"/>
        </w:rPr>
        <w:t>11.5. Transfer of Rights under this Agreement. The Company may at any time transfer and assign its rights and delegate its obligations under this Agreement to any other person, corporation, firm or entity, with or without consideration.</w:t>
      </w:r>
    </w:p>
    <w:p>
      <w:pPr>
        <w:spacing w:after="0" w:line="196" w:lineRule="exact"/>
        <w:rPr>
          <w:sz w:val="20"/>
          <w:szCs w:val="20"/>
          <w:color w:val="auto"/>
        </w:rPr>
      </w:pPr>
    </w:p>
    <w:p>
      <w:pPr>
        <w:ind w:left="1"/>
        <w:spacing w:after="0" w:line="260" w:lineRule="auto"/>
        <w:rPr>
          <w:sz w:val="20"/>
          <w:szCs w:val="20"/>
          <w:color w:val="auto"/>
        </w:rPr>
      </w:pPr>
      <w:r>
        <w:rPr>
          <w:rFonts w:ascii="Arial" w:cs="Arial" w:eastAsia="Arial" w:hAnsi="Arial"/>
          <w:sz w:val="16"/>
          <w:szCs w:val="16"/>
          <w:color w:val="auto"/>
        </w:rPr>
        <w:t>11.6. Option Non-transferable. Optionee may not sell, transfer, assign or otherwise dispose of the Option except by will or the laws of descent and distribution, and only Optionee or his or her legal representative or guardian may exercise the Option during Optionee’s lifetime.</w:t>
      </w:r>
    </w:p>
    <w:p>
      <w:pPr>
        <w:spacing w:after="0" w:line="196" w:lineRule="exact"/>
        <w:rPr>
          <w:sz w:val="20"/>
          <w:szCs w:val="20"/>
          <w:color w:val="auto"/>
        </w:rPr>
      </w:pPr>
    </w:p>
    <w:p>
      <w:pPr>
        <w:jc w:val="both"/>
        <w:ind w:left="1" w:right="420"/>
        <w:spacing w:after="0" w:line="253" w:lineRule="auto"/>
        <w:rPr>
          <w:sz w:val="20"/>
          <w:szCs w:val="20"/>
          <w:color w:val="auto"/>
        </w:rPr>
      </w:pPr>
      <w:r>
        <w:rPr>
          <w:rFonts w:ascii="Arial" w:cs="Arial" w:eastAsia="Arial" w:hAnsi="Arial"/>
          <w:sz w:val="16"/>
          <w:szCs w:val="16"/>
          <w:color w:val="auto"/>
        </w:rPr>
        <w:t>11.7. No Right to Employment. Nothing in this Option shall interfere with or limit in any way the right of the Company or of any of its Affiliates to terminate Optionee’s employment, consulting or advising at any time, nor confer upon Optionee any right to continue in the employ of, consult with or advise the Company or any of its Affiliates.</w:t>
      </w:r>
    </w:p>
    <w:p>
      <w:pPr>
        <w:spacing w:after="0" w:line="201" w:lineRule="exact"/>
        <w:rPr>
          <w:sz w:val="20"/>
          <w:szCs w:val="20"/>
          <w:color w:val="auto"/>
        </w:rPr>
      </w:pPr>
    </w:p>
    <w:p>
      <w:pPr>
        <w:ind w:left="1" w:right="260"/>
        <w:spacing w:after="0" w:line="260" w:lineRule="auto"/>
        <w:rPr>
          <w:sz w:val="20"/>
          <w:szCs w:val="20"/>
          <w:color w:val="auto"/>
        </w:rPr>
      </w:pPr>
      <w:r>
        <w:rPr>
          <w:rFonts w:ascii="Arial" w:cs="Arial" w:eastAsia="Arial" w:hAnsi="Arial"/>
          <w:sz w:val="16"/>
          <w:szCs w:val="16"/>
          <w:color w:val="auto"/>
        </w:rPr>
        <w:t>11.8. Delivery of Plan to Optionee. Optionee acknowledges that a copy of the Plan has been delivered to Optionee and that Optionee has read the Plan prior to signing this Agreement.</w:t>
      </w:r>
    </w:p>
    <w:p>
      <w:pPr>
        <w:spacing w:after="0" w:line="196" w:lineRule="exact"/>
        <w:rPr>
          <w:sz w:val="20"/>
          <w:szCs w:val="20"/>
          <w:color w:val="auto"/>
        </w:rPr>
      </w:pPr>
    </w:p>
    <w:p>
      <w:pPr>
        <w:ind w:left="1" w:right="320"/>
        <w:spacing w:after="0" w:line="253" w:lineRule="auto"/>
        <w:rPr>
          <w:sz w:val="20"/>
          <w:szCs w:val="20"/>
          <w:color w:val="auto"/>
        </w:rPr>
      </w:pPr>
      <w:r>
        <w:rPr>
          <w:rFonts w:ascii="Arial" w:cs="Arial" w:eastAsia="Arial" w:hAnsi="Arial"/>
          <w:sz w:val="16"/>
          <w:szCs w:val="16"/>
          <w:color w:val="auto"/>
        </w:rPr>
        <w:t>11.9. Successors and Assigns. Except to the extent specifically limited by the terms and provision of this Agreement, this Agreement shall be binding upon and inure to the benefit of the parties hereto and their respective successors, assigns, heirs and personal representatives.</w:t>
      </w:r>
    </w:p>
    <w:p>
      <w:pPr>
        <w:spacing w:after="0" w:line="201" w:lineRule="exact"/>
        <w:rPr>
          <w:sz w:val="20"/>
          <w:szCs w:val="20"/>
          <w:color w:val="auto"/>
        </w:rPr>
      </w:pPr>
    </w:p>
    <w:p>
      <w:pPr>
        <w:ind w:left="1" w:right="80"/>
        <w:spacing w:after="0" w:line="253" w:lineRule="auto"/>
        <w:rPr>
          <w:sz w:val="20"/>
          <w:szCs w:val="20"/>
          <w:color w:val="auto"/>
        </w:rPr>
      </w:pPr>
      <w:r>
        <w:rPr>
          <w:rFonts w:ascii="Arial" w:cs="Arial" w:eastAsia="Arial" w:hAnsi="Arial"/>
          <w:sz w:val="16"/>
          <w:szCs w:val="16"/>
          <w:color w:val="auto"/>
        </w:rPr>
        <w:t>11.10. Miscellaneous. Titles and captions contained in this Agreement are inserted for convenience of reference only and do not constitute a part of this Agreement for any other purpose. Except as specifically provided herein, neither this Agreement nor any right pursuant hereto or interest herein shall be assignable by any of the parties hereto without the prior written consent of the other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332740</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1" w:right="919" w:bottom="1440" w:gutter="0" w:footer="0" w:header="0"/>
        </w:sectPr>
      </w:pPr>
    </w:p>
    <w:bookmarkStart w:id="142" w:name="page143"/>
    <w:bookmarkEnd w:id="142"/>
    <w:p>
      <w:pPr>
        <w:ind w:right="140"/>
        <w:spacing w:after="0" w:line="253" w:lineRule="auto"/>
        <w:rPr>
          <w:sz w:val="20"/>
          <w:szCs w:val="20"/>
          <w:color w:val="auto"/>
        </w:rPr>
      </w:pPr>
      <w:r>
        <w:rPr>
          <w:rFonts w:ascii="Arial" w:cs="Arial" w:eastAsia="Arial" w:hAnsi="Arial"/>
          <w:sz w:val="16"/>
          <w:szCs w:val="16"/>
          <w:color w:val="auto"/>
        </w:rPr>
        <w:t>11.11. Tax Treatment. Optionee acknowledges that the tax treatment of the Option, the Option Shares or any events or transactions with respect thereto may be dependent upon various factors or events that are not determined by the Plan or this Agreement. The Company makes no representations with respect to and hereby disclaims all responsibility as to such tax treatment.</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11.12. Entire Agreement. This Agreement and the Plan contain the entire agreement and understanding of the parties hereto with respect to the subject matter contained herein and supersede all prior communications, representations and negotiations in respect</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thereto. Notwithstanding the foregoing or anything to the contrary herein, if the Optionee is a party to an employment, consulting, change-in-control, severance or other agreement with the Company that modifies or supplements the terms of this Agreement (a “Superseding Agreement”), or is the subject of a resolution by the board of directors of the Company or its compensation committee evidencing the grant of an award that modifies or supplements the terms of this Agreement (a “Resolution”), such modified or supplemented terms shall control in the event of any conflict between such terms and the terms of this Agreement, provided that in the event that the Superseding Agreement or Resolution is silent on a matter addressed in this Agreement, then such silence is not a conflict. No change, modification or waiver of any provision of this Agreement shall be valid unless the same be in writing and signed by the parties hereto, except for any changes permitted without consent under the Plan.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signature page of this Agreement consists of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41" w:right="9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6"/>
          <w:szCs w:val="16"/>
          <w:b w:val="1"/>
          <w:bCs w:val="1"/>
          <w:color w:val="auto"/>
        </w:rPr>
        <w:t>Exhibit 10.5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IOVANCE BIOTHERAPEUTICS,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OPTION CERTIFICATE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(Non-Qualified Stock Option)</w:t>
      </w:r>
    </w:p>
    <w:p>
      <w:pPr>
        <w:spacing w:after="0" w:line="22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THIS IS TO CERTIFY that Iovance Biotherapeutics, Inc., a Delaware corporation (the “Company”), has granted to the optionee named below (“Optionee”) a non-qualified stock option (the “Option”) to purchase shares of the Company’s Common Stock (the “Shares”) under its 2011 Equity Incentive Plan (the “Plan”) and upon the terms and conditions set forth below and in the attached Stock Option Agreement: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Pr>
          <w:p>
            <w:pPr>
              <w:spacing w:after="0"/>
              <w:rPr>
                <w:sz w:val="20"/>
                <w:szCs w:val="20"/>
                <w:color w:val="auto"/>
              </w:rPr>
            </w:pPr>
            <w:r>
              <w:rPr>
                <w:rFonts w:ascii="Arial" w:cs="Arial" w:eastAsia="Arial" w:hAnsi="Arial"/>
                <w:sz w:val="16"/>
                <w:szCs w:val="16"/>
                <w:color w:val="auto"/>
              </w:rPr>
              <w:t>Name of Optionee:</w:t>
            </w:r>
          </w:p>
        </w:tc>
        <w:tc>
          <w:tcPr>
            <w:tcW w:w="5020" w:type="dxa"/>
            <w:vAlign w:val="bottom"/>
          </w:tcPr>
          <w:p>
            <w:pPr>
              <w:ind w:left="1140"/>
              <w:spacing w:after="0"/>
              <w:rPr>
                <w:sz w:val="20"/>
                <w:szCs w:val="20"/>
                <w:color w:val="auto"/>
              </w:rPr>
            </w:pPr>
            <w:r>
              <w:rPr>
                <w:rFonts w:ascii="Arial" w:cs="Arial" w:eastAsia="Arial" w:hAnsi="Arial"/>
                <w:sz w:val="16"/>
                <w:szCs w:val="16"/>
                <w:color w:val="auto"/>
              </w:rPr>
              <w:t>%%FIRST_NAME%-% %%LAST_NAME%-%</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4"/>
                <w:szCs w:val="24"/>
                <w:color w:val="auto"/>
              </w:rPr>
            </w:pPr>
          </w:p>
        </w:tc>
        <w:tc>
          <w:tcPr>
            <w:tcW w:w="5020" w:type="dxa"/>
            <w:vAlign w:val="bottom"/>
          </w:tcPr>
          <w:p>
            <w:pPr>
              <w:ind w:left="1140"/>
              <w:spacing w:after="0"/>
              <w:rPr>
                <w:sz w:val="20"/>
                <w:szCs w:val="20"/>
                <w:color w:val="auto"/>
              </w:rPr>
            </w:pPr>
            <w:r>
              <w:rPr>
                <w:rFonts w:ascii="Arial" w:cs="Arial" w:eastAsia="Arial" w:hAnsi="Arial"/>
                <w:sz w:val="16"/>
                <w:szCs w:val="16"/>
                <w:color w:val="auto"/>
              </w:rPr>
              <w:t>%%ADDRESS_LINE_1%-%</w:t>
            </w:r>
          </w:p>
        </w:tc>
        <w:tc>
          <w:tcPr>
            <w:tcW w:w="0" w:type="dxa"/>
            <w:vAlign w:val="bottom"/>
          </w:tcPr>
          <w:p>
            <w:pPr>
              <w:spacing w:after="0"/>
              <w:rPr>
                <w:sz w:val="1"/>
                <w:szCs w:val="1"/>
                <w:color w:val="auto"/>
              </w:rPr>
            </w:pPr>
          </w:p>
        </w:tc>
      </w:tr>
      <w:tr>
        <w:trPr>
          <w:trHeight w:val="270"/>
        </w:trPr>
        <w:tc>
          <w:tcPr>
            <w:tcW w:w="2800" w:type="dxa"/>
            <w:vAlign w:val="bottom"/>
            <w:vMerge w:val="restart"/>
          </w:tcPr>
          <w:p>
            <w:pPr>
              <w:spacing w:after="0"/>
              <w:rPr>
                <w:sz w:val="20"/>
                <w:szCs w:val="20"/>
                <w:color w:val="auto"/>
              </w:rPr>
            </w:pPr>
            <w:r>
              <w:rPr>
                <w:rFonts w:ascii="Arial" w:cs="Arial" w:eastAsia="Arial" w:hAnsi="Arial"/>
                <w:sz w:val="16"/>
                <w:szCs w:val="16"/>
                <w:color w:val="auto"/>
              </w:rPr>
              <w:t>Address of Optionee:</w:t>
            </w:r>
          </w:p>
        </w:tc>
        <w:tc>
          <w:tcPr>
            <w:tcW w:w="5020" w:type="dxa"/>
            <w:vAlign w:val="bottom"/>
          </w:tcPr>
          <w:p>
            <w:pPr>
              <w:ind w:left="1140"/>
              <w:spacing w:after="0"/>
              <w:rPr>
                <w:sz w:val="20"/>
                <w:szCs w:val="20"/>
                <w:color w:val="auto"/>
              </w:rPr>
            </w:pPr>
            <w:r>
              <w:rPr>
                <w:rFonts w:ascii="Arial" w:cs="Arial" w:eastAsia="Arial" w:hAnsi="Arial"/>
                <w:sz w:val="16"/>
                <w:szCs w:val="16"/>
                <w:color w:val="auto"/>
              </w:rPr>
              <w:t>%%ADDRESS_LINE_2%-%</w:t>
            </w: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5020" w:type="dxa"/>
            <w:vAlign w:val="bottom"/>
            <w:vMerge w:val="restart"/>
          </w:tcPr>
          <w:p>
            <w:pPr>
              <w:ind w:left="1140"/>
              <w:spacing w:after="0"/>
              <w:rPr>
                <w:sz w:val="20"/>
                <w:szCs w:val="20"/>
                <w:color w:val="auto"/>
              </w:rPr>
            </w:pPr>
            <w:r>
              <w:rPr>
                <w:rFonts w:ascii="Arial" w:cs="Arial" w:eastAsia="Arial" w:hAnsi="Arial"/>
                <w:sz w:val="16"/>
                <w:szCs w:val="16"/>
                <w:color w:val="auto"/>
              </w:rPr>
              <w:t>%%CITY%-%, %%STATE%-% %%ZIPCODE%-%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5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5020" w:type="dxa"/>
            <w:vAlign w:val="bottom"/>
          </w:tcPr>
          <w:p>
            <w:pPr>
              <w:ind w:left="1140"/>
              <w:spacing w:after="0"/>
              <w:rPr>
                <w:sz w:val="20"/>
                <w:szCs w:val="20"/>
                <w:color w:val="auto"/>
              </w:rPr>
            </w:pPr>
            <w:r>
              <w:rPr>
                <w:rFonts w:ascii="Arial" w:cs="Arial" w:eastAsia="Arial" w:hAnsi="Arial"/>
                <w:sz w:val="16"/>
                <w:szCs w:val="16"/>
                <w:color w:val="auto"/>
              </w:rPr>
              <w:t>%%COUNTRY%-%</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Number of Shares:</w:t>
            </w:r>
          </w:p>
        </w:tc>
        <w:tc>
          <w:tcPr>
            <w:tcW w:w="5020" w:type="dxa"/>
            <w:vAlign w:val="bottom"/>
          </w:tcPr>
          <w:p>
            <w:pPr>
              <w:ind w:left="1140"/>
              <w:spacing w:after="0"/>
              <w:rPr>
                <w:sz w:val="20"/>
                <w:szCs w:val="20"/>
                <w:color w:val="auto"/>
              </w:rPr>
            </w:pPr>
            <w:r>
              <w:rPr>
                <w:rFonts w:ascii="Arial" w:cs="Arial" w:eastAsia="Arial" w:hAnsi="Arial"/>
                <w:sz w:val="16"/>
                <w:szCs w:val="16"/>
                <w:color w:val="auto"/>
              </w:rPr>
              <w:t>%%TOTAL_SHARES_GRANTED,'999,999,999'%-%</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Option Exercise Price:</w:t>
            </w:r>
          </w:p>
        </w:tc>
        <w:tc>
          <w:tcPr>
            <w:tcW w:w="5020" w:type="dxa"/>
            <w:vAlign w:val="bottom"/>
          </w:tcPr>
          <w:p>
            <w:pPr>
              <w:ind w:left="1140"/>
              <w:spacing w:after="0"/>
              <w:rPr>
                <w:sz w:val="20"/>
                <w:szCs w:val="20"/>
                <w:color w:val="auto"/>
              </w:rPr>
            </w:pPr>
            <w:r>
              <w:rPr>
                <w:rFonts w:ascii="Arial" w:cs="Arial" w:eastAsia="Arial" w:hAnsi="Arial"/>
                <w:sz w:val="16"/>
                <w:szCs w:val="16"/>
                <w:color w:val="auto"/>
              </w:rPr>
              <w:t>%%OPTION_PRICE%-%</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Date of Grant:</w:t>
            </w:r>
          </w:p>
        </w:tc>
        <w:tc>
          <w:tcPr>
            <w:tcW w:w="5020" w:type="dxa"/>
            <w:vAlign w:val="bottom"/>
          </w:tcPr>
          <w:p>
            <w:pPr>
              <w:ind w:left="1140"/>
              <w:spacing w:after="0"/>
              <w:rPr>
                <w:sz w:val="20"/>
                <w:szCs w:val="20"/>
                <w:color w:val="auto"/>
              </w:rPr>
            </w:pPr>
            <w:r>
              <w:rPr>
                <w:rFonts w:ascii="Arial" w:cs="Arial" w:eastAsia="Arial" w:hAnsi="Arial"/>
                <w:sz w:val="16"/>
                <w:szCs w:val="16"/>
                <w:color w:val="auto"/>
              </w:rPr>
              <w:t>%%OPTION_DATE,'Month DD, YYYY'%-%</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Option Expiration Date:</w:t>
            </w:r>
          </w:p>
        </w:tc>
        <w:tc>
          <w:tcPr>
            <w:tcW w:w="5020" w:type="dxa"/>
            <w:vAlign w:val="bottom"/>
          </w:tcPr>
          <w:p>
            <w:pPr>
              <w:ind w:left="1140"/>
              <w:spacing w:after="0"/>
              <w:rPr>
                <w:sz w:val="20"/>
                <w:szCs w:val="20"/>
                <w:color w:val="auto"/>
              </w:rPr>
            </w:pPr>
            <w:r>
              <w:rPr>
                <w:rFonts w:ascii="Arial" w:cs="Arial" w:eastAsia="Arial" w:hAnsi="Arial"/>
                <w:sz w:val="16"/>
                <w:szCs w:val="16"/>
                <w:color w:val="auto"/>
              </w:rPr>
              <w:t>%%EXPIRE_DATE_PERIOD1,'Month DD, YYYY'%-%</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Exercise Schedule: The Option shall become exercisable (“vest”) as follows:</w:t>
      </w:r>
    </w:p>
    <w:p>
      <w:pPr>
        <w:sectPr>
          <w:pgSz w:w="11900" w:h="16838" w:orient="portrait"/>
          <w:cols w:equalWidth="0" w:num="1">
            <w:col w:w="10060"/>
          </w:cols>
          <w:pgMar w:left="920" w:top="121" w:right="9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%%SHARES_PERIOD1%-%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%%VEST_TYPE_PERIOD1%-%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%%VEST_DATE_PERIOD1,'Month DD, YYYY'%-%</w:t>
      </w:r>
    </w:p>
    <w:p>
      <w:pPr>
        <w:spacing w:after="0" w:line="169" w:lineRule="exact"/>
        <w:rPr>
          <w:sz w:val="20"/>
          <w:szCs w:val="20"/>
          <w:color w:val="auto"/>
        </w:rPr>
      </w:pPr>
    </w:p>
    <w:p>
      <w:pPr>
        <w:sectPr>
          <w:pgSz w:w="11900" w:h="16838" w:orient="portrait"/>
          <w:cols w:equalWidth="0" w:num="3">
            <w:col w:w="2980" w:space="720"/>
            <w:col w:w="2640" w:space="720"/>
            <w:col w:w="3000"/>
          </w:cols>
          <w:pgMar w:left="920" w:top="121" w:right="919" w:bottom="1440" w:gutter="0" w:footer="0" w:header="0"/>
          <w:type w:val="continuous"/>
        </w:sectPr>
      </w:pPr>
    </w:p>
    <w:p>
      <w:pPr>
        <w:spacing w:after="0"/>
        <w:rPr>
          <w:sz w:val="20"/>
          <w:szCs w:val="20"/>
          <w:color w:val="auto"/>
        </w:rPr>
      </w:pPr>
      <w:r>
        <w:rPr>
          <w:rFonts w:ascii="Arial" w:cs="Arial" w:eastAsia="Arial" w:hAnsi="Arial"/>
          <w:sz w:val="16"/>
          <w:szCs w:val="16"/>
          <w:color w:val="auto"/>
        </w:rPr>
        <w:t>%%SHARES_PERIOD2%-%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%%VEST_TYPE_PERIOD2%-%</w:t>
      </w:r>
    </w:p>
    <w:p>
      <w:pPr>
        <w:spacing w:after="0" w:line="20" w:lineRule="exact"/>
        <w:rPr>
          <w:sz w:val="20"/>
          <w:szCs w:val="20"/>
          <w:color w:val="auto"/>
        </w:rPr>
      </w:pPr>
      <w:r>
        <w:rPr>
          <w:sz w:val="20"/>
          <w:szCs w:val="20"/>
          <w:color w:val="auto"/>
        </w:rPr>
        <w:br w:type="column"/>
      </w:r>
    </w:p>
    <w:p>
      <w:pPr>
        <w:ind w:right="140"/>
        <w:spacing w:after="0" w:line="260" w:lineRule="auto"/>
        <w:rPr>
          <w:sz w:val="20"/>
          <w:szCs w:val="20"/>
          <w:color w:val="auto"/>
        </w:rPr>
      </w:pPr>
      <w:r>
        <w:rPr>
          <w:rFonts w:ascii="Arial" w:cs="Arial" w:eastAsia="Arial" w:hAnsi="Arial"/>
          <w:sz w:val="16"/>
          <w:szCs w:val="16"/>
          <w:color w:val="auto"/>
        </w:rPr>
        <w:t>%%VEST_DATE_PERIOD2,'Month DD, YYYY'%-%</w:t>
      </w:r>
    </w:p>
    <w:p>
      <w:pPr>
        <w:spacing w:after="0" w:line="200" w:lineRule="exact"/>
        <w:rPr>
          <w:sz w:val="20"/>
          <w:szCs w:val="20"/>
          <w:color w:val="auto"/>
        </w:rPr>
      </w:pPr>
    </w:p>
    <w:p>
      <w:pPr>
        <w:sectPr>
          <w:pgSz w:w="11900" w:h="16838" w:orient="portrait"/>
          <w:cols w:equalWidth="0" w:num="3">
            <w:col w:w="2980" w:space="720"/>
            <w:col w:w="2640" w:space="720"/>
            <w:col w:w="3000"/>
          </w:cols>
          <w:pgMar w:left="920" w:top="121" w:right="9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Company has granted to Optionee the Option as of the Date of Grant set forth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20"/>
                <w:szCs w:val="20"/>
                <w:color w:val="auto"/>
              </w:rPr>
            </w:pPr>
            <w:r>
              <w:rPr>
                <w:rFonts w:ascii="Arial" w:cs="Arial" w:eastAsia="Arial" w:hAnsi="Arial"/>
                <w:sz w:val="16"/>
                <w:szCs w:val="16"/>
                <w:color w:val="auto"/>
              </w:rPr>
              <w:t>OPTIONEE</w:t>
            </w:r>
          </w:p>
        </w:tc>
        <w:tc>
          <w:tcPr>
            <w:tcW w:w="5900" w:type="dxa"/>
            <w:vAlign w:val="bottom"/>
          </w:tcPr>
          <w:p>
            <w:pPr>
              <w:ind w:left="860"/>
              <w:spacing w:after="0"/>
              <w:rPr>
                <w:sz w:val="20"/>
                <w:szCs w:val="20"/>
                <w:color w:val="auto"/>
              </w:rPr>
            </w:pPr>
            <w:r>
              <w:rPr>
                <w:rFonts w:ascii="Arial" w:cs="Arial" w:eastAsia="Arial" w:hAnsi="Arial"/>
                <w:sz w:val="16"/>
                <w:szCs w:val="16"/>
                <w:color w:val="auto"/>
              </w:rPr>
              <w:t>IOVANCE BIOTHERAPEUTICS, INC.</w:t>
            </w:r>
          </w:p>
        </w:tc>
      </w:tr>
      <w:tr>
        <w:trPr>
          <w:trHeight w:val="378"/>
        </w:trPr>
        <w:tc>
          <w:tcPr>
            <w:tcW w:w="4160" w:type="dxa"/>
            <w:vAlign w:val="bottom"/>
          </w:tcPr>
          <w:p>
            <w:pPr>
              <w:spacing w:after="0"/>
              <w:rPr>
                <w:sz w:val="20"/>
                <w:szCs w:val="20"/>
                <w:color w:val="auto"/>
              </w:rPr>
            </w:pPr>
            <w:r>
              <w:rPr>
                <w:rFonts w:ascii="Arial" w:cs="Arial" w:eastAsia="Arial" w:hAnsi="Arial"/>
                <w:sz w:val="16"/>
                <w:szCs w:val="16"/>
                <w:color w:val="auto"/>
              </w:rPr>
              <w:t>%%FIRST_NAME%-% %%LAST_NAME%-%</w:t>
            </w:r>
          </w:p>
        </w:tc>
        <w:tc>
          <w:tcPr>
            <w:tcW w:w="5900" w:type="dxa"/>
            <w:vAlign w:val="bottom"/>
          </w:tcPr>
          <w:p>
            <w:pPr>
              <w:ind w:left="860"/>
              <w:spacing w:after="0"/>
              <w:rPr>
                <w:sz w:val="20"/>
                <w:szCs w:val="20"/>
                <w:color w:val="auto"/>
              </w:rPr>
            </w:pPr>
            <w:r>
              <w:rPr>
                <w:rFonts w:ascii="Arial" w:cs="Arial" w:eastAsia="Arial" w:hAnsi="Arial"/>
                <w:sz w:val="16"/>
                <w:szCs w:val="16"/>
                <w:color w:val="auto"/>
              </w:rPr>
              <w:t>By Timothy E. Morris</w:t>
            </w:r>
          </w:p>
        </w:tc>
      </w:tr>
      <w:tr>
        <w:trPr>
          <w:trHeight w:val="378"/>
        </w:trPr>
        <w:tc>
          <w:tcPr>
            <w:tcW w:w="4160" w:type="dxa"/>
            <w:vAlign w:val="bottom"/>
          </w:tcPr>
          <w:p>
            <w:pPr>
              <w:spacing w:after="0"/>
              <w:rPr>
                <w:sz w:val="24"/>
                <w:szCs w:val="24"/>
                <w:color w:val="auto"/>
              </w:rPr>
            </w:pPr>
          </w:p>
        </w:tc>
        <w:tc>
          <w:tcPr>
            <w:tcW w:w="5900" w:type="dxa"/>
            <w:vAlign w:val="bottom"/>
          </w:tcPr>
          <w:p>
            <w:pPr>
              <w:ind w:left="860"/>
              <w:spacing w:after="0"/>
              <w:rPr>
                <w:sz w:val="20"/>
                <w:szCs w:val="20"/>
                <w:color w:val="auto"/>
              </w:rPr>
            </w:pPr>
            <w:r>
              <w:rPr>
                <w:rFonts w:ascii="Arial" w:cs="Arial" w:eastAsia="Arial" w:hAnsi="Arial"/>
                <w:sz w:val="16"/>
                <w:szCs w:val="16"/>
                <w:color w:val="auto"/>
              </w:rPr>
              <w:t>Chief Financial Officer</w:t>
            </w:r>
          </w:p>
        </w:tc>
      </w:tr>
      <w:tr>
        <w:trPr>
          <w:trHeight w:val="796"/>
        </w:trPr>
        <w:tc>
          <w:tcPr>
            <w:tcW w:w="41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type w:val="continuous"/>
        </w:sectPr>
      </w:pPr>
    </w:p>
    <w:bookmarkStart w:id="144" w:name="page145"/>
    <w:bookmarkEnd w:id="144"/>
    <w:p>
      <w:pPr>
        <w:ind w:left="3881"/>
        <w:spacing w:after="0"/>
        <w:rPr>
          <w:sz w:val="20"/>
          <w:szCs w:val="20"/>
          <w:color w:val="auto"/>
        </w:rPr>
      </w:pPr>
      <w:r>
        <w:rPr>
          <w:rFonts w:ascii="Arial" w:cs="Arial" w:eastAsia="Arial" w:hAnsi="Arial"/>
          <w:sz w:val="16"/>
          <w:szCs w:val="16"/>
          <w:b w:val="1"/>
          <w:bCs w:val="1"/>
          <w:color w:val="auto"/>
        </w:rPr>
        <w:t>STOCK OPTION AGREEMENT</w:t>
      </w:r>
    </w:p>
    <w:p>
      <w:pPr>
        <w:spacing w:after="0" w:line="25" w:lineRule="exact"/>
        <w:rPr>
          <w:sz w:val="20"/>
          <w:szCs w:val="20"/>
          <w:color w:val="auto"/>
        </w:rPr>
      </w:pPr>
    </w:p>
    <w:p>
      <w:pPr>
        <w:ind w:left="3921"/>
        <w:spacing w:after="0"/>
        <w:rPr>
          <w:sz w:val="20"/>
          <w:szCs w:val="20"/>
          <w:color w:val="auto"/>
        </w:rPr>
      </w:pPr>
      <w:r>
        <w:rPr>
          <w:rFonts w:ascii="Arial" w:cs="Arial" w:eastAsia="Arial" w:hAnsi="Arial"/>
          <w:sz w:val="16"/>
          <w:szCs w:val="16"/>
          <w:b w:val="1"/>
          <w:bCs w:val="1"/>
          <w:color w:val="auto"/>
        </w:rPr>
        <w:t>(Non-Qualified Stock Option)</w:t>
      </w:r>
    </w:p>
    <w:p>
      <w:pPr>
        <w:spacing w:after="0" w:line="221" w:lineRule="exact"/>
        <w:rPr>
          <w:sz w:val="20"/>
          <w:szCs w:val="20"/>
          <w:color w:val="auto"/>
        </w:rPr>
      </w:pPr>
    </w:p>
    <w:p>
      <w:pPr>
        <w:ind w:left="1"/>
        <w:spacing w:after="0" w:line="253" w:lineRule="auto"/>
        <w:rPr>
          <w:sz w:val="20"/>
          <w:szCs w:val="20"/>
          <w:color w:val="auto"/>
        </w:rPr>
      </w:pPr>
      <w:r>
        <w:rPr>
          <w:rFonts w:ascii="Arial" w:cs="Arial" w:eastAsia="Arial" w:hAnsi="Arial"/>
          <w:sz w:val="16"/>
          <w:szCs w:val="16"/>
          <w:color w:val="auto"/>
        </w:rPr>
        <w:t>This STOCK OPTION AGREEMENT (this “Agreement”) is made and entered into as of the Date of Grant set forth in the Option Certificate to which this Agreement is attached (the “Certificate”) by and between Iovance Biotherapeutics, Inc., a Delaware corporation (the “Company”) on behalf of itself and its Affiliates, and the optionee (the “Optionee”) named in the Certificate.</w:t>
      </w:r>
    </w:p>
    <w:p>
      <w:pPr>
        <w:spacing w:after="0" w:line="201"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 xml:space="preserve">Pursuant to the 2011 Equity Incentive Plan of the Company (the “Plan”), the Administrator has determined that Optionee is to be granted, on the terms and conditions set forth in this Agreement and in the Plan, an option to purchase shares of the Company’s common stock (the “Common Stock”). It is intended that the option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qualify as an “incentive stock option” within the meaning of Section 422 of the Internal Revenue Code of 1986, as amended from time to time (the “Code”). Capitalized terms not otherwise defined in this Agreement shall have the meanings ascribed to them in the Plan.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Company and Optionee agree as follows:</w:t>
      </w:r>
    </w:p>
    <w:p>
      <w:pPr>
        <w:spacing w:after="0" w:line="221" w:lineRule="exact"/>
        <w:rPr>
          <w:sz w:val="20"/>
          <w:szCs w:val="20"/>
          <w:color w:val="auto"/>
        </w:rPr>
      </w:pPr>
    </w:p>
    <w:p>
      <w:pPr>
        <w:ind w:left="1" w:right="220" w:hanging="1"/>
        <w:spacing w:after="0" w:line="253" w:lineRule="auto"/>
        <w:tabs>
          <w:tab w:leader="none" w:pos="226" w:val="left"/>
        </w:tabs>
        <w:numPr>
          <w:ilvl w:val="0"/>
          <w:numId w:val="45"/>
        </w:numPr>
        <w:rPr>
          <w:rFonts w:ascii="Arial" w:cs="Arial" w:eastAsia="Arial" w:hAnsi="Arial"/>
          <w:sz w:val="16"/>
          <w:szCs w:val="16"/>
          <w:color w:val="auto"/>
        </w:rPr>
      </w:pPr>
      <w:r>
        <w:rPr>
          <w:rFonts w:ascii="Arial" w:cs="Arial" w:eastAsia="Arial" w:hAnsi="Arial"/>
          <w:sz w:val="16"/>
          <w:szCs w:val="16"/>
          <w:color w:val="auto"/>
        </w:rPr>
        <w:t>Grant of Option. The Company hereby grants to Optionee, upon the terms and subject to the conditions set forth in this Agreement, an Option (the “Option”) to purchase all or any portion of that number of shares of Common Stock set forth in the Certificate (the “Option Shares”), at the exercise price set forth in the Certificate (the “Exercise Price”).</w:t>
      </w:r>
    </w:p>
    <w:p>
      <w:pPr>
        <w:spacing w:after="0" w:line="201" w:lineRule="exact"/>
        <w:rPr>
          <w:rFonts w:ascii="Arial" w:cs="Arial" w:eastAsia="Arial" w:hAnsi="Arial"/>
          <w:sz w:val="16"/>
          <w:szCs w:val="16"/>
          <w:color w:val="auto"/>
        </w:rPr>
      </w:pPr>
    </w:p>
    <w:p>
      <w:pPr>
        <w:ind w:left="221" w:hanging="221"/>
        <w:spacing w:after="0"/>
        <w:tabs>
          <w:tab w:leader="none" w:pos="221" w:val="left"/>
        </w:tabs>
        <w:numPr>
          <w:ilvl w:val="0"/>
          <w:numId w:val="45"/>
        </w:numPr>
        <w:rPr>
          <w:rFonts w:ascii="Arial" w:cs="Arial" w:eastAsia="Arial" w:hAnsi="Arial"/>
          <w:sz w:val="16"/>
          <w:szCs w:val="16"/>
          <w:color w:val="auto"/>
        </w:rPr>
      </w:pPr>
      <w:r>
        <w:rPr>
          <w:rFonts w:ascii="Arial" w:cs="Arial" w:eastAsia="Arial" w:hAnsi="Arial"/>
          <w:sz w:val="16"/>
          <w:szCs w:val="16"/>
          <w:color w:val="auto"/>
        </w:rPr>
        <w:t>Vesting.</w:t>
      </w:r>
    </w:p>
    <w:p>
      <w:pPr>
        <w:spacing w:after="0" w:line="221" w:lineRule="exact"/>
        <w:rPr>
          <w:sz w:val="20"/>
          <w:szCs w:val="20"/>
          <w:color w:val="auto"/>
        </w:rPr>
      </w:pPr>
    </w:p>
    <w:p>
      <w:pPr>
        <w:jc w:val="both"/>
        <w:ind w:left="1" w:right="120"/>
        <w:spacing w:after="0" w:line="253" w:lineRule="auto"/>
        <w:rPr>
          <w:sz w:val="20"/>
          <w:szCs w:val="20"/>
          <w:color w:val="auto"/>
        </w:rPr>
      </w:pPr>
      <w:r>
        <w:rPr>
          <w:rFonts w:ascii="Arial" w:cs="Arial" w:eastAsia="Arial" w:hAnsi="Arial"/>
          <w:sz w:val="16"/>
          <w:szCs w:val="16"/>
          <w:color w:val="auto"/>
        </w:rPr>
        <w:t>2.1. The Option shall “vest” (that is, become exercisable) in installments upon and after the dates set forth under the caption “Exercise Schedule” in the Certificate. The installments shall be cumulative; i.e., the Option may be exercised, as to any or all Shares covered by an installment, at any time or times after the installment first becomes exercisable and until expiration or termination of the Option.</w:t>
      </w:r>
    </w:p>
    <w:p>
      <w:pPr>
        <w:spacing w:after="0" w:line="20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No vesting shall occur after the Employment Termination Date (as defined in Section 4.2 of this Agreement).</w:t>
      </w:r>
    </w:p>
    <w:p>
      <w:pPr>
        <w:spacing w:after="0" w:line="221" w:lineRule="exact"/>
        <w:rPr>
          <w:sz w:val="20"/>
          <w:szCs w:val="20"/>
          <w:color w:val="auto"/>
        </w:rPr>
      </w:pPr>
    </w:p>
    <w:p>
      <w:pPr>
        <w:ind w:left="1" w:right="80"/>
        <w:spacing w:after="0" w:line="253" w:lineRule="auto"/>
        <w:rPr>
          <w:sz w:val="20"/>
          <w:szCs w:val="20"/>
          <w:color w:val="auto"/>
        </w:rPr>
      </w:pPr>
      <w:r>
        <w:rPr>
          <w:rFonts w:ascii="Arial" w:cs="Arial" w:eastAsia="Arial" w:hAnsi="Arial"/>
          <w:sz w:val="16"/>
          <w:szCs w:val="16"/>
          <w:color w:val="auto"/>
        </w:rPr>
        <w:t>2.3. Notwithstanding anything to the contrary contained in this Option Agreement, the Option may not be exercised, in whole or in part, unless and until any then-applicable requirements of all state and federal laws and regulatory agencies shall have been fully complied with to the satisfaction of the Company and its counsel.</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6"/>
          <w:szCs w:val="16"/>
          <w:color w:val="auto"/>
        </w:rPr>
        <w:t>3. Exercise of the Option.</w:t>
      </w:r>
    </w:p>
    <w:p>
      <w:pPr>
        <w:spacing w:after="0" w:line="22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The Option may be exercised, in whole or in part, only by delivery to the Company of:</w:t>
      </w:r>
    </w:p>
    <w:p>
      <w:pPr>
        <w:spacing w:after="0" w:line="221" w:lineRule="exact"/>
        <w:rPr>
          <w:sz w:val="20"/>
          <w:szCs w:val="20"/>
          <w:color w:val="auto"/>
        </w:rPr>
      </w:pPr>
    </w:p>
    <w:p>
      <w:pPr>
        <w:ind w:left="1" w:right="480"/>
        <w:spacing w:after="0" w:line="260" w:lineRule="auto"/>
        <w:rPr>
          <w:sz w:val="20"/>
          <w:szCs w:val="20"/>
          <w:color w:val="auto"/>
        </w:rPr>
      </w:pPr>
      <w:r>
        <w:rPr>
          <w:rFonts w:ascii="Arial" w:cs="Arial" w:eastAsia="Arial" w:hAnsi="Arial"/>
          <w:sz w:val="16"/>
          <w:szCs w:val="16"/>
          <w:color w:val="auto"/>
        </w:rPr>
        <w:t>3.1.1. notice, provided electronically or as the Company may otherwise specify, of the exercise of the Option stating the number of Option Shares being purchased (the “Purchased Shares”); and</w:t>
      </w:r>
    </w:p>
    <w:p>
      <w:pPr>
        <w:spacing w:after="0" w:line="196" w:lineRule="exact"/>
        <w:rPr>
          <w:sz w:val="20"/>
          <w:szCs w:val="20"/>
          <w:color w:val="auto"/>
        </w:rPr>
      </w:pPr>
    </w:p>
    <w:p>
      <w:pPr>
        <w:ind w:left="1" w:right="220"/>
        <w:spacing w:after="0" w:line="260" w:lineRule="auto"/>
        <w:rPr>
          <w:sz w:val="20"/>
          <w:szCs w:val="20"/>
          <w:color w:val="auto"/>
        </w:rPr>
      </w:pPr>
      <w:r>
        <w:rPr>
          <w:rFonts w:ascii="Arial" w:cs="Arial" w:eastAsia="Arial" w:hAnsi="Arial"/>
          <w:sz w:val="16"/>
          <w:szCs w:val="16"/>
          <w:color w:val="auto"/>
        </w:rPr>
        <w:t>3.1.2. payment of the Exercise Price (i) in cash or cash equivalent; or (ii) with the prior approval of the Administrator, by delivery to the Company of such other consideration (such as a note or shares of Common Stock) acceptable to the Administrator.</w:t>
      </w:r>
    </w:p>
    <w:p>
      <w:pPr>
        <w:spacing w:after="0" w:line="196"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3.2. Following receipt of the exercise notice, any other applicable documents and the payment referred to above, the Company shall, within 30 days, cause certificates (which may be in book-entry form) representing the Purchased Shares to be issued and delivered to Optionee (including through electronic delivery to a brokerage account); however, that the Company shall not be obligated to issue a fraction or fractions of a share otherwise issuable upon exercise of the Option, and may pay to Optionee, in cash or cash equivalent, the fair market value of any such fraction or fractions of a share as of the date of exercise.</w:t>
      </w:r>
    </w:p>
    <w:p>
      <w:pPr>
        <w:spacing w:after="0" w:line="203"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3.3. If requested by the Administrator, Optionee shall also deliver this Agreement to the Secretary of the Company, who shall endorse hereon a notation of the exercise and return this Agreement to Optionee. The date of exercise of an Option that is validly exercised shall be deemed to be the date on which there shall have been delivered to the Administrator the instruments referred to in this Section 3. Optionee shall not be deemed to be a holder of any Option Shares pursuant to exercise of the Option until the date of issuance of a stock certificate to him or her for such shares following payment in full for the Option Shares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45" w:name="page146"/>
    <w:bookmarkEnd w:id="145"/>
    <w:p>
      <w:pPr>
        <w:ind w:left="1" w:right="40"/>
        <w:spacing w:after="0" w:line="249" w:lineRule="auto"/>
        <w:rPr>
          <w:sz w:val="20"/>
          <w:szCs w:val="20"/>
          <w:color w:val="auto"/>
        </w:rPr>
      </w:pPr>
      <w:r>
        <w:rPr>
          <w:rFonts w:ascii="Arial" w:cs="Arial" w:eastAsia="Arial" w:hAnsi="Arial"/>
          <w:sz w:val="16"/>
          <w:szCs w:val="16"/>
          <w:color w:val="auto"/>
        </w:rPr>
        <w:t>3.4. If approved by the Company, the Optionee may exercise the Option by means of a broker assisted sale of the Option Shares by delivery of irrevocable directions to a Company approved securities broker (on a form prescribed by the Company) to sell the Option Shares and to deliver all or part of the sale proceeds to the Company in payment of the Exercise Price and/or tax withholding obligations or other required deductions. In the event of any broker-assisted sale of Option Shares, Optionee will be responsible for all broker’s fees and other costs of sale, and Optionee agrees to indemnify and hold the Company harmless from any losses, costs, damages, or expenses relating to any such sale.</w:t>
      </w:r>
    </w:p>
    <w:p>
      <w:pPr>
        <w:spacing w:after="0" w:line="205" w:lineRule="exact"/>
        <w:rPr>
          <w:sz w:val="20"/>
          <w:szCs w:val="20"/>
          <w:color w:val="auto"/>
        </w:rPr>
      </w:pPr>
    </w:p>
    <w:p>
      <w:pPr>
        <w:ind w:left="1" w:right="100"/>
        <w:spacing w:after="0" w:line="251" w:lineRule="auto"/>
        <w:rPr>
          <w:sz w:val="20"/>
          <w:szCs w:val="20"/>
          <w:color w:val="auto"/>
        </w:rPr>
      </w:pPr>
      <w:r>
        <w:rPr>
          <w:rFonts w:ascii="Arial" w:cs="Arial" w:eastAsia="Arial" w:hAnsi="Arial"/>
          <w:sz w:val="16"/>
          <w:szCs w:val="16"/>
          <w:color w:val="auto"/>
        </w:rPr>
        <w:t>3.5. As a condition to exercise of this Option, the Company may require Optionee to pay over to the Company all applicable federal, state and local taxes which the Company is required to withhold with respect to the exercise of this Option. At the discretion of the Administrator and upon the request of Optionee, the minimum statutory withholding tax requirements may be satisfied by the withholding of Shares otherwise issuable to Optionee upon the exercise of this Option.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4. Termination of Option.</w:t>
      </w:r>
    </w:p>
    <w:p>
      <w:pPr>
        <w:spacing w:after="0" w:line="22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Option shall terminate and expire upon the earliest to occur of: (i) the Option Expiration Date set forth in the Option Certificate;</w:t>
      </w:r>
    </w:p>
    <w:p>
      <w:pPr>
        <w:spacing w:after="0" w:line="5" w:lineRule="exact"/>
        <w:rPr>
          <w:sz w:val="20"/>
          <w:szCs w:val="20"/>
          <w:color w:val="auto"/>
        </w:rPr>
      </w:pPr>
    </w:p>
    <w:p>
      <w:pPr>
        <w:ind w:left="1" w:right="400" w:hanging="1"/>
        <w:spacing w:after="0" w:line="260" w:lineRule="auto"/>
        <w:tabs>
          <w:tab w:leader="none" w:pos="22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Termination Date; and (iii) a Corporate Transaction unless otherwise specified (x) in Optionee’s employment agreement or other applicable written agreement with the Company, or (y) by the Administrator.</w:t>
      </w:r>
    </w:p>
    <w:p>
      <w:pPr>
        <w:spacing w:after="0" w:line="196"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For purposes of this Agreement:</w:t>
      </w:r>
    </w:p>
    <w:p>
      <w:pPr>
        <w:spacing w:after="0" w:line="221" w:lineRule="exact"/>
        <w:rPr>
          <w:sz w:val="20"/>
          <w:szCs w:val="20"/>
          <w:color w:val="auto"/>
        </w:rPr>
      </w:pPr>
    </w:p>
    <w:p>
      <w:pPr>
        <w:ind w:left="1"/>
        <w:spacing w:after="0" w:line="248" w:lineRule="auto"/>
        <w:rPr>
          <w:sz w:val="20"/>
          <w:szCs w:val="20"/>
          <w:color w:val="auto"/>
        </w:rPr>
      </w:pPr>
      <w:r>
        <w:rPr>
          <w:rFonts w:ascii="Arial" w:cs="Arial" w:eastAsia="Arial" w:hAnsi="Arial"/>
          <w:sz w:val="16"/>
          <w:szCs w:val="16"/>
          <w:color w:val="auto"/>
        </w:rPr>
        <w:t>4.2.1. “Employment Termination Date” shall mean the first day Optionee is not a director, employee or consultant to the Company and its Affiliates. As long as Optionee is at least one of employee, director or consultant, the Employment Termination Date shall not be deemed to have occurred. For example, if Optionee is an employee and a director, the termination of employment as an employee while remaining a director shall not establish an Employment Termination Date (which would only be established if and when Optionee ceases to be a director). Optionee’s employment shall not be deemed to terminate by reason of a transfer to or from the Company or an Affiliate or among such entities, or sick leave, military leave or other leave of absence approved by the Administrator, if the period of any such leave does not exceed 90 days or, if longer, if Optionee’s right to reemployment by the Company or any Affiliate is guaranteed either contractually or by statute.</w:t>
      </w:r>
    </w:p>
    <w:p>
      <w:pPr>
        <w:spacing w:after="0" w:line="398" w:lineRule="exact"/>
        <w:rPr>
          <w:sz w:val="20"/>
          <w:szCs w:val="20"/>
          <w:color w:val="auto"/>
        </w:rPr>
      </w:pPr>
    </w:p>
    <w:p>
      <w:pPr>
        <w:ind w:left="1" w:right="80"/>
        <w:spacing w:after="0" w:line="250" w:lineRule="auto"/>
        <w:rPr>
          <w:sz w:val="20"/>
          <w:szCs w:val="20"/>
          <w:color w:val="auto"/>
        </w:rPr>
      </w:pPr>
      <w:r>
        <w:rPr>
          <w:rFonts w:ascii="Arial" w:cs="Arial" w:eastAsia="Arial" w:hAnsi="Arial"/>
          <w:sz w:val="16"/>
          <w:szCs w:val="16"/>
          <w:color w:val="auto"/>
        </w:rPr>
        <w:t>4.2.2. “Termination Date” shall be: (a) the date 90 days following the Employment Termination Date unless Optionee’s employment is terminated For Cause or as a result of the death or disability of Optionee; (b) upon the Employment Termination Date if Optionee’s employment is terminated For Cause; (c) the date one year following the Employment Termination Date as a result of the death or disability of Optionee; or (d) in the case of an Optionee that received this Option as a director, the date which is the earlier of the Option Expiration Date and the date that is two years after the date of such termination.</w:t>
      </w:r>
    </w:p>
    <w:p>
      <w:pPr>
        <w:spacing w:after="0" w:line="203" w:lineRule="exact"/>
        <w:rPr>
          <w:sz w:val="20"/>
          <w:szCs w:val="20"/>
          <w:color w:val="auto"/>
        </w:rPr>
      </w:pPr>
    </w:p>
    <w:p>
      <w:pPr>
        <w:ind w:left="1" w:right="60"/>
        <w:spacing w:after="0" w:line="250" w:lineRule="auto"/>
        <w:rPr>
          <w:sz w:val="20"/>
          <w:szCs w:val="20"/>
          <w:color w:val="auto"/>
        </w:rPr>
      </w:pPr>
      <w:r>
        <w:rPr>
          <w:rFonts w:ascii="Arial" w:cs="Arial" w:eastAsia="Arial" w:hAnsi="Arial"/>
          <w:sz w:val="16"/>
          <w:szCs w:val="16"/>
          <w:color w:val="auto"/>
        </w:rPr>
        <w:t>4.2.3. “For Cause” shall mean Optionee’s loss of employment by the Company or any of its Affiliates due to Optionee’s (a) willful breach or habitual neglect or continued incapacity to perform Optionee’s required duties, (b) commission of acts of dishonesty, fraud, misrepresentation or other acts of moral turpitude in connection with Optionee’s services to the Company or its Affiliates or which in the determination of the Administrator would prevent the effective performance of Optionee’s duties or (c) termination For Cause under any employment agreement between the Company and Optionee (as for cause is defined therein).</w:t>
      </w:r>
    </w:p>
    <w:p>
      <w:pPr>
        <w:spacing w:after="0" w:line="203" w:lineRule="exact"/>
        <w:rPr>
          <w:sz w:val="20"/>
          <w:szCs w:val="20"/>
          <w:color w:val="auto"/>
        </w:rPr>
      </w:pPr>
    </w:p>
    <w:p>
      <w:pPr>
        <w:ind w:left="1" w:right="180" w:hanging="1"/>
        <w:spacing w:after="0" w:line="253" w:lineRule="auto"/>
        <w:tabs>
          <w:tab w:leader="none" w:pos="226"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Adjustment. The number of shares and Exercise Price of this Option shall be subject to adjustment under the circumstances contemplated by the Plan and the Option Expiration Date may be accelerated by the Administrator upon the circumstances set forth in the Plan.</w:t>
      </w:r>
    </w:p>
    <w:p>
      <w:pPr>
        <w:spacing w:after="0" w:line="201" w:lineRule="exact"/>
        <w:rPr>
          <w:rFonts w:ascii="Arial" w:cs="Arial" w:eastAsia="Arial" w:hAnsi="Arial"/>
          <w:sz w:val="16"/>
          <w:szCs w:val="16"/>
          <w:color w:val="auto"/>
        </w:rPr>
      </w:pPr>
    </w:p>
    <w:p>
      <w:pPr>
        <w:ind w:left="1" w:right="100" w:hanging="1"/>
        <w:spacing w:after="0" w:line="253" w:lineRule="auto"/>
        <w:tabs>
          <w:tab w:leader="none" w:pos="226"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Corporate Transactions. Upon the occurrence of a Corporate Transaction, the Option shall be subject to the actions of the Administrator as contemplated in the Plan, including without limitation the termination of the Option immediately prior to the consummation of the Corporate Transaction.</w:t>
      </w:r>
    </w:p>
    <w:p>
      <w:pPr>
        <w:spacing w:after="0" w:line="201" w:lineRule="exact"/>
        <w:rPr>
          <w:rFonts w:ascii="Arial" w:cs="Arial" w:eastAsia="Arial" w:hAnsi="Arial"/>
          <w:sz w:val="16"/>
          <w:szCs w:val="16"/>
          <w:color w:val="auto"/>
        </w:rPr>
      </w:pPr>
    </w:p>
    <w:p>
      <w:pPr>
        <w:ind w:left="1" w:hanging="1"/>
        <w:spacing w:after="0" w:line="251" w:lineRule="auto"/>
        <w:tabs>
          <w:tab w:leader="none" w:pos="226" w:val="left"/>
        </w:tabs>
        <w:numPr>
          <w:ilvl w:val="0"/>
          <w:numId w:val="47"/>
        </w:numPr>
        <w:rPr>
          <w:rFonts w:ascii="Arial" w:cs="Arial" w:eastAsia="Arial" w:hAnsi="Arial"/>
          <w:sz w:val="16"/>
          <w:szCs w:val="16"/>
          <w:color w:val="auto"/>
        </w:rPr>
      </w:pPr>
      <w:r>
        <w:rPr>
          <w:rFonts w:ascii="Arial" w:cs="Arial" w:eastAsia="Arial" w:hAnsi="Arial"/>
          <w:sz w:val="16"/>
          <w:szCs w:val="16"/>
          <w:color w:val="auto"/>
        </w:rPr>
        <w:t>Modification. Subject to the terms and conditions and within the limitations of the Plan, the Administrator may modify, extend or renew the Option or accept the surrender of, and authorize the grant of a new option in substitution for, the Option (to the extent not previously exercised). No modification of the Option shall be made which, without the consent of Optionee, would alter or impair any rights of Optionee under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41" w:right="939" w:bottom="1440" w:gutter="0" w:footer="0" w:header="0"/>
        </w:sectPr>
      </w:pPr>
    </w:p>
    <w:bookmarkStart w:id="146" w:name="page147"/>
    <w:bookmarkEnd w:id="146"/>
    <w:p>
      <w:pPr>
        <w:ind w:left="1" w:right="220" w:hanging="1"/>
        <w:spacing w:after="0" w:line="260" w:lineRule="auto"/>
        <w:tabs>
          <w:tab w:leader="none" w:pos="226"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Incorporation of Plan. This Agreement is made pursuant to the Plan, and it is intended, and shall be interpreted in a manner, to comply with the Plan. Any provision of this Agreement inconsistent with the Plan shall be superseded and governed by the Plan.</w:t>
      </w:r>
    </w:p>
    <w:p>
      <w:pPr>
        <w:spacing w:after="0" w:line="195" w:lineRule="exact"/>
        <w:rPr>
          <w:rFonts w:ascii="Arial" w:cs="Arial" w:eastAsia="Arial" w:hAnsi="Arial"/>
          <w:sz w:val="16"/>
          <w:szCs w:val="16"/>
          <w:color w:val="auto"/>
        </w:rPr>
      </w:pPr>
    </w:p>
    <w:p>
      <w:pPr>
        <w:ind w:left="1" w:right="60" w:hanging="1"/>
        <w:spacing w:after="0" w:line="248" w:lineRule="auto"/>
        <w:tabs>
          <w:tab w:leader="none" w:pos="226"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Restrictions on Sale of Purchased Shares. Optionee understands that: (a) unless the issuance of the Purchased Shares to Optionee upon exercise of the Option is registered under the Securities Act of 1933, as amended (the “Securities Act”), the Purchased Shares will be “restricted securities” within the meaning of Rule 144 under such Act; (b) the Purchased Shares may not be sold, transferred or assigned by the Optionee except pursuant to an effective registration statement under the Securities Act or an exemption from registration under the Securities Act; and (c) the Company is under no obligation to file a registration statement under the Securities Act covering the Option Shares. Optionee agrees that any certificates evidencing Purchased Shares may bear a legend indicating that their transferability is restricted in accordance with applicable state and federal securities laws.</w:t>
      </w:r>
    </w:p>
    <w:p>
      <w:pPr>
        <w:spacing w:after="0" w:line="208" w:lineRule="exact"/>
        <w:rPr>
          <w:rFonts w:ascii="Arial" w:cs="Arial" w:eastAsia="Arial" w:hAnsi="Arial"/>
          <w:sz w:val="16"/>
          <w:szCs w:val="16"/>
          <w:color w:val="auto"/>
        </w:rPr>
      </w:pPr>
    </w:p>
    <w:p>
      <w:pPr>
        <w:ind w:left="321" w:hanging="321"/>
        <w:spacing w:after="0"/>
        <w:tabs>
          <w:tab w:leader="none" w:pos="321" w:val="left"/>
        </w:tabs>
        <w:numPr>
          <w:ilvl w:val="0"/>
          <w:numId w:val="48"/>
        </w:numPr>
        <w:rPr>
          <w:rFonts w:ascii="Arial" w:cs="Arial" w:eastAsia="Arial" w:hAnsi="Arial"/>
          <w:sz w:val="16"/>
          <w:szCs w:val="16"/>
          <w:color w:val="auto"/>
        </w:rPr>
      </w:pPr>
      <w:r>
        <w:rPr>
          <w:rFonts w:ascii="Arial" w:cs="Arial" w:eastAsia="Arial" w:hAnsi="Arial"/>
          <w:sz w:val="16"/>
          <w:szCs w:val="16"/>
          <w:color w:val="auto"/>
        </w:rPr>
        <w:t>General Provisions.</w:t>
      </w:r>
    </w:p>
    <w:p>
      <w:pPr>
        <w:spacing w:after="0" w:line="221" w:lineRule="exact"/>
        <w:rPr>
          <w:sz w:val="20"/>
          <w:szCs w:val="20"/>
          <w:color w:val="auto"/>
        </w:rPr>
      </w:pPr>
    </w:p>
    <w:p>
      <w:pPr>
        <w:ind w:left="1" w:right="460"/>
        <w:spacing w:after="0" w:line="260" w:lineRule="auto"/>
        <w:rPr>
          <w:sz w:val="20"/>
          <w:szCs w:val="20"/>
          <w:color w:val="auto"/>
        </w:rPr>
      </w:pPr>
      <w:r>
        <w:rPr>
          <w:rFonts w:ascii="Arial" w:cs="Arial" w:eastAsia="Arial" w:hAnsi="Arial"/>
          <w:sz w:val="16"/>
          <w:szCs w:val="16"/>
          <w:color w:val="auto"/>
        </w:rPr>
        <w:t>10.1. Further Assurances. Optionee shall promptly take all actions and execute all documents requested by the Company that the Company deems to be reasonably necessary to effectuate the term and intent of this Agreement.</w:t>
      </w:r>
    </w:p>
    <w:p>
      <w:pPr>
        <w:spacing w:after="0" w:line="196" w:lineRule="exact"/>
        <w:rPr>
          <w:sz w:val="20"/>
          <w:szCs w:val="20"/>
          <w:color w:val="auto"/>
        </w:rPr>
      </w:pPr>
    </w:p>
    <w:p>
      <w:pPr>
        <w:ind w:left="1" w:right="80"/>
        <w:spacing w:after="0" w:line="249" w:lineRule="auto"/>
        <w:rPr>
          <w:sz w:val="20"/>
          <w:szCs w:val="20"/>
          <w:color w:val="auto"/>
        </w:rPr>
      </w:pPr>
      <w:r>
        <w:rPr>
          <w:rFonts w:ascii="Arial" w:cs="Arial" w:eastAsia="Arial" w:hAnsi="Arial"/>
          <w:sz w:val="16"/>
          <w:szCs w:val="16"/>
          <w:color w:val="auto"/>
        </w:rPr>
        <w:t>10.2. Notices. All notices, requests, demands and other communications (collectively, “Notices”) given pursuant to this Agreement shall be in writing, and shall be delivered by personal service, courier, or by United States first class, registered or certified mail, postage prepaid, addressed to the party at the address set forth on the signature page of this Agreement. Any Notice, other than a Notice sent by registered or certified mail, shall be effective when received; a Notice sent by registered or certified mail, postage prepaid return receipt requested, shall be effective on the earlier of when received or the third day following deposit in the United States mails. Any party may from time to time change its address for further Notices hereunder by giving notice to the other party in the manner prescribed in this Section.</w:t>
      </w:r>
    </w:p>
    <w:p>
      <w:pPr>
        <w:spacing w:after="0" w:line="205" w:lineRule="exact"/>
        <w:rPr>
          <w:sz w:val="20"/>
          <w:szCs w:val="20"/>
          <w:color w:val="auto"/>
        </w:rPr>
      </w:pPr>
    </w:p>
    <w:p>
      <w:pPr>
        <w:ind w:left="1" w:right="20"/>
        <w:spacing w:after="0" w:line="260" w:lineRule="auto"/>
        <w:rPr>
          <w:sz w:val="20"/>
          <w:szCs w:val="20"/>
          <w:color w:val="auto"/>
        </w:rPr>
      </w:pPr>
      <w:r>
        <w:rPr>
          <w:rFonts w:ascii="Arial" w:cs="Arial" w:eastAsia="Arial" w:hAnsi="Arial"/>
          <w:sz w:val="16"/>
          <w:szCs w:val="16"/>
          <w:color w:val="auto"/>
        </w:rPr>
        <w:t>10.3. Failure to Enforce Not a Waiver. The failure of the Company to enforce at any time any provision of this Agreement shall in no way be construed to be a waiver of such provision or of any other provision hereof.</w:t>
      </w:r>
    </w:p>
    <w:p>
      <w:pPr>
        <w:spacing w:after="0" w:line="196" w:lineRule="exact"/>
        <w:rPr>
          <w:sz w:val="20"/>
          <w:szCs w:val="20"/>
          <w:color w:val="auto"/>
        </w:rPr>
      </w:pPr>
    </w:p>
    <w:p>
      <w:pPr>
        <w:ind w:left="1" w:right="680"/>
        <w:spacing w:after="0" w:line="260" w:lineRule="auto"/>
        <w:rPr>
          <w:sz w:val="20"/>
          <w:szCs w:val="20"/>
          <w:color w:val="auto"/>
        </w:rPr>
      </w:pPr>
      <w:r>
        <w:rPr>
          <w:rFonts w:ascii="Arial" w:cs="Arial" w:eastAsia="Arial" w:hAnsi="Arial"/>
          <w:sz w:val="16"/>
          <w:szCs w:val="16"/>
          <w:color w:val="auto"/>
        </w:rPr>
        <w:t>10.4. Governing Law. This Agreement shall be governed by and construed in accordance with the law of the State of Delaware applicable to contracts made in, and to be performed within, that State.</w:t>
      </w:r>
    </w:p>
    <w:p>
      <w:pPr>
        <w:spacing w:after="0" w:line="196" w:lineRule="exact"/>
        <w:rPr>
          <w:sz w:val="20"/>
          <w:szCs w:val="20"/>
          <w:color w:val="auto"/>
        </w:rPr>
      </w:pPr>
    </w:p>
    <w:p>
      <w:pPr>
        <w:ind w:left="1" w:right="80"/>
        <w:spacing w:after="0" w:line="260" w:lineRule="auto"/>
        <w:rPr>
          <w:sz w:val="20"/>
          <w:szCs w:val="20"/>
          <w:color w:val="auto"/>
        </w:rPr>
      </w:pPr>
      <w:r>
        <w:rPr>
          <w:rFonts w:ascii="Arial" w:cs="Arial" w:eastAsia="Arial" w:hAnsi="Arial"/>
          <w:sz w:val="16"/>
          <w:szCs w:val="16"/>
          <w:color w:val="auto"/>
        </w:rPr>
        <w:t>10.5. Transfer of Rights under this Agreement. The Company may at any time transfer and assign its rights and delegate its obligations under this Agreement to any other person, corporation, firm or entity, with or without consideration.</w:t>
      </w:r>
    </w:p>
    <w:p>
      <w:pPr>
        <w:spacing w:after="0" w:line="196" w:lineRule="exact"/>
        <w:rPr>
          <w:sz w:val="20"/>
          <w:szCs w:val="20"/>
          <w:color w:val="auto"/>
        </w:rPr>
      </w:pPr>
    </w:p>
    <w:p>
      <w:pPr>
        <w:ind w:left="1"/>
        <w:spacing w:after="0" w:line="260" w:lineRule="auto"/>
        <w:rPr>
          <w:sz w:val="20"/>
          <w:szCs w:val="20"/>
          <w:color w:val="auto"/>
        </w:rPr>
      </w:pPr>
      <w:r>
        <w:rPr>
          <w:rFonts w:ascii="Arial" w:cs="Arial" w:eastAsia="Arial" w:hAnsi="Arial"/>
          <w:sz w:val="16"/>
          <w:szCs w:val="16"/>
          <w:color w:val="auto"/>
        </w:rPr>
        <w:t>10.6. Option Non-transferable. Optionee may not sell, transfer, assign or otherwise dispose of the Option except by will or the laws of descent and distribution, and only Optionee or his or her legal representative or guardian may exercise the Option during Optionee’s lifetime.</w:t>
      </w:r>
    </w:p>
    <w:p>
      <w:pPr>
        <w:spacing w:after="0" w:line="196" w:lineRule="exact"/>
        <w:rPr>
          <w:sz w:val="20"/>
          <w:szCs w:val="20"/>
          <w:color w:val="auto"/>
        </w:rPr>
      </w:pPr>
    </w:p>
    <w:p>
      <w:pPr>
        <w:jc w:val="both"/>
        <w:ind w:left="1" w:right="380"/>
        <w:spacing w:after="0" w:line="253" w:lineRule="auto"/>
        <w:rPr>
          <w:sz w:val="20"/>
          <w:szCs w:val="20"/>
          <w:color w:val="auto"/>
        </w:rPr>
      </w:pPr>
      <w:r>
        <w:rPr>
          <w:rFonts w:ascii="Arial" w:cs="Arial" w:eastAsia="Arial" w:hAnsi="Arial"/>
          <w:sz w:val="16"/>
          <w:szCs w:val="16"/>
          <w:color w:val="auto"/>
        </w:rPr>
        <w:t>10.7. No Right to Employment. Nothing in this Option shall interfere with or limit in any way the right of the Company or of any of its Affiliates to terminate Optionee’s employment, consulting or advising at any time, nor confer upon Optionee any right to continue in the employ of, consult with or advise the Company or any of its Affiliates.</w:t>
      </w:r>
    </w:p>
    <w:p>
      <w:pPr>
        <w:spacing w:after="0" w:line="201" w:lineRule="exact"/>
        <w:rPr>
          <w:sz w:val="20"/>
          <w:szCs w:val="20"/>
          <w:color w:val="auto"/>
        </w:rPr>
      </w:pPr>
    </w:p>
    <w:p>
      <w:pPr>
        <w:ind w:left="1" w:right="220"/>
        <w:spacing w:after="0" w:line="260" w:lineRule="auto"/>
        <w:rPr>
          <w:sz w:val="20"/>
          <w:szCs w:val="20"/>
          <w:color w:val="auto"/>
        </w:rPr>
      </w:pPr>
      <w:r>
        <w:rPr>
          <w:rFonts w:ascii="Arial" w:cs="Arial" w:eastAsia="Arial" w:hAnsi="Arial"/>
          <w:sz w:val="16"/>
          <w:szCs w:val="16"/>
          <w:color w:val="auto"/>
        </w:rPr>
        <w:t>10.8. Delivery of Plan to Optionee. Optionee acknowledges that a copy of the Plan has been delivered to Optionee and that Optionee has read the Plan prior to signing this Agreement.</w:t>
      </w:r>
    </w:p>
    <w:p>
      <w:pPr>
        <w:spacing w:after="0" w:line="196" w:lineRule="exact"/>
        <w:rPr>
          <w:sz w:val="20"/>
          <w:szCs w:val="20"/>
          <w:color w:val="auto"/>
        </w:rPr>
      </w:pPr>
    </w:p>
    <w:p>
      <w:pPr>
        <w:ind w:left="1" w:right="260"/>
        <w:spacing w:after="0" w:line="258" w:lineRule="auto"/>
        <w:rPr>
          <w:sz w:val="20"/>
          <w:szCs w:val="20"/>
          <w:color w:val="auto"/>
        </w:rPr>
      </w:pPr>
      <w:r>
        <w:rPr>
          <w:rFonts w:ascii="Arial" w:cs="Arial" w:eastAsia="Arial" w:hAnsi="Arial"/>
          <w:sz w:val="16"/>
          <w:szCs w:val="16"/>
          <w:color w:val="auto"/>
        </w:rPr>
        <w:t>10.9. Successors and Assigns. Except to the extent specifically limited by the terms and provision of this Agreement, this Agreement shall be binding upon and inure to the benefit of the parties hereto and their respective successors, assigns, heirs and personal representatives.</w:t>
      </w:r>
    </w:p>
    <w:p>
      <w:pPr>
        <w:spacing w:after="0" w:line="388" w:lineRule="exact"/>
        <w:rPr>
          <w:sz w:val="20"/>
          <w:szCs w:val="20"/>
          <w:color w:val="auto"/>
        </w:rPr>
      </w:pPr>
    </w:p>
    <w:p>
      <w:pPr>
        <w:ind w:left="1" w:right="80"/>
        <w:spacing w:after="0" w:line="253" w:lineRule="auto"/>
        <w:rPr>
          <w:sz w:val="20"/>
          <w:szCs w:val="20"/>
          <w:color w:val="auto"/>
        </w:rPr>
      </w:pPr>
      <w:r>
        <w:rPr>
          <w:rFonts w:ascii="Arial" w:cs="Arial" w:eastAsia="Arial" w:hAnsi="Arial"/>
          <w:sz w:val="16"/>
          <w:szCs w:val="16"/>
          <w:color w:val="auto"/>
        </w:rPr>
        <w:t>10.10. Miscellaneous. Titles and captions contained in this Agreement are inserted for convenience of reference only and do not constitute a part of this Agreement for any other purpose. Except as specifically provided herein, neither this Agreement nor any right pursuant hereto or interest herein shall be assignable by any of the parties hereto without the prior written consent of the other party hereto.</w:t>
      </w:r>
    </w:p>
    <w:p>
      <w:pPr>
        <w:spacing w:after="0" w:line="201" w:lineRule="exact"/>
        <w:rPr>
          <w:sz w:val="20"/>
          <w:szCs w:val="20"/>
          <w:color w:val="auto"/>
        </w:rPr>
      </w:pPr>
    </w:p>
    <w:p>
      <w:pPr>
        <w:ind w:left="1" w:right="80"/>
        <w:spacing w:after="0" w:line="260" w:lineRule="auto"/>
        <w:rPr>
          <w:sz w:val="20"/>
          <w:szCs w:val="20"/>
          <w:color w:val="auto"/>
        </w:rPr>
      </w:pPr>
      <w:r>
        <w:rPr>
          <w:rFonts w:ascii="Arial" w:cs="Arial" w:eastAsia="Arial" w:hAnsi="Arial"/>
          <w:sz w:val="16"/>
          <w:szCs w:val="16"/>
          <w:color w:val="auto"/>
        </w:rPr>
        <w:t>10.11. Tax Treatment. Optionee acknowledges that the tax treatment of the Option, the Option Shares or any events or transactions with respect thereto may be dependent upon various factors or events that are not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328930</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1" w:right="919" w:bottom="1440" w:gutter="0" w:footer="0" w:header="0"/>
        </w:sectPr>
      </w:pPr>
    </w:p>
    <w:bookmarkStart w:id="147" w:name="page148"/>
    <w:bookmarkEnd w:id="147"/>
    <w:p>
      <w:pPr>
        <w:ind w:right="20"/>
        <w:spacing w:after="0" w:line="260" w:lineRule="auto"/>
        <w:rPr>
          <w:sz w:val="20"/>
          <w:szCs w:val="20"/>
          <w:color w:val="auto"/>
        </w:rPr>
      </w:pPr>
      <w:r>
        <w:rPr>
          <w:rFonts w:ascii="Arial" w:cs="Arial" w:eastAsia="Arial" w:hAnsi="Arial"/>
          <w:sz w:val="16"/>
          <w:szCs w:val="16"/>
          <w:color w:val="auto"/>
        </w:rPr>
        <w:t>by the Plan or this Agreement. The Company makes no representations with respect to and hereby disclaims all responsibility as to such tax treatment.</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Entire Agreement. This Agreement and the Plan contain the entire agreement and understanding of the parties hereto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subject matter contained herein and supersede all prior communications, representations and negotiations in respect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thereto. Notwithstanding the foregoing or anything to the contrary herein, if the Optionee is a party to an employment, consulting, change-in-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control, severance or other agreement with the Company that modifies or supplements the terms of this Agreement (a “Superseding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Agreement”), or is the subject of a resolution by the board of directors of the Company or its compensation committee evidencing the grant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an award that modifies or supplements the terms of this Agreement (a “Resolution”), such modified or supplemented terms shall control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event of any conflict between such terms and the terms of this Agreement, provided that in the event that the Superseding Agreement 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Resolution is silent on a matter addressed in this Agreement, then such silence is not a conflict. No change, modification or waiver of 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provision of this Agreement shall be valid unless the same be in writing and signed by the parties hereto, except for any changes permitted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without consent under the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signature page of this Agreement consists of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41" w:right="9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6"/>
          <w:szCs w:val="16"/>
          <w:b w:val="1"/>
          <w:bCs w:val="1"/>
          <w:color w:val="auto"/>
        </w:rPr>
        <w:t>Exhibit 10.7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IOVANCE BIOTHERAPEUTICS,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OPTION CERTIFICATE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(Incentive Stock Option)</w:t>
      </w:r>
    </w:p>
    <w:p>
      <w:pPr>
        <w:spacing w:after="0" w:line="221"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THIS IS TO CERTIFY that Iovance Biotherapeutics, Inc., a Delaware corporation (the “Company”), has granted to the employee named below (“Optionee”) an incentive stock option (the “Option”) to purchase shares of the Company’s Common Stock (the “Shares”) under its 2014 Equity Incentive Plan (the “Plan”) and upon the terms and conditions set forth below and in the attached Stock Option Agreement: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Pr>
          <w:p>
            <w:pPr>
              <w:spacing w:after="0"/>
              <w:rPr>
                <w:sz w:val="20"/>
                <w:szCs w:val="20"/>
                <w:color w:val="auto"/>
              </w:rPr>
            </w:pPr>
            <w:r>
              <w:rPr>
                <w:rFonts w:ascii="Arial" w:cs="Arial" w:eastAsia="Arial" w:hAnsi="Arial"/>
                <w:sz w:val="16"/>
                <w:szCs w:val="16"/>
                <w:color w:val="auto"/>
              </w:rPr>
              <w:t>Name of Optionee:</w:t>
            </w:r>
          </w:p>
        </w:tc>
        <w:tc>
          <w:tcPr>
            <w:tcW w:w="5020" w:type="dxa"/>
            <w:vAlign w:val="bottom"/>
          </w:tcPr>
          <w:p>
            <w:pPr>
              <w:ind w:left="1140"/>
              <w:spacing w:after="0"/>
              <w:rPr>
                <w:sz w:val="20"/>
                <w:szCs w:val="20"/>
                <w:color w:val="auto"/>
              </w:rPr>
            </w:pPr>
            <w:r>
              <w:rPr>
                <w:rFonts w:ascii="Arial" w:cs="Arial" w:eastAsia="Arial" w:hAnsi="Arial"/>
                <w:sz w:val="16"/>
                <w:szCs w:val="16"/>
                <w:color w:val="auto"/>
              </w:rPr>
              <w:t>%%FIRST_NAME%-% %%LAST_NAME%-%</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4"/>
                <w:szCs w:val="24"/>
                <w:color w:val="auto"/>
              </w:rPr>
            </w:pPr>
          </w:p>
        </w:tc>
        <w:tc>
          <w:tcPr>
            <w:tcW w:w="5020" w:type="dxa"/>
            <w:vAlign w:val="bottom"/>
          </w:tcPr>
          <w:p>
            <w:pPr>
              <w:ind w:left="1140"/>
              <w:spacing w:after="0"/>
              <w:rPr>
                <w:sz w:val="20"/>
                <w:szCs w:val="20"/>
                <w:color w:val="auto"/>
              </w:rPr>
            </w:pPr>
            <w:r>
              <w:rPr>
                <w:rFonts w:ascii="Arial" w:cs="Arial" w:eastAsia="Arial" w:hAnsi="Arial"/>
                <w:sz w:val="16"/>
                <w:szCs w:val="16"/>
                <w:color w:val="auto"/>
              </w:rPr>
              <w:t>%%ADDRESS_LINE_1%-%</w:t>
            </w:r>
          </w:p>
        </w:tc>
        <w:tc>
          <w:tcPr>
            <w:tcW w:w="0" w:type="dxa"/>
            <w:vAlign w:val="bottom"/>
          </w:tcPr>
          <w:p>
            <w:pPr>
              <w:spacing w:after="0"/>
              <w:rPr>
                <w:sz w:val="1"/>
                <w:szCs w:val="1"/>
                <w:color w:val="auto"/>
              </w:rPr>
            </w:pPr>
          </w:p>
        </w:tc>
      </w:tr>
      <w:tr>
        <w:trPr>
          <w:trHeight w:val="270"/>
        </w:trPr>
        <w:tc>
          <w:tcPr>
            <w:tcW w:w="2800" w:type="dxa"/>
            <w:vAlign w:val="bottom"/>
            <w:vMerge w:val="restart"/>
          </w:tcPr>
          <w:p>
            <w:pPr>
              <w:spacing w:after="0"/>
              <w:rPr>
                <w:sz w:val="20"/>
                <w:szCs w:val="20"/>
                <w:color w:val="auto"/>
              </w:rPr>
            </w:pPr>
            <w:r>
              <w:rPr>
                <w:rFonts w:ascii="Arial" w:cs="Arial" w:eastAsia="Arial" w:hAnsi="Arial"/>
                <w:sz w:val="16"/>
                <w:szCs w:val="16"/>
                <w:color w:val="auto"/>
              </w:rPr>
              <w:t>Address of Optionee:</w:t>
            </w:r>
          </w:p>
        </w:tc>
        <w:tc>
          <w:tcPr>
            <w:tcW w:w="5020" w:type="dxa"/>
            <w:vAlign w:val="bottom"/>
          </w:tcPr>
          <w:p>
            <w:pPr>
              <w:ind w:left="1140"/>
              <w:spacing w:after="0"/>
              <w:rPr>
                <w:sz w:val="20"/>
                <w:szCs w:val="20"/>
                <w:color w:val="auto"/>
              </w:rPr>
            </w:pPr>
            <w:r>
              <w:rPr>
                <w:rFonts w:ascii="Arial" w:cs="Arial" w:eastAsia="Arial" w:hAnsi="Arial"/>
                <w:sz w:val="16"/>
                <w:szCs w:val="16"/>
                <w:color w:val="auto"/>
              </w:rPr>
              <w:t>%%ADDRESS_LINE_2%-%</w:t>
            </w: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5020" w:type="dxa"/>
            <w:vAlign w:val="bottom"/>
            <w:vMerge w:val="restart"/>
          </w:tcPr>
          <w:p>
            <w:pPr>
              <w:ind w:left="1140"/>
              <w:spacing w:after="0"/>
              <w:rPr>
                <w:sz w:val="20"/>
                <w:szCs w:val="20"/>
                <w:color w:val="auto"/>
              </w:rPr>
            </w:pPr>
            <w:r>
              <w:rPr>
                <w:rFonts w:ascii="Arial" w:cs="Arial" w:eastAsia="Arial" w:hAnsi="Arial"/>
                <w:sz w:val="16"/>
                <w:szCs w:val="16"/>
                <w:color w:val="auto"/>
              </w:rPr>
              <w:t>%%CITY%-%, %%STATE%-% %%ZIPCODE%-%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5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5020" w:type="dxa"/>
            <w:vAlign w:val="bottom"/>
          </w:tcPr>
          <w:p>
            <w:pPr>
              <w:ind w:left="1140"/>
              <w:spacing w:after="0"/>
              <w:rPr>
                <w:sz w:val="20"/>
                <w:szCs w:val="20"/>
                <w:color w:val="auto"/>
              </w:rPr>
            </w:pPr>
            <w:r>
              <w:rPr>
                <w:rFonts w:ascii="Arial" w:cs="Arial" w:eastAsia="Arial" w:hAnsi="Arial"/>
                <w:sz w:val="16"/>
                <w:szCs w:val="16"/>
                <w:color w:val="auto"/>
              </w:rPr>
              <w:t>%%COUNTRY%-%</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Number of Shares:</w:t>
            </w:r>
          </w:p>
        </w:tc>
        <w:tc>
          <w:tcPr>
            <w:tcW w:w="5020" w:type="dxa"/>
            <w:vAlign w:val="bottom"/>
          </w:tcPr>
          <w:p>
            <w:pPr>
              <w:ind w:left="1140"/>
              <w:spacing w:after="0"/>
              <w:rPr>
                <w:sz w:val="20"/>
                <w:szCs w:val="20"/>
                <w:color w:val="auto"/>
              </w:rPr>
            </w:pPr>
            <w:r>
              <w:rPr>
                <w:rFonts w:ascii="Arial" w:cs="Arial" w:eastAsia="Arial" w:hAnsi="Arial"/>
                <w:sz w:val="16"/>
                <w:szCs w:val="16"/>
                <w:color w:val="auto"/>
              </w:rPr>
              <w:t>%%TOTAL_SHARES_GRANTED,'999,999,999'%-%</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Option Exercise Price:</w:t>
            </w:r>
          </w:p>
        </w:tc>
        <w:tc>
          <w:tcPr>
            <w:tcW w:w="5020" w:type="dxa"/>
            <w:vAlign w:val="bottom"/>
          </w:tcPr>
          <w:p>
            <w:pPr>
              <w:ind w:left="1140"/>
              <w:spacing w:after="0"/>
              <w:rPr>
                <w:sz w:val="20"/>
                <w:szCs w:val="20"/>
                <w:color w:val="auto"/>
              </w:rPr>
            </w:pPr>
            <w:r>
              <w:rPr>
                <w:rFonts w:ascii="Arial" w:cs="Arial" w:eastAsia="Arial" w:hAnsi="Arial"/>
                <w:sz w:val="16"/>
                <w:szCs w:val="16"/>
                <w:color w:val="auto"/>
              </w:rPr>
              <w:t>%%OPTION_PRICE%-%</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Date of Grant:</w:t>
            </w:r>
          </w:p>
        </w:tc>
        <w:tc>
          <w:tcPr>
            <w:tcW w:w="5020" w:type="dxa"/>
            <w:vAlign w:val="bottom"/>
          </w:tcPr>
          <w:p>
            <w:pPr>
              <w:ind w:left="1140"/>
              <w:spacing w:after="0"/>
              <w:rPr>
                <w:sz w:val="20"/>
                <w:szCs w:val="20"/>
                <w:color w:val="auto"/>
              </w:rPr>
            </w:pPr>
            <w:r>
              <w:rPr>
                <w:rFonts w:ascii="Arial" w:cs="Arial" w:eastAsia="Arial" w:hAnsi="Arial"/>
                <w:sz w:val="16"/>
                <w:szCs w:val="16"/>
                <w:color w:val="auto"/>
              </w:rPr>
              <w:t>%%OPTION_DATE,'Month DD, YYYY'%-%</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Option Expiration Date:</w:t>
            </w:r>
          </w:p>
        </w:tc>
        <w:tc>
          <w:tcPr>
            <w:tcW w:w="5020" w:type="dxa"/>
            <w:vAlign w:val="bottom"/>
          </w:tcPr>
          <w:p>
            <w:pPr>
              <w:ind w:left="1140"/>
              <w:spacing w:after="0"/>
              <w:rPr>
                <w:sz w:val="20"/>
                <w:szCs w:val="20"/>
                <w:color w:val="auto"/>
              </w:rPr>
            </w:pPr>
            <w:r>
              <w:rPr>
                <w:rFonts w:ascii="Arial" w:cs="Arial" w:eastAsia="Arial" w:hAnsi="Arial"/>
                <w:sz w:val="16"/>
                <w:szCs w:val="16"/>
                <w:color w:val="auto"/>
              </w:rPr>
              <w:t>%%EXPIRE_DATE_PERIOD1,'Month DD, YYYY'%-%</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Exercise Schedule: The Option shall become exercisable (“vest”) as follows:</w:t>
      </w:r>
    </w:p>
    <w:p>
      <w:pPr>
        <w:sectPr>
          <w:pgSz w:w="11900" w:h="16838" w:orient="portrait"/>
          <w:cols w:equalWidth="0" w:num="1">
            <w:col w:w="10060"/>
          </w:cols>
          <w:pgMar w:left="920" w:top="121" w:right="9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%%SHARES_PERIOD1%-%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%%VEST_TYPE_PERIOD1%-%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%%VEST_DATE_PERIOD1,'Month DD, YYYY'%-%</w:t>
      </w:r>
    </w:p>
    <w:p>
      <w:pPr>
        <w:spacing w:after="0" w:line="169" w:lineRule="exact"/>
        <w:rPr>
          <w:sz w:val="20"/>
          <w:szCs w:val="20"/>
          <w:color w:val="auto"/>
        </w:rPr>
      </w:pPr>
    </w:p>
    <w:p>
      <w:pPr>
        <w:sectPr>
          <w:pgSz w:w="11900" w:h="16838" w:orient="portrait"/>
          <w:cols w:equalWidth="0" w:num="3">
            <w:col w:w="2640" w:space="720"/>
            <w:col w:w="2640" w:space="720"/>
            <w:col w:w="3340"/>
          </w:cols>
          <w:pgMar w:left="920" w:top="121" w:right="919" w:bottom="1440" w:gutter="0" w:footer="0" w:header="0"/>
          <w:type w:val="continuous"/>
        </w:sectPr>
      </w:pPr>
    </w:p>
    <w:p>
      <w:pPr>
        <w:spacing w:after="0"/>
        <w:rPr>
          <w:sz w:val="20"/>
          <w:szCs w:val="20"/>
          <w:color w:val="auto"/>
        </w:rPr>
      </w:pPr>
      <w:r>
        <w:rPr>
          <w:rFonts w:ascii="Arial" w:cs="Arial" w:eastAsia="Arial" w:hAnsi="Arial"/>
          <w:sz w:val="16"/>
          <w:szCs w:val="16"/>
          <w:color w:val="auto"/>
        </w:rPr>
        <w:t>%%SHARES_PERIOD2%-%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%%VEST_TYPE_PERIOD2%-%</w:t>
      </w:r>
    </w:p>
    <w:p>
      <w:pPr>
        <w:spacing w:after="0" w:line="20" w:lineRule="exact"/>
        <w:rPr>
          <w:sz w:val="20"/>
          <w:szCs w:val="20"/>
          <w:color w:val="auto"/>
        </w:rPr>
      </w:pPr>
      <w:r>
        <w:rPr>
          <w:sz w:val="20"/>
          <w:szCs w:val="20"/>
          <w:color w:val="auto"/>
        </w:rPr>
        <w:br w:type="column"/>
      </w:r>
    </w:p>
    <w:p>
      <w:pPr>
        <w:ind w:right="800"/>
        <w:spacing w:after="0" w:line="260" w:lineRule="auto"/>
        <w:rPr>
          <w:sz w:val="20"/>
          <w:szCs w:val="20"/>
          <w:color w:val="auto"/>
        </w:rPr>
      </w:pPr>
      <w:r>
        <w:rPr>
          <w:rFonts w:ascii="Arial" w:cs="Arial" w:eastAsia="Arial" w:hAnsi="Arial"/>
          <w:sz w:val="16"/>
          <w:szCs w:val="16"/>
          <w:color w:val="auto"/>
        </w:rPr>
        <w:t>%%VEST_DATE_PERIOD2,'Month DD, YYYY'%-%</w:t>
      </w:r>
    </w:p>
    <w:p>
      <w:pPr>
        <w:spacing w:after="0" w:line="182" w:lineRule="exact"/>
        <w:rPr>
          <w:sz w:val="20"/>
          <w:szCs w:val="20"/>
          <w:color w:val="auto"/>
        </w:rPr>
      </w:pPr>
    </w:p>
    <w:p>
      <w:pPr>
        <w:sectPr>
          <w:pgSz w:w="11900" w:h="16838" w:orient="portrait"/>
          <w:cols w:equalWidth="0" w:num="3">
            <w:col w:w="2640" w:space="720"/>
            <w:col w:w="2640" w:space="720"/>
            <w:col w:w="3340"/>
          </w:cols>
          <w:pgMar w:left="920" w:top="121" w:right="919" w:bottom="1440" w:gutter="0" w:footer="0" w:header="0"/>
          <w:type w:val="continuous"/>
        </w:sectPr>
      </w:pPr>
    </w:p>
    <w:p>
      <w:pPr>
        <w:spacing w:after="0"/>
        <w:rPr>
          <w:sz w:val="20"/>
          <w:szCs w:val="20"/>
          <w:color w:val="auto"/>
        </w:rPr>
      </w:pPr>
      <w:r>
        <w:rPr>
          <w:rFonts w:ascii="Arial" w:cs="Arial" w:eastAsia="Arial" w:hAnsi="Arial"/>
          <w:sz w:val="16"/>
          <w:szCs w:val="16"/>
          <w:color w:val="auto"/>
        </w:rPr>
        <w:t>In Witness Whereof, the Company has granted to Optionee the Option as of the Date of Grant set forth above.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ind w:left="40"/>
              <w:spacing w:after="0"/>
              <w:rPr>
                <w:sz w:val="20"/>
                <w:szCs w:val="20"/>
                <w:color w:val="auto"/>
              </w:rPr>
            </w:pPr>
            <w:r>
              <w:rPr>
                <w:rFonts w:ascii="Arial" w:cs="Arial" w:eastAsia="Arial" w:hAnsi="Arial"/>
                <w:sz w:val="16"/>
                <w:szCs w:val="16"/>
                <w:color w:val="auto"/>
              </w:rPr>
              <w:t>OPTIONEE</w:t>
            </w:r>
          </w:p>
        </w:tc>
        <w:tc>
          <w:tcPr>
            <w:tcW w:w="6220" w:type="dxa"/>
            <w:vAlign w:val="bottom"/>
          </w:tcPr>
          <w:p>
            <w:pPr>
              <w:ind w:left="500"/>
              <w:spacing w:after="0"/>
              <w:rPr>
                <w:sz w:val="20"/>
                <w:szCs w:val="20"/>
                <w:color w:val="auto"/>
              </w:rPr>
            </w:pPr>
            <w:r>
              <w:rPr>
                <w:rFonts w:ascii="Arial" w:cs="Arial" w:eastAsia="Arial" w:hAnsi="Arial"/>
                <w:sz w:val="16"/>
                <w:szCs w:val="16"/>
                <w:color w:val="auto"/>
              </w:rPr>
              <w:t>IOVANCE BIOTHERAPEUTICS, INC.</w:t>
            </w:r>
          </w:p>
        </w:tc>
      </w:tr>
      <w:tr>
        <w:trPr>
          <w:trHeight w:val="378"/>
        </w:trPr>
        <w:tc>
          <w:tcPr>
            <w:tcW w:w="3840" w:type="dxa"/>
            <w:vAlign w:val="bottom"/>
          </w:tcPr>
          <w:p>
            <w:pPr>
              <w:ind w:left="40"/>
              <w:spacing w:after="0"/>
              <w:rPr>
                <w:sz w:val="20"/>
                <w:szCs w:val="20"/>
                <w:color w:val="auto"/>
              </w:rPr>
            </w:pPr>
            <w:r>
              <w:rPr>
                <w:rFonts w:ascii="Arial" w:cs="Arial" w:eastAsia="Arial" w:hAnsi="Arial"/>
                <w:sz w:val="16"/>
                <w:szCs w:val="16"/>
                <w:color w:val="auto"/>
              </w:rPr>
              <w:t>%%FIRST_NAME%-% %%LAST_NAME%-%</w:t>
            </w:r>
          </w:p>
        </w:tc>
        <w:tc>
          <w:tcPr>
            <w:tcW w:w="6220" w:type="dxa"/>
            <w:vAlign w:val="bottom"/>
          </w:tcPr>
          <w:p>
            <w:pPr>
              <w:ind w:left="500"/>
              <w:spacing w:after="0"/>
              <w:rPr>
                <w:sz w:val="20"/>
                <w:szCs w:val="20"/>
                <w:color w:val="auto"/>
              </w:rPr>
            </w:pPr>
            <w:r>
              <w:rPr>
                <w:rFonts w:ascii="Arial" w:cs="Arial" w:eastAsia="Arial" w:hAnsi="Arial"/>
                <w:sz w:val="16"/>
                <w:szCs w:val="16"/>
                <w:color w:val="auto"/>
              </w:rPr>
              <w:t>By Timothy E. Morris</w:t>
            </w:r>
          </w:p>
        </w:tc>
      </w:tr>
      <w:tr>
        <w:trPr>
          <w:trHeight w:val="378"/>
        </w:trPr>
        <w:tc>
          <w:tcPr>
            <w:tcW w:w="3840" w:type="dxa"/>
            <w:vAlign w:val="bottom"/>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Chief Financial Officer</w:t>
            </w:r>
          </w:p>
        </w:tc>
      </w:tr>
      <w:tr>
        <w:trPr>
          <w:trHeight w:val="756"/>
        </w:trPr>
        <w:tc>
          <w:tcPr>
            <w:tcW w:w="384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type w:val="continuous"/>
        </w:sectPr>
      </w:pPr>
    </w:p>
    <w:bookmarkStart w:id="149" w:name="page150"/>
    <w:bookmarkEnd w:id="149"/>
    <w:p>
      <w:pPr>
        <w:jc w:val="center"/>
        <w:ind w:right="-20"/>
        <w:spacing w:after="0"/>
        <w:rPr>
          <w:sz w:val="20"/>
          <w:szCs w:val="20"/>
          <w:color w:val="auto"/>
        </w:rPr>
      </w:pPr>
      <w:r>
        <w:rPr>
          <w:rFonts w:ascii="Arial" w:cs="Arial" w:eastAsia="Arial" w:hAnsi="Arial"/>
          <w:sz w:val="16"/>
          <w:szCs w:val="16"/>
          <w:b w:val="1"/>
          <w:bCs w:val="1"/>
          <w:color w:val="auto"/>
        </w:rPr>
        <w:t>STOCK OPTION AGREEMENT</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(Incentive Stock Option)</w:t>
      </w:r>
    </w:p>
    <w:p>
      <w:pPr>
        <w:spacing w:after="0" w:line="221" w:lineRule="exact"/>
        <w:rPr>
          <w:sz w:val="20"/>
          <w:szCs w:val="20"/>
          <w:color w:val="auto"/>
        </w:rPr>
      </w:pPr>
    </w:p>
    <w:p>
      <w:pPr>
        <w:ind w:left="1"/>
        <w:spacing w:after="0" w:line="253" w:lineRule="auto"/>
        <w:rPr>
          <w:sz w:val="20"/>
          <w:szCs w:val="20"/>
          <w:color w:val="auto"/>
        </w:rPr>
      </w:pPr>
      <w:r>
        <w:rPr>
          <w:rFonts w:ascii="Arial" w:cs="Arial" w:eastAsia="Arial" w:hAnsi="Arial"/>
          <w:sz w:val="16"/>
          <w:szCs w:val="16"/>
          <w:color w:val="auto"/>
        </w:rPr>
        <w:t>This STOCK OPTION AGREEMENT (this “Agreement”) is made and entered into as of the Date of Grant set forth in the Option Certificate to which this Agreement is attached (the “Certificate”) by and between Iovance Biotherapeutics, Inc., a Delaware corporation (the “Company”) on behalf of itself and its Affiliates, and the optionee (the “Optionee”) named in the Certificate.</w:t>
      </w:r>
    </w:p>
    <w:p>
      <w:pPr>
        <w:spacing w:after="0" w:line="201"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Pursuant to the 2014 Equity Incentive Plan of the Company (the “Plan”), the Administrator has determined that Optionee is to be granted, on the terms and conditions set forth in this Agreement and in the Plan, an option to purchase shares of the Company’s common stock (the “Common Stock”). It is intended that the option qualify as an “incentive stock option” within the meaning of Section 422 of the Internal Revenue Code of 1986, as amended from time to time (the “Code”). Capitalized terms not otherwise defined in this Agreement shall have the meanings ascribed to them in the Plan.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Company and Optionee agree as follows:</w:t>
      </w:r>
    </w:p>
    <w:p>
      <w:pPr>
        <w:spacing w:after="0" w:line="221" w:lineRule="exact"/>
        <w:rPr>
          <w:sz w:val="20"/>
          <w:szCs w:val="20"/>
          <w:color w:val="auto"/>
        </w:rPr>
      </w:pPr>
    </w:p>
    <w:p>
      <w:pPr>
        <w:ind w:left="1" w:right="220" w:hanging="1"/>
        <w:spacing w:after="0" w:line="253" w:lineRule="auto"/>
        <w:tabs>
          <w:tab w:leader="none" w:pos="226" w:val="left"/>
        </w:tabs>
        <w:numPr>
          <w:ilvl w:val="0"/>
          <w:numId w:val="49"/>
        </w:numPr>
        <w:rPr>
          <w:rFonts w:ascii="Arial" w:cs="Arial" w:eastAsia="Arial" w:hAnsi="Arial"/>
          <w:sz w:val="16"/>
          <w:szCs w:val="16"/>
          <w:color w:val="auto"/>
        </w:rPr>
      </w:pPr>
      <w:r>
        <w:rPr>
          <w:rFonts w:ascii="Arial" w:cs="Arial" w:eastAsia="Arial" w:hAnsi="Arial"/>
          <w:sz w:val="16"/>
          <w:szCs w:val="16"/>
          <w:color w:val="auto"/>
        </w:rPr>
        <w:t>Grant of Option. The Company hereby grants to Optionee, upon the terms and subject to the conditions set forth in this Agreement, an Option (the “Option”) to purchase all or any portion of that number of shares of Common Stock set forth in the Certificate (the “Option Shares”), at the exercise price set forth in the Certificate (the “Exercise Price”).</w:t>
      </w:r>
    </w:p>
    <w:p>
      <w:pPr>
        <w:spacing w:after="0" w:line="201" w:lineRule="exact"/>
        <w:rPr>
          <w:rFonts w:ascii="Arial" w:cs="Arial" w:eastAsia="Arial" w:hAnsi="Arial"/>
          <w:sz w:val="16"/>
          <w:szCs w:val="16"/>
          <w:color w:val="auto"/>
        </w:rPr>
      </w:pPr>
    </w:p>
    <w:p>
      <w:pPr>
        <w:ind w:left="221" w:hanging="221"/>
        <w:spacing w:after="0"/>
        <w:tabs>
          <w:tab w:leader="none" w:pos="221" w:val="left"/>
        </w:tabs>
        <w:numPr>
          <w:ilvl w:val="0"/>
          <w:numId w:val="49"/>
        </w:numPr>
        <w:rPr>
          <w:rFonts w:ascii="Arial" w:cs="Arial" w:eastAsia="Arial" w:hAnsi="Arial"/>
          <w:sz w:val="16"/>
          <w:szCs w:val="16"/>
          <w:color w:val="auto"/>
        </w:rPr>
      </w:pPr>
      <w:r>
        <w:rPr>
          <w:rFonts w:ascii="Arial" w:cs="Arial" w:eastAsia="Arial" w:hAnsi="Arial"/>
          <w:sz w:val="16"/>
          <w:szCs w:val="16"/>
          <w:color w:val="auto"/>
        </w:rPr>
        <w:t>Vesting.</w:t>
      </w:r>
    </w:p>
    <w:p>
      <w:pPr>
        <w:spacing w:after="0" w:line="221" w:lineRule="exact"/>
        <w:rPr>
          <w:sz w:val="20"/>
          <w:szCs w:val="20"/>
          <w:color w:val="auto"/>
        </w:rPr>
      </w:pPr>
    </w:p>
    <w:p>
      <w:pPr>
        <w:jc w:val="both"/>
        <w:ind w:left="1" w:right="120"/>
        <w:spacing w:after="0" w:line="253" w:lineRule="auto"/>
        <w:rPr>
          <w:sz w:val="20"/>
          <w:szCs w:val="20"/>
          <w:color w:val="auto"/>
        </w:rPr>
      </w:pPr>
      <w:r>
        <w:rPr>
          <w:rFonts w:ascii="Arial" w:cs="Arial" w:eastAsia="Arial" w:hAnsi="Arial"/>
          <w:sz w:val="16"/>
          <w:szCs w:val="16"/>
          <w:color w:val="auto"/>
        </w:rPr>
        <w:t>2.1. The Option shall “vest” (that is, become exercisable) in installments upon and after the dates set forth under the caption “Exercise Schedule” in the Certificate. The installments shall be cumulative; i.e., the Option may be exercised, as to any or all Shares covered by an installment, at any time or times after the installment first becomes exercisable and until expiration or termination of the Option.</w:t>
      </w:r>
    </w:p>
    <w:p>
      <w:pPr>
        <w:spacing w:after="0" w:line="20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No vesting shall occur after the Employment Termination Date (as defined in Section 4.2 of this Agreement).</w:t>
      </w:r>
    </w:p>
    <w:p>
      <w:pPr>
        <w:spacing w:after="0" w:line="221" w:lineRule="exact"/>
        <w:rPr>
          <w:sz w:val="20"/>
          <w:szCs w:val="20"/>
          <w:color w:val="auto"/>
        </w:rPr>
      </w:pPr>
    </w:p>
    <w:p>
      <w:pPr>
        <w:ind w:left="1" w:right="80"/>
        <w:spacing w:after="0" w:line="253" w:lineRule="auto"/>
        <w:rPr>
          <w:sz w:val="20"/>
          <w:szCs w:val="20"/>
          <w:color w:val="auto"/>
        </w:rPr>
      </w:pPr>
      <w:r>
        <w:rPr>
          <w:rFonts w:ascii="Arial" w:cs="Arial" w:eastAsia="Arial" w:hAnsi="Arial"/>
          <w:sz w:val="16"/>
          <w:szCs w:val="16"/>
          <w:color w:val="auto"/>
        </w:rPr>
        <w:t>2.3. Notwithstanding anything to the contrary contained in this Option Agreement, the Option may not be exercised, in whole or in part, unless and until any then-applicable requirements of all state and federal laws and regulatory agencies shall have been fully complied with to the satisfaction of the Company and its counsel.</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6"/>
          <w:szCs w:val="16"/>
          <w:color w:val="auto"/>
        </w:rPr>
        <w:t>3. Exercise of the Option.</w:t>
      </w:r>
    </w:p>
    <w:p>
      <w:pPr>
        <w:spacing w:after="0" w:line="22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The Option may be exercised, in whole or in part, only by delivery to the Company of:</w:t>
      </w:r>
    </w:p>
    <w:p>
      <w:pPr>
        <w:spacing w:after="0" w:line="221" w:lineRule="exact"/>
        <w:rPr>
          <w:sz w:val="20"/>
          <w:szCs w:val="20"/>
          <w:color w:val="auto"/>
        </w:rPr>
      </w:pPr>
    </w:p>
    <w:p>
      <w:pPr>
        <w:ind w:left="1" w:right="20"/>
        <w:spacing w:after="0" w:line="260" w:lineRule="auto"/>
        <w:rPr>
          <w:sz w:val="20"/>
          <w:szCs w:val="20"/>
          <w:color w:val="auto"/>
        </w:rPr>
      </w:pPr>
      <w:r>
        <w:rPr>
          <w:rFonts w:ascii="Arial" w:cs="Arial" w:eastAsia="Arial" w:hAnsi="Arial"/>
          <w:sz w:val="16"/>
          <w:szCs w:val="16"/>
          <w:color w:val="auto"/>
        </w:rPr>
        <w:t>3.1.1. notice, provided electronically or as the Company may otherwise specify, of the exercise of the Option stating the number of Option Shares being purchased (the “Purchased Shares”); and</w:t>
      </w:r>
    </w:p>
    <w:p>
      <w:pPr>
        <w:spacing w:after="0" w:line="196" w:lineRule="exact"/>
        <w:rPr>
          <w:sz w:val="20"/>
          <w:szCs w:val="20"/>
          <w:color w:val="auto"/>
        </w:rPr>
      </w:pPr>
    </w:p>
    <w:p>
      <w:pPr>
        <w:ind w:left="1" w:right="260"/>
        <w:spacing w:after="0" w:line="260" w:lineRule="auto"/>
        <w:rPr>
          <w:sz w:val="20"/>
          <w:szCs w:val="20"/>
          <w:color w:val="auto"/>
        </w:rPr>
      </w:pPr>
      <w:r>
        <w:rPr>
          <w:rFonts w:ascii="Arial" w:cs="Arial" w:eastAsia="Arial" w:hAnsi="Arial"/>
          <w:sz w:val="16"/>
          <w:szCs w:val="16"/>
          <w:color w:val="auto"/>
        </w:rPr>
        <w:t>3.1.2. payment of the Exercise Price (i) in cash or cash equivalent; or (ii) with the prior approval of the Administrator, by delivery to the Company of such other consideration (such as a note or shares of Common Stock) acceptable to the Administrator.</w:t>
      </w:r>
    </w:p>
    <w:p>
      <w:pPr>
        <w:spacing w:after="0" w:line="196"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3.2. Following receipt of the exercise notice, any other applicable documents and the payment referred to above, the Company shall, within 30 days, cause certificates (which may be in book-entry form) representing the Purchased Shares to be issued and delivered to Optionee (including through electronic delivery to a brokerage account); provided; however, that the Company shall not be obligated to issue a fraction or fractions of a share otherwise issuable upon exercise of the Option, and may pay to Optionee, in cash or cash equivalent, the fair market value of any such fraction or fractions of a share as of the date of exercise.</w:t>
      </w:r>
    </w:p>
    <w:p>
      <w:pPr>
        <w:spacing w:after="0" w:line="203" w:lineRule="exact"/>
        <w:rPr>
          <w:sz w:val="20"/>
          <w:szCs w:val="20"/>
          <w:color w:val="auto"/>
        </w:rPr>
      </w:pPr>
    </w:p>
    <w:p>
      <w:pPr>
        <w:ind w:left="1" w:right="60"/>
        <w:spacing w:after="0" w:line="250" w:lineRule="auto"/>
        <w:rPr>
          <w:sz w:val="20"/>
          <w:szCs w:val="20"/>
          <w:color w:val="auto"/>
        </w:rPr>
      </w:pPr>
      <w:r>
        <w:rPr>
          <w:rFonts w:ascii="Arial" w:cs="Arial" w:eastAsia="Arial" w:hAnsi="Arial"/>
          <w:sz w:val="16"/>
          <w:szCs w:val="16"/>
          <w:color w:val="auto"/>
        </w:rPr>
        <w:t>3.3. If requested by the Administrator, Optionee shall also deliver this Agreement to the Secretary of the Company, who shall endorse hereon a notation of the exercise and return this Agreement to Optionee. The date of exercise of an Option that is validly exercised shall be deemed to be the date on which there shall have been delivered to the Administrator the notice referred to in this Section 3. Optionee shall not be deemed to be a holder of any Option Shares pursuant to exercise of the Option until the date of issuance of the Purchased Shares to him or her for such shares following payment in full for the Option Shares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50" w:name="page151"/>
    <w:bookmarkEnd w:id="150"/>
    <w:p>
      <w:pPr>
        <w:ind w:left="1" w:right="20"/>
        <w:spacing w:after="0" w:line="249" w:lineRule="auto"/>
        <w:rPr>
          <w:sz w:val="20"/>
          <w:szCs w:val="20"/>
          <w:color w:val="auto"/>
        </w:rPr>
      </w:pPr>
      <w:r>
        <w:rPr>
          <w:rFonts w:ascii="Arial" w:cs="Arial" w:eastAsia="Arial" w:hAnsi="Arial"/>
          <w:sz w:val="16"/>
          <w:szCs w:val="16"/>
          <w:color w:val="auto"/>
        </w:rPr>
        <w:t>3.4. If approved by the Company, the Optionee may exercise the Option by means of a broker assisted sale of the Option Shares by delivery of irrevocable directions to a Company approved securities broker (on a form prescribed by the Company) to sell the Option Shares and to deliver all or part of the sale proceeds to the Company in payment of the Exercise Price and/or tax withholding obligations or other required deductions. In the event of any broker-assisted sale of Option Shares, Optionee will be responsible for all broker’s fees and other costs of sale, and Optionee agrees to indemnify and hold the Company harmless from any losses, costs, damages, or expenses relating to any such sale.</w:t>
      </w:r>
    </w:p>
    <w:p>
      <w:pPr>
        <w:spacing w:after="0" w:line="205" w:lineRule="exact"/>
        <w:rPr>
          <w:sz w:val="20"/>
          <w:szCs w:val="20"/>
          <w:color w:val="auto"/>
        </w:rPr>
      </w:pPr>
    </w:p>
    <w:p>
      <w:pPr>
        <w:ind w:left="1" w:right="80"/>
        <w:spacing w:after="0" w:line="250" w:lineRule="auto"/>
        <w:rPr>
          <w:sz w:val="20"/>
          <w:szCs w:val="20"/>
          <w:color w:val="auto"/>
        </w:rPr>
      </w:pPr>
      <w:r>
        <w:rPr>
          <w:rFonts w:ascii="Arial" w:cs="Arial" w:eastAsia="Arial" w:hAnsi="Arial"/>
          <w:sz w:val="16"/>
          <w:szCs w:val="16"/>
          <w:color w:val="auto"/>
        </w:rPr>
        <w:t>3.5. Should this Option become a non-qualified stock option, in whole or in part, for any reason, then, as a condition to exercise of this Option, the Company may require Optionee to pay over to the Company all applicable federal, state and local taxes which the Company is required to withhold with respect to the exercise of such non-qualified stock option. At the discretion of the Administrator and upon the request of Optionee, the minimum statutory withholding tax requirements may be satisfied by the withholding of Shares otherwise issuable to Optionee upon the exercise of this Option.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4. Termination of Option.</w:t>
      </w:r>
    </w:p>
    <w:p>
      <w:pPr>
        <w:spacing w:after="0" w:line="22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Option shall terminate and expire upon the earliest to occur of: (i) the Option Expiration Date set forth in the Option Certificate;</w:t>
      </w:r>
    </w:p>
    <w:p>
      <w:pPr>
        <w:spacing w:after="0" w:line="5" w:lineRule="exact"/>
        <w:rPr>
          <w:sz w:val="20"/>
          <w:szCs w:val="20"/>
          <w:color w:val="auto"/>
        </w:rPr>
      </w:pPr>
    </w:p>
    <w:p>
      <w:pPr>
        <w:ind w:left="1" w:right="120" w:hanging="1"/>
        <w:spacing w:after="0" w:line="260" w:lineRule="auto"/>
        <w:tabs>
          <w:tab w:leader="none" w:pos="22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Termination Date; and (iii) a Corporate Transaction, unless otherwise specified (x) in a Superseding Agreement or Resolution (each as defined hereinafter), or (y) by the Administrator.</w:t>
      </w:r>
    </w:p>
    <w:p>
      <w:pPr>
        <w:spacing w:after="0" w:line="196"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For purposes of this Agreement:</w:t>
      </w:r>
    </w:p>
    <w:p>
      <w:pPr>
        <w:spacing w:after="0" w:line="221" w:lineRule="exact"/>
        <w:rPr>
          <w:sz w:val="20"/>
          <w:szCs w:val="20"/>
          <w:color w:val="auto"/>
        </w:rPr>
      </w:pPr>
    </w:p>
    <w:p>
      <w:pPr>
        <w:ind w:left="1" w:right="320"/>
        <w:spacing w:after="0" w:line="250" w:lineRule="auto"/>
        <w:rPr>
          <w:sz w:val="20"/>
          <w:szCs w:val="20"/>
          <w:color w:val="auto"/>
        </w:rPr>
      </w:pPr>
      <w:r>
        <w:rPr>
          <w:rFonts w:ascii="Arial" w:cs="Arial" w:eastAsia="Arial" w:hAnsi="Arial"/>
          <w:sz w:val="16"/>
          <w:szCs w:val="16"/>
          <w:color w:val="auto"/>
        </w:rPr>
        <w:t>4.2.1. “Employment Termination Date” shall mean the first day Optionee is not an employee of the Company or any of its Affiliates. Optionee’s employment shall not be deemed to terminate by reason of a transfer to or from the Company or an Affiliate or among such entities, or sick leave, military leave or other leave of absence approved by the Administrator, if the period of any such leave does not exceed 90 days or, if longer, if Optionee’s right to reemployment by the Company or any Affiliate is guaranteed either contractually or by statute.</w:t>
      </w:r>
    </w:p>
    <w:p>
      <w:pPr>
        <w:spacing w:after="0" w:line="203" w:lineRule="exact"/>
        <w:rPr>
          <w:sz w:val="20"/>
          <w:szCs w:val="20"/>
          <w:color w:val="auto"/>
        </w:rPr>
      </w:pPr>
    </w:p>
    <w:p>
      <w:pPr>
        <w:ind w:left="1"/>
        <w:spacing w:after="0" w:line="251" w:lineRule="auto"/>
        <w:rPr>
          <w:sz w:val="20"/>
          <w:szCs w:val="20"/>
          <w:color w:val="auto"/>
        </w:rPr>
      </w:pPr>
      <w:r>
        <w:rPr>
          <w:rFonts w:ascii="Arial" w:cs="Arial" w:eastAsia="Arial" w:hAnsi="Arial"/>
          <w:sz w:val="16"/>
          <w:szCs w:val="16"/>
          <w:color w:val="auto"/>
        </w:rPr>
        <w:t>4.2.2. “Termination Date” shall be: (a) the date 90 days following the Employment Termination Date unless Optionee’s employment is terminated For Cause or as a result of the death, disability, or Retirement (as defined hereinafter) of Optionee; (b) upon the Employment Termination Date if Optionee’s employment is terminated For Cause; or (c) the date one year following the Employment Termination Date as a result of the death, disability, or Retirement of Optionee.</w:t>
      </w:r>
    </w:p>
    <w:p>
      <w:pPr>
        <w:spacing w:after="0" w:line="203" w:lineRule="exact"/>
        <w:rPr>
          <w:sz w:val="20"/>
          <w:szCs w:val="20"/>
          <w:color w:val="auto"/>
        </w:rPr>
      </w:pPr>
    </w:p>
    <w:p>
      <w:pPr>
        <w:ind w:left="1" w:right="100"/>
        <w:spacing w:after="0" w:line="250" w:lineRule="auto"/>
        <w:rPr>
          <w:sz w:val="20"/>
          <w:szCs w:val="20"/>
          <w:color w:val="auto"/>
        </w:rPr>
      </w:pPr>
      <w:r>
        <w:rPr>
          <w:rFonts w:ascii="Arial" w:cs="Arial" w:eastAsia="Arial" w:hAnsi="Arial"/>
          <w:sz w:val="16"/>
          <w:szCs w:val="16"/>
          <w:color w:val="auto"/>
        </w:rPr>
        <w:t>4.2.3. “For Cause” shall mean Optionee’s loss of employment by the Company or any of its Affiliates due to Optionee’s (a) willful breach or habitual neglect or continued incapacity to perform Optionee’s required duties, (b) commission of acts of dishonesty, fraud, misrepresentation or other acts of moral turpitude in connection with Optionee’s services to the Company or its Affiliates or which in the determination of the Administrator would prevent the effective performance of Optionee’s duties or (c) termination For Cause under any employment agreement between the Company and Optionee (as for cause is defined therein).</w:t>
      </w:r>
    </w:p>
    <w:p>
      <w:pPr>
        <w:spacing w:after="0" w:line="203" w:lineRule="exact"/>
        <w:rPr>
          <w:sz w:val="20"/>
          <w:szCs w:val="20"/>
          <w:color w:val="auto"/>
        </w:rPr>
      </w:pPr>
    </w:p>
    <w:p>
      <w:pPr>
        <w:ind w:left="1" w:right="60"/>
        <w:spacing w:after="0" w:line="248" w:lineRule="auto"/>
        <w:rPr>
          <w:sz w:val="20"/>
          <w:szCs w:val="20"/>
          <w:color w:val="auto"/>
        </w:rPr>
      </w:pPr>
      <w:r>
        <w:rPr>
          <w:rFonts w:ascii="Arial" w:cs="Arial" w:eastAsia="Arial" w:hAnsi="Arial"/>
          <w:sz w:val="16"/>
          <w:szCs w:val="16"/>
          <w:color w:val="auto"/>
        </w:rPr>
        <w:t>4.2.4. “Retirement” shall mean, unless otherwise defined in a Superseding Agreement or in a Resolution, the termination of an Optionee’s employment with the Company or its Affiliates after the Optionee has attained the age of 55 years and the Optionee has stated at the time of resignation, in writing, his or her intention to leave the Company’s industry or to leave the general workforce. Notwithstanding the foregoing, the term “Retirement” shall not apply to any Optionee whose employment is terminated For Cause. In the event that the Optionee accepts full-time or part-time employment during the one-year period following the Optionee’s Employment Termination Date, the Optionee’s termination will be deemed, for all purposes hereunder and for the purposes of Section 4.2.2 herein, to have been a voluntary resignation, and not a termination upon Retirement, such that the Termination Date shall be the date 90 days following the Employment Termination Date.</w:t>
      </w:r>
    </w:p>
    <w:p>
      <w:pPr>
        <w:spacing w:after="0" w:line="208" w:lineRule="exact"/>
        <w:rPr>
          <w:sz w:val="20"/>
          <w:szCs w:val="20"/>
          <w:color w:val="auto"/>
        </w:rPr>
      </w:pPr>
    </w:p>
    <w:p>
      <w:pPr>
        <w:ind w:left="1" w:right="160" w:hanging="1"/>
        <w:spacing w:after="0" w:line="253" w:lineRule="auto"/>
        <w:tabs>
          <w:tab w:leader="none" w:pos="22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Adjustment. The number of shares and Exercise Price of this Option shall be subject to adjustment under the circumstances contemplated by the Plan and the Option Expiration Date may be accelerated by the Administrator upon the circumstances set forth in the Plan.</w:t>
      </w:r>
    </w:p>
    <w:p>
      <w:pPr>
        <w:spacing w:after="0" w:line="201" w:lineRule="exact"/>
        <w:rPr>
          <w:rFonts w:ascii="Arial" w:cs="Arial" w:eastAsia="Arial" w:hAnsi="Arial"/>
          <w:sz w:val="16"/>
          <w:szCs w:val="16"/>
          <w:color w:val="auto"/>
        </w:rPr>
      </w:pPr>
    </w:p>
    <w:p>
      <w:pPr>
        <w:ind w:left="1" w:right="80" w:hanging="1"/>
        <w:spacing w:after="0" w:line="253" w:lineRule="auto"/>
        <w:tabs>
          <w:tab w:leader="none" w:pos="226"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Corporate Transactions. Upon the occurrence of a Corporate Transaction, the Option shall be subject to the actions of the Administrator as contemplated in the Plan, including without limitation the termination of the Option immediately prior to the consummation of the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332740</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1"/>
          </w:cols>
          <w:pgMar w:left="919" w:top="141" w:right="959" w:bottom="1440" w:gutter="0" w:footer="0" w:header="0"/>
        </w:sectPr>
      </w:pPr>
    </w:p>
    <w:bookmarkStart w:id="151" w:name="page152"/>
    <w:bookmarkEnd w:id="151"/>
    <w:p>
      <w:pPr>
        <w:ind w:left="1" w:right="20" w:hanging="1"/>
        <w:spacing w:after="0" w:line="250" w:lineRule="auto"/>
        <w:tabs>
          <w:tab w:leader="none" w:pos="226" w:val="left"/>
        </w:tabs>
        <w:numPr>
          <w:ilvl w:val="0"/>
          <w:numId w:val="52"/>
        </w:numPr>
        <w:rPr>
          <w:rFonts w:ascii="Arial" w:cs="Arial" w:eastAsia="Arial" w:hAnsi="Arial"/>
          <w:sz w:val="16"/>
          <w:szCs w:val="16"/>
          <w:color w:val="auto"/>
        </w:rPr>
      </w:pPr>
      <w:r>
        <w:rPr>
          <w:rFonts w:ascii="Arial" w:cs="Arial" w:eastAsia="Arial" w:hAnsi="Arial"/>
          <w:sz w:val="16"/>
          <w:szCs w:val="16"/>
          <w:color w:val="auto"/>
        </w:rPr>
        <w:t>Modification. Subject to the terms and conditions and within the limitations of the Plan, the Administrator may modify, extend or renew the Option or accept the surrender of, and authorize the grant of a new option in substitution for, the Option (to the extent not previously exercised). No modification of the Option shall be made which, without the consent of Optionee, would cause the Option to fail to continue to qualify as an “incentive stock option” within the meaning of Section 422 of the Code or would alter or impair any rights of Optionee under the Option.</w:t>
      </w:r>
    </w:p>
    <w:p>
      <w:pPr>
        <w:spacing w:after="0" w:line="203" w:lineRule="exact"/>
        <w:rPr>
          <w:rFonts w:ascii="Arial" w:cs="Arial" w:eastAsia="Arial" w:hAnsi="Arial"/>
          <w:sz w:val="16"/>
          <w:szCs w:val="16"/>
          <w:color w:val="auto"/>
        </w:rPr>
      </w:pPr>
    </w:p>
    <w:p>
      <w:pPr>
        <w:ind w:left="1" w:right="60" w:hanging="1"/>
        <w:spacing w:after="0" w:line="250" w:lineRule="auto"/>
        <w:tabs>
          <w:tab w:leader="none" w:pos="226"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Disqualifying Disposition. Optionee agrees that, should he or she make a “disposition” (as defined in Section 424(c) of the Code) of all or any of the Purchased Shares within two years from the date of the grant of the Option or within one year after the issuance of such Purchased Shares, he or she shall immediately advise the Company in writing as to the occurrence of the sale and the price realized upon the sale of such Purchased Shares. Optionee agrees that he or she shall maintain all Purchased Shares in his or her name so long as he or she maintains beneficial ownership of such Purchased Shares.</w:t>
      </w:r>
    </w:p>
    <w:p>
      <w:pPr>
        <w:spacing w:after="0" w:line="203" w:lineRule="exact"/>
        <w:rPr>
          <w:rFonts w:ascii="Arial" w:cs="Arial" w:eastAsia="Arial" w:hAnsi="Arial"/>
          <w:sz w:val="16"/>
          <w:szCs w:val="16"/>
          <w:color w:val="auto"/>
        </w:rPr>
      </w:pPr>
    </w:p>
    <w:p>
      <w:pPr>
        <w:ind w:left="1" w:right="220" w:hanging="1"/>
        <w:spacing w:after="0" w:line="260" w:lineRule="auto"/>
        <w:tabs>
          <w:tab w:leader="none" w:pos="226"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Incorporation of Plan. This Agreement is made pursuant to the Plan, and it is intended, and shall be interpreted in a manner, to comply with the Plan. Any provision of this Agreement inconsistent with the Plan shall be superseded and governed by the Plan.</w:t>
      </w:r>
    </w:p>
    <w:p>
      <w:pPr>
        <w:spacing w:after="0" w:line="195" w:lineRule="exact"/>
        <w:rPr>
          <w:rFonts w:ascii="Arial" w:cs="Arial" w:eastAsia="Arial" w:hAnsi="Arial"/>
          <w:sz w:val="16"/>
          <w:szCs w:val="16"/>
          <w:color w:val="auto"/>
        </w:rPr>
      </w:pPr>
    </w:p>
    <w:p>
      <w:pPr>
        <w:ind w:left="1" w:right="60" w:hanging="1"/>
        <w:spacing w:after="0" w:line="248" w:lineRule="auto"/>
        <w:tabs>
          <w:tab w:leader="none" w:pos="316"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Restrictions on Sale of Purchased Shares. Optionee understands that: (a) unless the issuance of the Purchased Shares to Optionee upon exercise of the Option is registered under the Securities Act of 1933, as amended (the “Securities Act”), the Purchased Shares will be “restricted securities” within the meaning of Rule 144 under such Act; (b) the Purchased Shares may not be sold, transferred or assigned by the Optionee except pursuant to an effective registration statement under the Securities Act or an exemption from registration under the Securities Act; and (c) the Company is under no obligation to file a registration statement under the Securities Act covering the Option Shares. Optionee agrees that any certificates evidencing Purchased Shares may bear a legend indicating that their transferability is restricted in accordance with applicable state and federal securities laws.</w:t>
      </w:r>
    </w:p>
    <w:p>
      <w:pPr>
        <w:spacing w:after="0" w:line="208" w:lineRule="exact"/>
        <w:rPr>
          <w:rFonts w:ascii="Arial" w:cs="Arial" w:eastAsia="Arial" w:hAnsi="Arial"/>
          <w:sz w:val="16"/>
          <w:szCs w:val="16"/>
          <w:color w:val="auto"/>
        </w:rPr>
      </w:pPr>
    </w:p>
    <w:p>
      <w:pPr>
        <w:ind w:left="321" w:hanging="321"/>
        <w:spacing w:after="0"/>
        <w:tabs>
          <w:tab w:leader="none" w:pos="321" w:val="left"/>
        </w:tabs>
        <w:numPr>
          <w:ilvl w:val="0"/>
          <w:numId w:val="52"/>
        </w:numPr>
        <w:rPr>
          <w:rFonts w:ascii="Arial" w:cs="Arial" w:eastAsia="Arial" w:hAnsi="Arial"/>
          <w:sz w:val="16"/>
          <w:szCs w:val="16"/>
          <w:color w:val="auto"/>
        </w:rPr>
      </w:pPr>
      <w:r>
        <w:rPr>
          <w:rFonts w:ascii="Arial" w:cs="Arial" w:eastAsia="Arial" w:hAnsi="Arial"/>
          <w:sz w:val="16"/>
          <w:szCs w:val="16"/>
          <w:color w:val="auto"/>
        </w:rPr>
        <w:t>General Provisions.</w:t>
      </w:r>
    </w:p>
    <w:p>
      <w:pPr>
        <w:spacing w:after="0" w:line="221" w:lineRule="exact"/>
        <w:rPr>
          <w:sz w:val="20"/>
          <w:szCs w:val="20"/>
          <w:color w:val="auto"/>
        </w:rPr>
      </w:pPr>
    </w:p>
    <w:p>
      <w:pPr>
        <w:ind w:left="1" w:right="520"/>
        <w:spacing w:after="0" w:line="260" w:lineRule="auto"/>
        <w:rPr>
          <w:sz w:val="20"/>
          <w:szCs w:val="20"/>
          <w:color w:val="auto"/>
        </w:rPr>
      </w:pPr>
      <w:r>
        <w:rPr>
          <w:rFonts w:ascii="Arial" w:cs="Arial" w:eastAsia="Arial" w:hAnsi="Arial"/>
          <w:sz w:val="16"/>
          <w:szCs w:val="16"/>
          <w:color w:val="auto"/>
        </w:rPr>
        <w:t>11.1. Further Assurances. Optionee shall promptly take all actions and execute all documents requested by the Company that the Company deems to be reasonably necessary to effectuate the term and intent of this Agreement.</w:t>
      </w:r>
    </w:p>
    <w:p>
      <w:pPr>
        <w:spacing w:after="0" w:line="196" w:lineRule="exact"/>
        <w:rPr>
          <w:sz w:val="20"/>
          <w:szCs w:val="20"/>
          <w:color w:val="auto"/>
        </w:rPr>
      </w:pPr>
    </w:p>
    <w:p>
      <w:pPr>
        <w:ind w:left="1" w:right="80"/>
        <w:spacing w:after="0" w:line="249" w:lineRule="auto"/>
        <w:rPr>
          <w:sz w:val="20"/>
          <w:szCs w:val="20"/>
          <w:color w:val="auto"/>
        </w:rPr>
      </w:pPr>
      <w:r>
        <w:rPr>
          <w:rFonts w:ascii="Arial" w:cs="Arial" w:eastAsia="Arial" w:hAnsi="Arial"/>
          <w:sz w:val="16"/>
          <w:szCs w:val="16"/>
          <w:color w:val="auto"/>
        </w:rPr>
        <w:t>11.2. Notices. All notices, requests, demands and other communications (collectively, “Notices”) given pursuant to this Agreement shall be in writing, and shall be delivered by personal service, courier, or by United States first class, registered or certified mail, postage prepaid, addressed to the party at the address set forth on the signature page of this Agreement. Any Notice, other than a Notice sent by registered or certified mail, shall be effective when received; a Notice sent by registered or certified mail, postage prepaid return receipt requested, shall be effective on the earlier of when received or the third day following deposit in the United States mails. Any party may from time to time change its address for further Notices hereunder by giving notice to the other party in the manner prescribed in this Section.</w:t>
      </w:r>
    </w:p>
    <w:p>
      <w:pPr>
        <w:spacing w:after="0" w:line="205" w:lineRule="exact"/>
        <w:rPr>
          <w:sz w:val="20"/>
          <w:szCs w:val="20"/>
          <w:color w:val="auto"/>
        </w:rPr>
      </w:pPr>
    </w:p>
    <w:p>
      <w:pPr>
        <w:ind w:left="1" w:right="60"/>
        <w:spacing w:after="0" w:line="260" w:lineRule="auto"/>
        <w:rPr>
          <w:sz w:val="20"/>
          <w:szCs w:val="20"/>
          <w:color w:val="auto"/>
        </w:rPr>
      </w:pPr>
      <w:r>
        <w:rPr>
          <w:rFonts w:ascii="Arial" w:cs="Arial" w:eastAsia="Arial" w:hAnsi="Arial"/>
          <w:sz w:val="16"/>
          <w:szCs w:val="16"/>
          <w:color w:val="auto"/>
        </w:rPr>
        <w:t>11.3. Failure to Enforce Not a Waiver. The failure of the Company to enforce at any time any provision of this Agreement shall in no way be construed to be a waiver of such provision or of any other provision hereof.</w:t>
      </w:r>
    </w:p>
    <w:p>
      <w:pPr>
        <w:spacing w:after="0" w:line="196" w:lineRule="exact"/>
        <w:rPr>
          <w:sz w:val="20"/>
          <w:szCs w:val="20"/>
          <w:color w:val="auto"/>
        </w:rPr>
      </w:pPr>
    </w:p>
    <w:p>
      <w:pPr>
        <w:ind w:left="1" w:right="720"/>
        <w:spacing w:after="0" w:line="260" w:lineRule="auto"/>
        <w:rPr>
          <w:sz w:val="20"/>
          <w:szCs w:val="20"/>
          <w:color w:val="auto"/>
        </w:rPr>
      </w:pPr>
      <w:r>
        <w:rPr>
          <w:rFonts w:ascii="Arial" w:cs="Arial" w:eastAsia="Arial" w:hAnsi="Arial"/>
          <w:sz w:val="16"/>
          <w:szCs w:val="16"/>
          <w:color w:val="auto"/>
        </w:rPr>
        <w:t>11.4. Governing Law. This Agreement shall be governed by and construed in accordance with the law of the State of Delaware applicable to contracts made in, and to be performed within, that State.</w:t>
      </w:r>
    </w:p>
    <w:p>
      <w:pPr>
        <w:spacing w:after="0" w:line="196" w:lineRule="exact"/>
        <w:rPr>
          <w:sz w:val="20"/>
          <w:szCs w:val="20"/>
          <w:color w:val="auto"/>
        </w:rPr>
      </w:pPr>
    </w:p>
    <w:p>
      <w:pPr>
        <w:ind w:left="1" w:right="140"/>
        <w:spacing w:after="0" w:line="260" w:lineRule="auto"/>
        <w:rPr>
          <w:sz w:val="20"/>
          <w:szCs w:val="20"/>
          <w:color w:val="auto"/>
        </w:rPr>
      </w:pPr>
      <w:r>
        <w:rPr>
          <w:rFonts w:ascii="Arial" w:cs="Arial" w:eastAsia="Arial" w:hAnsi="Arial"/>
          <w:sz w:val="16"/>
          <w:szCs w:val="16"/>
          <w:color w:val="auto"/>
        </w:rPr>
        <w:t>11.5. Transfer of Rights under this Agreement. The Company may at any time transfer and assign its rights and delegate its obligations under this Agreement to any other person, corporation, firm or entity, with or without consideration.</w:t>
      </w:r>
    </w:p>
    <w:p>
      <w:pPr>
        <w:spacing w:after="0" w:line="196" w:lineRule="exact"/>
        <w:rPr>
          <w:sz w:val="20"/>
          <w:szCs w:val="20"/>
          <w:color w:val="auto"/>
        </w:rPr>
      </w:pPr>
    </w:p>
    <w:p>
      <w:pPr>
        <w:ind w:left="1"/>
        <w:spacing w:after="0" w:line="260" w:lineRule="auto"/>
        <w:rPr>
          <w:sz w:val="20"/>
          <w:szCs w:val="20"/>
          <w:color w:val="auto"/>
        </w:rPr>
      </w:pPr>
      <w:r>
        <w:rPr>
          <w:rFonts w:ascii="Arial" w:cs="Arial" w:eastAsia="Arial" w:hAnsi="Arial"/>
          <w:sz w:val="16"/>
          <w:szCs w:val="16"/>
          <w:color w:val="auto"/>
        </w:rPr>
        <w:t>11.6. Option Non-transferable. Optionee may not sell, transfer, assign or otherwise dispose of the Option except by will or the laws of descent and distribution, and only Optionee or his or her legal representative or guardian may exercise the Option during Optionee’s lifetime.</w:t>
      </w:r>
    </w:p>
    <w:p>
      <w:pPr>
        <w:spacing w:after="0" w:line="196" w:lineRule="exact"/>
        <w:rPr>
          <w:sz w:val="20"/>
          <w:szCs w:val="20"/>
          <w:color w:val="auto"/>
        </w:rPr>
      </w:pPr>
    </w:p>
    <w:p>
      <w:pPr>
        <w:jc w:val="both"/>
        <w:ind w:left="1" w:right="420"/>
        <w:spacing w:after="0" w:line="253" w:lineRule="auto"/>
        <w:rPr>
          <w:sz w:val="20"/>
          <w:szCs w:val="20"/>
          <w:color w:val="auto"/>
        </w:rPr>
      </w:pPr>
      <w:r>
        <w:rPr>
          <w:rFonts w:ascii="Arial" w:cs="Arial" w:eastAsia="Arial" w:hAnsi="Arial"/>
          <w:sz w:val="16"/>
          <w:szCs w:val="16"/>
          <w:color w:val="auto"/>
        </w:rPr>
        <w:t>11.7. No Right to Employment. Nothing in this Option shall interfere with or limit in any way the right of the Company or of any of its Affiliates to terminate Optionee’s employment, consulting or advising at any time, nor confer upon Optionee any right to continue in the employ of, consult with or advise the Company or any of its Affiliates.</w:t>
      </w:r>
    </w:p>
    <w:p>
      <w:pPr>
        <w:spacing w:after="0" w:line="201" w:lineRule="exact"/>
        <w:rPr>
          <w:sz w:val="20"/>
          <w:szCs w:val="20"/>
          <w:color w:val="auto"/>
        </w:rPr>
      </w:pPr>
    </w:p>
    <w:p>
      <w:pPr>
        <w:ind w:left="1" w:right="260"/>
        <w:spacing w:after="0" w:line="260" w:lineRule="auto"/>
        <w:rPr>
          <w:sz w:val="20"/>
          <w:szCs w:val="20"/>
          <w:color w:val="auto"/>
        </w:rPr>
      </w:pPr>
      <w:r>
        <w:rPr>
          <w:rFonts w:ascii="Arial" w:cs="Arial" w:eastAsia="Arial" w:hAnsi="Arial"/>
          <w:sz w:val="16"/>
          <w:szCs w:val="16"/>
          <w:color w:val="auto"/>
        </w:rPr>
        <w:t>11.8. Delivery of Plan to Optionee. Optionee acknowledges that a copy of the Plan has been delivered to Optionee and that Optionee has read the Plan prior to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328930</wp:posOffset>
            </wp:positionV>
            <wp:extent cx="63887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1" w:right="919" w:bottom="1440" w:gutter="0" w:footer="0" w:header="0"/>
        </w:sectPr>
      </w:pPr>
    </w:p>
    <w:bookmarkStart w:id="152" w:name="page153"/>
    <w:bookmarkEnd w:id="152"/>
    <w:p>
      <w:pPr>
        <w:ind w:right="320"/>
        <w:spacing w:after="0" w:line="253" w:lineRule="auto"/>
        <w:rPr>
          <w:sz w:val="20"/>
          <w:szCs w:val="20"/>
          <w:color w:val="auto"/>
        </w:rPr>
      </w:pPr>
      <w:r>
        <w:rPr>
          <w:rFonts w:ascii="Arial" w:cs="Arial" w:eastAsia="Arial" w:hAnsi="Arial"/>
          <w:sz w:val="16"/>
          <w:szCs w:val="16"/>
          <w:color w:val="auto"/>
        </w:rPr>
        <w:t>11.9. Successors and Assigns. Except to the extent specifically limited by the terms and provision of this Agreement, this Agreement shall be binding upon and inure to the benefit of the parties hereto and their respective successors, assigns, heirs and personal representatives.</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11.10. Miscellaneous. Titles and captions contained in this Agreement are inserted for convenience of reference only and do not constitute a part of this Agreement for any other purpose. Except as specifically provided herein, neither this Agreement nor any right pursuant hereto or interest herein shall be assignable by any of the parties hereto without the prior written consent of the other party hereto.</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11.11. Tax Treatment. Optionee acknowledges that the tax treatment of the Option, the Option Shares or any events or transactions with respect thereto may be dependent upon various factors or events that are not determined by the Plan or this Agreement. The Company makes no representations with respect to and hereby disclaims all responsibility as to such tax treatment.</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11.12. Entire Agreement. This Agreement and the Plan contain the entire agreement and understanding of the parties hereto with respect to the subject matter contained herein and supersede all prior communications, representations and negotiations in respect</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thereto. Notwithstanding the foregoing or anything to the contrary herein, if the Optionee is a party to an employment, consulting, change-in-control, severance or other applicable written agreement with the Company that modifies or supplements the terms of this Agreement (each, a “Superseding Agreement”), or is the subject of a resolution by the board of directors of the Company or its compensation committee evidencing the grant of an award that modifies or supplements the terms of this Agreement (a “Resolution”), such modified or supplemented terms shall control in the event of any conflict between such terms and the terms of this Agreement, provided that in the event that the Superseding Agreement or Resolution is silent on a matter addressed in this Agreement, then such silence is not a conflict. No change, modification or waiver of any provision of this Agreement shall be valid unless the same be in writing and signed by the parties hereto, except for any changes permitted without consent under the Plan.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signature page of this Agreement consists of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638873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41" w:right="9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6"/>
          <w:szCs w:val="16"/>
          <w:b w:val="1"/>
          <w:bCs w:val="1"/>
          <w:color w:val="auto"/>
        </w:rPr>
        <w:t>Exhibit 10.8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IOVANCE BIOTHERAPEUTICS,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OPTION CERTIFICATE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(Non-Qualified Stock Option)</w:t>
      </w:r>
    </w:p>
    <w:p>
      <w:pPr>
        <w:spacing w:after="0" w:line="22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THIS IS TO CERTIFY that Iovance Biotherapeutics, Inc., a Delaware corporation (the “Company”), has granted to the optionee named below (“Optionee”) a non-qualified stock option (the “Option”) to purchase shares of the Company’s Common Stock (the “Shares”) under its 2014 Equity Incentive Plan (the “Plan”) and upon the terms and conditions set forth below and in the attached Stock Option Agreement: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Pr>
          <w:p>
            <w:pPr>
              <w:spacing w:after="0"/>
              <w:rPr>
                <w:sz w:val="20"/>
                <w:szCs w:val="20"/>
                <w:color w:val="auto"/>
              </w:rPr>
            </w:pPr>
            <w:r>
              <w:rPr>
                <w:rFonts w:ascii="Arial" w:cs="Arial" w:eastAsia="Arial" w:hAnsi="Arial"/>
                <w:sz w:val="16"/>
                <w:szCs w:val="16"/>
                <w:color w:val="auto"/>
              </w:rPr>
              <w:t>Name of Optionee:</w:t>
            </w:r>
          </w:p>
        </w:tc>
        <w:tc>
          <w:tcPr>
            <w:tcW w:w="5020" w:type="dxa"/>
            <w:vAlign w:val="bottom"/>
          </w:tcPr>
          <w:p>
            <w:pPr>
              <w:ind w:left="1120"/>
              <w:spacing w:after="0"/>
              <w:rPr>
                <w:sz w:val="20"/>
                <w:szCs w:val="20"/>
                <w:color w:val="auto"/>
              </w:rPr>
            </w:pPr>
            <w:r>
              <w:rPr>
                <w:rFonts w:ascii="Arial" w:cs="Arial" w:eastAsia="Arial" w:hAnsi="Arial"/>
                <w:sz w:val="16"/>
                <w:szCs w:val="16"/>
                <w:color w:val="auto"/>
              </w:rPr>
              <w:t>%%FIRST_NAME%-% %%LAST_NAME%-%</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4"/>
                <w:szCs w:val="24"/>
                <w:color w:val="auto"/>
              </w:rPr>
            </w:pPr>
          </w:p>
        </w:tc>
        <w:tc>
          <w:tcPr>
            <w:tcW w:w="5020" w:type="dxa"/>
            <w:vAlign w:val="bottom"/>
          </w:tcPr>
          <w:p>
            <w:pPr>
              <w:ind w:left="1120"/>
              <w:spacing w:after="0"/>
              <w:rPr>
                <w:sz w:val="20"/>
                <w:szCs w:val="20"/>
                <w:color w:val="auto"/>
              </w:rPr>
            </w:pPr>
            <w:r>
              <w:rPr>
                <w:rFonts w:ascii="Arial" w:cs="Arial" w:eastAsia="Arial" w:hAnsi="Arial"/>
                <w:sz w:val="16"/>
                <w:szCs w:val="16"/>
                <w:color w:val="auto"/>
              </w:rPr>
              <w:t>%%ADDRESS_LINE_1%-%</w:t>
            </w:r>
          </w:p>
        </w:tc>
        <w:tc>
          <w:tcPr>
            <w:tcW w:w="0" w:type="dxa"/>
            <w:vAlign w:val="bottom"/>
          </w:tcPr>
          <w:p>
            <w:pPr>
              <w:spacing w:after="0"/>
              <w:rPr>
                <w:sz w:val="1"/>
                <w:szCs w:val="1"/>
                <w:color w:val="auto"/>
              </w:rPr>
            </w:pPr>
          </w:p>
        </w:tc>
      </w:tr>
      <w:tr>
        <w:trPr>
          <w:trHeight w:val="270"/>
        </w:trPr>
        <w:tc>
          <w:tcPr>
            <w:tcW w:w="2800" w:type="dxa"/>
            <w:vAlign w:val="bottom"/>
            <w:vMerge w:val="restart"/>
          </w:tcPr>
          <w:p>
            <w:pPr>
              <w:spacing w:after="0"/>
              <w:rPr>
                <w:sz w:val="20"/>
                <w:szCs w:val="20"/>
                <w:color w:val="auto"/>
              </w:rPr>
            </w:pPr>
            <w:r>
              <w:rPr>
                <w:rFonts w:ascii="Arial" w:cs="Arial" w:eastAsia="Arial" w:hAnsi="Arial"/>
                <w:sz w:val="16"/>
                <w:szCs w:val="16"/>
                <w:color w:val="auto"/>
              </w:rPr>
              <w:t>Address of Optionee:</w:t>
            </w:r>
          </w:p>
        </w:tc>
        <w:tc>
          <w:tcPr>
            <w:tcW w:w="5020" w:type="dxa"/>
            <w:vAlign w:val="bottom"/>
          </w:tcPr>
          <w:p>
            <w:pPr>
              <w:ind w:left="1120"/>
              <w:spacing w:after="0"/>
              <w:rPr>
                <w:sz w:val="20"/>
                <w:szCs w:val="20"/>
                <w:color w:val="auto"/>
              </w:rPr>
            </w:pPr>
            <w:r>
              <w:rPr>
                <w:rFonts w:ascii="Arial" w:cs="Arial" w:eastAsia="Arial" w:hAnsi="Arial"/>
                <w:sz w:val="16"/>
                <w:szCs w:val="16"/>
                <w:color w:val="auto"/>
              </w:rPr>
              <w:t>%%ADDRESS_LINE_2%-%</w:t>
            </w: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5020" w:type="dxa"/>
            <w:vAlign w:val="bottom"/>
            <w:vMerge w:val="restart"/>
          </w:tcPr>
          <w:p>
            <w:pPr>
              <w:ind w:left="1120"/>
              <w:spacing w:after="0"/>
              <w:rPr>
                <w:sz w:val="20"/>
                <w:szCs w:val="20"/>
                <w:color w:val="auto"/>
              </w:rPr>
            </w:pPr>
            <w:r>
              <w:rPr>
                <w:rFonts w:ascii="Arial" w:cs="Arial" w:eastAsia="Arial" w:hAnsi="Arial"/>
                <w:sz w:val="16"/>
                <w:szCs w:val="16"/>
                <w:color w:val="auto"/>
              </w:rPr>
              <w:t>%%CITY%-%, %%STATE%-% %%ZIPCODE%-%</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5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5020" w:type="dxa"/>
            <w:vAlign w:val="bottom"/>
          </w:tcPr>
          <w:p>
            <w:pPr>
              <w:ind w:left="1120"/>
              <w:spacing w:after="0"/>
              <w:rPr>
                <w:sz w:val="20"/>
                <w:szCs w:val="20"/>
                <w:color w:val="auto"/>
              </w:rPr>
            </w:pPr>
            <w:r>
              <w:rPr>
                <w:rFonts w:ascii="Arial" w:cs="Arial" w:eastAsia="Arial" w:hAnsi="Arial"/>
                <w:sz w:val="16"/>
                <w:szCs w:val="16"/>
                <w:color w:val="auto"/>
              </w:rPr>
              <w:t>%%COUNTRY%-%</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Number of Shares:</w:t>
            </w:r>
          </w:p>
        </w:tc>
        <w:tc>
          <w:tcPr>
            <w:tcW w:w="5020" w:type="dxa"/>
            <w:vAlign w:val="bottom"/>
          </w:tcPr>
          <w:p>
            <w:pPr>
              <w:ind w:left="1120"/>
              <w:spacing w:after="0"/>
              <w:rPr>
                <w:sz w:val="20"/>
                <w:szCs w:val="20"/>
                <w:color w:val="auto"/>
              </w:rPr>
            </w:pPr>
            <w:r>
              <w:rPr>
                <w:rFonts w:ascii="Arial" w:cs="Arial" w:eastAsia="Arial" w:hAnsi="Arial"/>
                <w:sz w:val="16"/>
                <w:szCs w:val="16"/>
                <w:color w:val="auto"/>
              </w:rPr>
              <w:t>%%TOTAL_SHARES_GRANTED,'999,999,999'%-%</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Option Exercise Price:</w:t>
            </w:r>
          </w:p>
        </w:tc>
        <w:tc>
          <w:tcPr>
            <w:tcW w:w="5020" w:type="dxa"/>
            <w:vAlign w:val="bottom"/>
          </w:tcPr>
          <w:p>
            <w:pPr>
              <w:ind w:left="1120"/>
              <w:spacing w:after="0"/>
              <w:rPr>
                <w:sz w:val="20"/>
                <w:szCs w:val="20"/>
                <w:color w:val="auto"/>
              </w:rPr>
            </w:pPr>
            <w:r>
              <w:rPr>
                <w:rFonts w:ascii="Arial" w:cs="Arial" w:eastAsia="Arial" w:hAnsi="Arial"/>
                <w:sz w:val="16"/>
                <w:szCs w:val="16"/>
                <w:color w:val="auto"/>
              </w:rPr>
              <w:t>%%OPTION_PRICE%-%</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Date of Grant:</w:t>
            </w:r>
          </w:p>
        </w:tc>
        <w:tc>
          <w:tcPr>
            <w:tcW w:w="5020" w:type="dxa"/>
            <w:vAlign w:val="bottom"/>
          </w:tcPr>
          <w:p>
            <w:pPr>
              <w:ind w:left="1120"/>
              <w:spacing w:after="0"/>
              <w:rPr>
                <w:sz w:val="20"/>
                <w:szCs w:val="20"/>
                <w:color w:val="auto"/>
              </w:rPr>
            </w:pPr>
            <w:r>
              <w:rPr>
                <w:rFonts w:ascii="Arial" w:cs="Arial" w:eastAsia="Arial" w:hAnsi="Arial"/>
                <w:sz w:val="16"/>
                <w:szCs w:val="16"/>
                <w:color w:val="auto"/>
              </w:rPr>
              <w:t>%%OPTION_DATE,'Month DD, YYYY'%-%</w:t>
            </w:r>
          </w:p>
        </w:tc>
        <w:tc>
          <w:tcPr>
            <w:tcW w:w="0" w:type="dxa"/>
            <w:vAlign w:val="bottom"/>
          </w:tcPr>
          <w:p>
            <w:pPr>
              <w:spacing w:after="0"/>
              <w:rPr>
                <w:sz w:val="1"/>
                <w:szCs w:val="1"/>
                <w:color w:val="auto"/>
              </w:rPr>
            </w:pPr>
          </w:p>
        </w:tc>
      </w:tr>
      <w:tr>
        <w:trPr>
          <w:trHeight w:val="338"/>
        </w:trPr>
        <w:tc>
          <w:tcPr>
            <w:tcW w:w="2800" w:type="dxa"/>
            <w:vAlign w:val="bottom"/>
          </w:tcPr>
          <w:p>
            <w:pPr>
              <w:spacing w:after="0"/>
              <w:rPr>
                <w:sz w:val="20"/>
                <w:szCs w:val="20"/>
                <w:color w:val="auto"/>
              </w:rPr>
            </w:pPr>
            <w:r>
              <w:rPr>
                <w:rFonts w:ascii="Arial" w:cs="Arial" w:eastAsia="Arial" w:hAnsi="Arial"/>
                <w:sz w:val="16"/>
                <w:szCs w:val="16"/>
                <w:color w:val="auto"/>
              </w:rPr>
              <w:t>Option Expiration Date:</w:t>
            </w:r>
          </w:p>
        </w:tc>
        <w:tc>
          <w:tcPr>
            <w:tcW w:w="5020" w:type="dxa"/>
            <w:vAlign w:val="bottom"/>
          </w:tcPr>
          <w:p>
            <w:pPr>
              <w:ind w:left="1120"/>
              <w:spacing w:after="0"/>
              <w:rPr>
                <w:sz w:val="20"/>
                <w:szCs w:val="20"/>
                <w:color w:val="auto"/>
              </w:rPr>
            </w:pPr>
            <w:r>
              <w:rPr>
                <w:rFonts w:ascii="Arial" w:cs="Arial" w:eastAsia="Arial" w:hAnsi="Arial"/>
                <w:sz w:val="16"/>
                <w:szCs w:val="16"/>
                <w:color w:val="auto"/>
              </w:rPr>
              <w:t>%%EXPIRE_DATE_PERIOD1,'Month DD, YYYY'%-%</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Exercise Schedule: The Option shall become exercisable (“vest”) as follows:</w:t>
      </w:r>
    </w:p>
    <w:p>
      <w:pPr>
        <w:sectPr>
          <w:pgSz w:w="11900" w:h="16838" w:orient="portrait"/>
          <w:cols w:equalWidth="0" w:num="1">
            <w:col w:w="10060"/>
          </w:cols>
          <w:pgMar w:left="920" w:top="122" w:right="91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4D4F53"/>
        </w:rPr>
        <w:t>%%SHARES_PERIOD1%-%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4D4F53"/>
        </w:rPr>
        <w:t>%%VEST_TYPE_PERIOD1%-%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4D4F53"/>
        </w:rPr>
        <w:t>%%VEST_DATE_PERIOD1,'Month DD, YYYY'%-%</w:t>
      </w:r>
    </w:p>
    <w:p>
      <w:pPr>
        <w:spacing w:after="0" w:line="169" w:lineRule="exact"/>
        <w:rPr>
          <w:sz w:val="20"/>
          <w:szCs w:val="20"/>
          <w:color w:val="auto"/>
        </w:rPr>
      </w:pPr>
    </w:p>
    <w:p>
      <w:pPr>
        <w:sectPr>
          <w:pgSz w:w="11900" w:h="16838" w:orient="portrait"/>
          <w:cols w:equalWidth="0" w:num="3">
            <w:col w:w="2640" w:space="720"/>
            <w:col w:w="2620" w:space="720"/>
            <w:col w:w="3360"/>
          </w:cols>
          <w:pgMar w:left="920" w:top="122" w:right="919" w:bottom="1440" w:gutter="0" w:footer="0" w:header="0"/>
          <w:type w:val="continuous"/>
        </w:sectPr>
      </w:pPr>
    </w:p>
    <w:p>
      <w:pPr>
        <w:spacing w:after="0"/>
        <w:rPr>
          <w:sz w:val="20"/>
          <w:szCs w:val="20"/>
          <w:color w:val="auto"/>
        </w:rPr>
      </w:pPr>
      <w:r>
        <w:rPr>
          <w:rFonts w:ascii="Arial" w:cs="Arial" w:eastAsia="Arial" w:hAnsi="Arial"/>
          <w:sz w:val="16"/>
          <w:szCs w:val="16"/>
          <w:color w:val="auto"/>
        </w:rPr>
        <w:t>%%SHARES_PERIOD2%-%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%%VEST_TYPE_PERIOD2%-%</w:t>
      </w:r>
    </w:p>
    <w:p>
      <w:pPr>
        <w:spacing w:after="0" w:line="20" w:lineRule="exact"/>
        <w:rPr>
          <w:sz w:val="20"/>
          <w:szCs w:val="20"/>
          <w:color w:val="auto"/>
        </w:rPr>
      </w:pPr>
      <w:r>
        <w:rPr>
          <w:sz w:val="20"/>
          <w:szCs w:val="20"/>
          <w:color w:val="auto"/>
        </w:rPr>
        <w:br w:type="column"/>
      </w:r>
    </w:p>
    <w:p>
      <w:pPr>
        <w:ind w:right="480"/>
        <w:spacing w:after="0" w:line="260" w:lineRule="auto"/>
        <w:rPr>
          <w:sz w:val="20"/>
          <w:szCs w:val="20"/>
          <w:color w:val="auto"/>
        </w:rPr>
      </w:pPr>
      <w:r>
        <w:rPr>
          <w:rFonts w:ascii="Arial" w:cs="Arial" w:eastAsia="Arial" w:hAnsi="Arial"/>
          <w:sz w:val="16"/>
          <w:szCs w:val="16"/>
          <w:color w:val="auto"/>
        </w:rPr>
        <w:t>%%VEST_DATE_PERIOD2,'Month DD, YYYY'%-%</w:t>
      </w:r>
    </w:p>
    <w:p>
      <w:pPr>
        <w:spacing w:after="0" w:line="200" w:lineRule="exact"/>
        <w:rPr>
          <w:sz w:val="20"/>
          <w:szCs w:val="20"/>
          <w:color w:val="auto"/>
        </w:rPr>
      </w:pPr>
    </w:p>
    <w:p>
      <w:pPr>
        <w:sectPr>
          <w:pgSz w:w="11900" w:h="16838" w:orient="portrait"/>
          <w:cols w:equalWidth="0" w:num="3">
            <w:col w:w="2640" w:space="720"/>
            <w:col w:w="2620" w:space="720"/>
            <w:col w:w="3360"/>
          </w:cols>
          <w:pgMar w:left="920" w:top="122" w:right="9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Company has granted to Optionee the Option as of the Date of Grant set forth above.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OPTIONEE</w:t>
      </w:r>
    </w:p>
    <w:p>
      <w:pPr>
        <w:spacing w:after="0" w:line="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IOVANCE BIOTHERAPEUTICS, INC.</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%%FIRST_NAME%-% %%LAST_NAME%-%</w:t>
      </w:r>
    </w:p>
    <w:p>
      <w:pPr>
        <w:spacing w:after="0" w:line="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By Timothy E. Morris</w:t>
      </w:r>
    </w:p>
    <w:p>
      <w:pPr>
        <w:spacing w:after="0" w:line="19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499110</wp:posOffset>
            </wp:positionV>
            <wp:extent cx="6388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type w:val="continuous"/>
        </w:sectPr>
      </w:pPr>
    </w:p>
    <w:bookmarkStart w:id="154" w:name="page155"/>
    <w:bookmarkEnd w:id="154"/>
    <w:p>
      <w:pPr>
        <w:ind w:left="3881"/>
        <w:spacing w:after="0"/>
        <w:rPr>
          <w:sz w:val="20"/>
          <w:szCs w:val="20"/>
          <w:color w:val="auto"/>
        </w:rPr>
      </w:pPr>
      <w:r>
        <w:rPr>
          <w:rFonts w:ascii="Arial" w:cs="Arial" w:eastAsia="Arial" w:hAnsi="Arial"/>
          <w:sz w:val="16"/>
          <w:szCs w:val="16"/>
          <w:b w:val="1"/>
          <w:bCs w:val="1"/>
          <w:color w:val="auto"/>
        </w:rPr>
        <w:t>STOCK OPTION AGREEMENT</w:t>
      </w:r>
    </w:p>
    <w:p>
      <w:pPr>
        <w:spacing w:after="0" w:line="25" w:lineRule="exact"/>
        <w:rPr>
          <w:sz w:val="20"/>
          <w:szCs w:val="20"/>
          <w:color w:val="auto"/>
        </w:rPr>
      </w:pPr>
    </w:p>
    <w:p>
      <w:pPr>
        <w:ind w:left="3921"/>
        <w:spacing w:after="0"/>
        <w:rPr>
          <w:sz w:val="20"/>
          <w:szCs w:val="20"/>
          <w:color w:val="auto"/>
        </w:rPr>
      </w:pPr>
      <w:r>
        <w:rPr>
          <w:rFonts w:ascii="Arial" w:cs="Arial" w:eastAsia="Arial" w:hAnsi="Arial"/>
          <w:sz w:val="16"/>
          <w:szCs w:val="16"/>
          <w:b w:val="1"/>
          <w:bCs w:val="1"/>
          <w:color w:val="auto"/>
        </w:rPr>
        <w:t>(Non-Qualified Stock Option)</w:t>
      </w:r>
    </w:p>
    <w:p>
      <w:pPr>
        <w:spacing w:after="0" w:line="221" w:lineRule="exact"/>
        <w:rPr>
          <w:sz w:val="20"/>
          <w:szCs w:val="20"/>
          <w:color w:val="auto"/>
        </w:rPr>
      </w:pPr>
    </w:p>
    <w:p>
      <w:pPr>
        <w:ind w:left="1"/>
        <w:spacing w:after="0" w:line="253" w:lineRule="auto"/>
        <w:rPr>
          <w:sz w:val="20"/>
          <w:szCs w:val="20"/>
          <w:color w:val="auto"/>
        </w:rPr>
      </w:pPr>
      <w:r>
        <w:rPr>
          <w:rFonts w:ascii="Arial" w:cs="Arial" w:eastAsia="Arial" w:hAnsi="Arial"/>
          <w:sz w:val="16"/>
          <w:szCs w:val="16"/>
          <w:color w:val="auto"/>
        </w:rPr>
        <w:t>This STOCK OPTION AGREEMENT (this “Agreement”) is made and entered into as of the Date of Grant set forth in the Option Certificate to which this Agreement is attached (the “Certificate”) by and between Iovance Biotherapeutics, Inc., a Delaware corporation (the “Company”) on behalf of itself and its Affiliates, and the optionee (the “Optionee”) named in the Certificate.</w:t>
      </w:r>
    </w:p>
    <w:p>
      <w:pPr>
        <w:spacing w:after="0" w:line="201"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 xml:space="preserve">Pursuant to the 2014 Equity Incentive Plan of the Company (the “Plan”), the Administrator has determined that Optionee is to be granted, on the terms and conditions set forth in this Agreement and in the Plan, an option to purchase shares of the Company’s common stock (the “Common Stock”). It is intended that the option </w:t>
      </w:r>
      <w:r>
        <w:rPr>
          <w:rFonts w:ascii="Arial" w:cs="Arial" w:eastAsia="Arial" w:hAnsi="Arial"/>
          <w:sz w:val="16"/>
          <w:szCs w:val="16"/>
          <w:b w:val="1"/>
          <w:bCs w:val="1"/>
          <w:u w:val="single" w:color="auto"/>
          <w:color w:val="auto"/>
        </w:rPr>
        <w:t>not</w:t>
      </w:r>
      <w:r>
        <w:rPr>
          <w:rFonts w:ascii="Arial" w:cs="Arial" w:eastAsia="Arial" w:hAnsi="Arial"/>
          <w:sz w:val="16"/>
          <w:szCs w:val="16"/>
          <w:color w:val="auto"/>
        </w:rPr>
        <w:t xml:space="preserve"> qualify as an “incentive stock option” within the meaning of Section 422 of the Internal Revenue Code of 1986, as amended from time to time (the “Code”). Capitalized terms not otherwise defined in this Agreement shall have the meanings ascribed to them in the Plan.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Company and Optionee agree as follows:</w:t>
      </w:r>
    </w:p>
    <w:p>
      <w:pPr>
        <w:spacing w:after="0" w:line="221" w:lineRule="exact"/>
        <w:rPr>
          <w:sz w:val="20"/>
          <w:szCs w:val="20"/>
          <w:color w:val="auto"/>
        </w:rPr>
      </w:pPr>
    </w:p>
    <w:p>
      <w:pPr>
        <w:ind w:left="1" w:right="220" w:hanging="1"/>
        <w:spacing w:after="0" w:line="253" w:lineRule="auto"/>
        <w:tabs>
          <w:tab w:leader="none" w:pos="226" w:val="left"/>
        </w:tabs>
        <w:numPr>
          <w:ilvl w:val="0"/>
          <w:numId w:val="53"/>
        </w:numPr>
        <w:rPr>
          <w:rFonts w:ascii="Arial" w:cs="Arial" w:eastAsia="Arial" w:hAnsi="Arial"/>
          <w:sz w:val="16"/>
          <w:szCs w:val="16"/>
          <w:color w:val="auto"/>
        </w:rPr>
      </w:pPr>
      <w:r>
        <w:rPr>
          <w:rFonts w:ascii="Arial" w:cs="Arial" w:eastAsia="Arial" w:hAnsi="Arial"/>
          <w:sz w:val="16"/>
          <w:szCs w:val="16"/>
          <w:color w:val="auto"/>
        </w:rPr>
        <w:t>Grant of Option. The Company hereby grants to Optionee, upon the terms and subject to the conditions set forth in this Agreement, an Option (the “Option”) to purchase all or any portion of that number of shares of Common Stock set forth in the Certificate (the “Option Shares”), at the exercise price set forth in the Certificate (the “Exercise Price”).</w:t>
      </w:r>
    </w:p>
    <w:p>
      <w:pPr>
        <w:spacing w:after="0" w:line="201" w:lineRule="exact"/>
        <w:rPr>
          <w:rFonts w:ascii="Arial" w:cs="Arial" w:eastAsia="Arial" w:hAnsi="Arial"/>
          <w:sz w:val="16"/>
          <w:szCs w:val="16"/>
          <w:color w:val="auto"/>
        </w:rPr>
      </w:pPr>
    </w:p>
    <w:p>
      <w:pPr>
        <w:ind w:left="221" w:hanging="221"/>
        <w:spacing w:after="0"/>
        <w:tabs>
          <w:tab w:leader="none" w:pos="221" w:val="left"/>
        </w:tabs>
        <w:numPr>
          <w:ilvl w:val="0"/>
          <w:numId w:val="53"/>
        </w:numPr>
        <w:rPr>
          <w:rFonts w:ascii="Arial" w:cs="Arial" w:eastAsia="Arial" w:hAnsi="Arial"/>
          <w:sz w:val="16"/>
          <w:szCs w:val="16"/>
          <w:color w:val="auto"/>
        </w:rPr>
      </w:pPr>
      <w:r>
        <w:rPr>
          <w:rFonts w:ascii="Arial" w:cs="Arial" w:eastAsia="Arial" w:hAnsi="Arial"/>
          <w:sz w:val="16"/>
          <w:szCs w:val="16"/>
          <w:color w:val="auto"/>
        </w:rPr>
        <w:t>Vesting.</w:t>
      </w:r>
    </w:p>
    <w:p>
      <w:pPr>
        <w:spacing w:after="0" w:line="221" w:lineRule="exact"/>
        <w:rPr>
          <w:sz w:val="20"/>
          <w:szCs w:val="20"/>
          <w:color w:val="auto"/>
        </w:rPr>
      </w:pPr>
    </w:p>
    <w:p>
      <w:pPr>
        <w:ind w:left="1" w:right="200"/>
        <w:spacing w:after="0" w:line="253" w:lineRule="auto"/>
        <w:rPr>
          <w:sz w:val="20"/>
          <w:szCs w:val="20"/>
          <w:color w:val="auto"/>
        </w:rPr>
      </w:pPr>
      <w:r>
        <w:rPr>
          <w:rFonts w:ascii="Arial" w:cs="Arial" w:eastAsia="Arial" w:hAnsi="Arial"/>
          <w:sz w:val="16"/>
          <w:szCs w:val="16"/>
          <w:color w:val="auto"/>
        </w:rPr>
        <w:t>2.1. The Option shall “vest” and become exercisable in installments upon and after the dates set forth under the caption “Exercise Schedule” in the Certificate. The installments shall be cumulative; i.e., the Option may be exercised, as to any or all Shares covered by an installment, at any time or times after the installment first becomes exercisable and until expiration or termination of the Option.</w:t>
      </w:r>
    </w:p>
    <w:p>
      <w:pPr>
        <w:spacing w:after="0" w:line="20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No vesting shall occur after the Employment Termination Date (as defined in Section 4.2 of this Agreement).</w:t>
      </w:r>
    </w:p>
    <w:p>
      <w:pPr>
        <w:spacing w:after="0" w:line="221" w:lineRule="exact"/>
        <w:rPr>
          <w:sz w:val="20"/>
          <w:szCs w:val="20"/>
          <w:color w:val="auto"/>
        </w:rPr>
      </w:pPr>
    </w:p>
    <w:p>
      <w:pPr>
        <w:ind w:left="1" w:right="80"/>
        <w:spacing w:after="0" w:line="253" w:lineRule="auto"/>
        <w:rPr>
          <w:sz w:val="20"/>
          <w:szCs w:val="20"/>
          <w:color w:val="auto"/>
        </w:rPr>
      </w:pPr>
      <w:r>
        <w:rPr>
          <w:rFonts w:ascii="Arial" w:cs="Arial" w:eastAsia="Arial" w:hAnsi="Arial"/>
          <w:sz w:val="16"/>
          <w:szCs w:val="16"/>
          <w:color w:val="auto"/>
        </w:rPr>
        <w:t>2.3. Notwithstanding anything to the contrary contained in this Option Agreement, the Option may not be exercised, in whole or in part, unless and until any then-applicable requirements of all state and federal laws and regulatory agencies shall have been fully complied with to the satisfaction of the Company and its counsel.</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6"/>
          <w:szCs w:val="16"/>
          <w:color w:val="auto"/>
        </w:rPr>
        <w:t>3. Exercise of the Option.</w:t>
      </w:r>
    </w:p>
    <w:p>
      <w:pPr>
        <w:spacing w:after="0" w:line="22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The Option may be exercised, in whole or in part, only by delivery to the Company of:</w:t>
      </w:r>
    </w:p>
    <w:p>
      <w:pPr>
        <w:spacing w:after="0" w:line="221" w:lineRule="exact"/>
        <w:rPr>
          <w:sz w:val="20"/>
          <w:szCs w:val="20"/>
          <w:color w:val="auto"/>
        </w:rPr>
      </w:pPr>
    </w:p>
    <w:p>
      <w:pPr>
        <w:ind w:left="1" w:right="20"/>
        <w:spacing w:after="0" w:line="260" w:lineRule="auto"/>
        <w:rPr>
          <w:sz w:val="20"/>
          <w:szCs w:val="20"/>
          <w:color w:val="auto"/>
        </w:rPr>
      </w:pPr>
      <w:r>
        <w:rPr>
          <w:rFonts w:ascii="Arial" w:cs="Arial" w:eastAsia="Arial" w:hAnsi="Arial"/>
          <w:sz w:val="16"/>
          <w:szCs w:val="16"/>
          <w:color w:val="auto"/>
        </w:rPr>
        <w:t>3.1.1. notice, provided electronically or as the Company may otherwise specify, of the exercise of the Option stating the number of Option Shares being purchased (the “Purchased Shares”); and</w:t>
      </w:r>
    </w:p>
    <w:p>
      <w:pPr>
        <w:spacing w:after="0" w:line="196" w:lineRule="exact"/>
        <w:rPr>
          <w:sz w:val="20"/>
          <w:szCs w:val="20"/>
          <w:color w:val="auto"/>
        </w:rPr>
      </w:pPr>
    </w:p>
    <w:p>
      <w:pPr>
        <w:ind w:left="1" w:right="260"/>
        <w:spacing w:after="0" w:line="260" w:lineRule="auto"/>
        <w:rPr>
          <w:sz w:val="20"/>
          <w:szCs w:val="20"/>
          <w:color w:val="auto"/>
        </w:rPr>
      </w:pPr>
      <w:r>
        <w:rPr>
          <w:rFonts w:ascii="Arial" w:cs="Arial" w:eastAsia="Arial" w:hAnsi="Arial"/>
          <w:sz w:val="16"/>
          <w:szCs w:val="16"/>
          <w:color w:val="auto"/>
        </w:rPr>
        <w:t>3.1.2. payment of the Exercise Price (i) in cash or cash equivalent; or (ii) with the prior approval of the Administrator, by delivery to the Company of such other consideration (such as a note or shares of Common Stock) acceptable to the Administrator.</w:t>
      </w:r>
    </w:p>
    <w:p>
      <w:pPr>
        <w:spacing w:after="0" w:line="196" w:lineRule="exact"/>
        <w:rPr>
          <w:sz w:val="20"/>
          <w:szCs w:val="20"/>
          <w:color w:val="auto"/>
        </w:rPr>
      </w:pPr>
    </w:p>
    <w:p>
      <w:pPr>
        <w:ind w:left="1" w:right="20"/>
        <w:spacing w:after="0" w:line="250" w:lineRule="auto"/>
        <w:rPr>
          <w:sz w:val="20"/>
          <w:szCs w:val="20"/>
          <w:color w:val="auto"/>
        </w:rPr>
      </w:pPr>
      <w:r>
        <w:rPr>
          <w:rFonts w:ascii="Arial" w:cs="Arial" w:eastAsia="Arial" w:hAnsi="Arial"/>
          <w:sz w:val="16"/>
          <w:szCs w:val="16"/>
          <w:color w:val="auto"/>
        </w:rPr>
        <w:t>3.2. Following receipt of the exercise notice, any other applicable documents and the payment referred to above, the Company shall, within 30 days, cause certificates (which may be in book-entry form) representing the Purchased Shares to be issued and delivered to Optionee (including through electronic delivery to a brokerage account); provided; however, that the Company shall not be obligated to issue a fraction or fractions of a share otherwise issuable upon exercise of the Option, and may pay to Optionee, in cash or cash equivalent, the fair market value of any such fraction or fractions of a share as of the date of exercise.</w:t>
      </w:r>
    </w:p>
    <w:p>
      <w:pPr>
        <w:spacing w:after="0" w:line="203" w:lineRule="exact"/>
        <w:rPr>
          <w:sz w:val="20"/>
          <w:szCs w:val="20"/>
          <w:color w:val="auto"/>
        </w:rPr>
      </w:pPr>
    </w:p>
    <w:p>
      <w:pPr>
        <w:ind w:left="1" w:right="60"/>
        <w:spacing w:after="0" w:line="250" w:lineRule="auto"/>
        <w:rPr>
          <w:sz w:val="20"/>
          <w:szCs w:val="20"/>
          <w:color w:val="auto"/>
        </w:rPr>
      </w:pPr>
      <w:r>
        <w:rPr>
          <w:rFonts w:ascii="Arial" w:cs="Arial" w:eastAsia="Arial" w:hAnsi="Arial"/>
          <w:sz w:val="16"/>
          <w:szCs w:val="16"/>
          <w:color w:val="auto"/>
        </w:rPr>
        <w:t>3.3. If requested by the Administrator, Optionee shall also deliver this Agreement to the Secretary of the Company, who shall endorse hereon a notation of the exercise and return this Agreement to Optionee. The date of exercise of an Option that is validly exercised shall be deemed to be the date on which there shall have been delivered to the Administrator the notice referred to in this Section 3. Optionee shall not be deemed to be a holder of any Option Shares pursuant to exercise of the Option until the date of issuance of the Purchased Shares to him or her for such shares following payment in full for the Option Shares purchased.</w:t>
      </w:r>
    </w:p>
    <w:p>
      <w:pPr>
        <w:spacing w:after="0" w:line="203" w:lineRule="exact"/>
        <w:rPr>
          <w:sz w:val="20"/>
          <w:szCs w:val="20"/>
          <w:color w:val="auto"/>
        </w:rPr>
      </w:pPr>
    </w:p>
    <w:p>
      <w:pPr>
        <w:ind w:left="1" w:right="60"/>
        <w:spacing w:after="0" w:line="251" w:lineRule="auto"/>
        <w:rPr>
          <w:sz w:val="20"/>
          <w:szCs w:val="20"/>
          <w:color w:val="auto"/>
        </w:rPr>
      </w:pPr>
      <w:r>
        <w:rPr>
          <w:rFonts w:ascii="Arial" w:cs="Arial" w:eastAsia="Arial" w:hAnsi="Arial"/>
          <w:sz w:val="16"/>
          <w:szCs w:val="16"/>
          <w:color w:val="auto"/>
        </w:rPr>
        <w:t>3.4. If approved by the Company, the Optionee may exercise the Option by means of a broker assisted sale of the Option Shares by delivery of irrevocable directions to a Company approved securities broker (on a form prescribed by the Company) to sell the Option Shares and to deliver all or part of the sale proceeds to the Company in payment of the Exercise Price and/or tax withholding obligations or other required deductions. In the event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2" w:right="919" w:bottom="1440" w:gutter="0" w:footer="0" w:header="0"/>
        </w:sectPr>
      </w:pPr>
    </w:p>
    <w:bookmarkStart w:id="155" w:name="page156"/>
    <w:bookmarkEnd w:id="155"/>
    <w:p>
      <w:pPr>
        <w:ind w:left="1" w:right="360"/>
        <w:spacing w:after="0" w:line="260" w:lineRule="auto"/>
        <w:rPr>
          <w:sz w:val="20"/>
          <w:szCs w:val="20"/>
          <w:color w:val="auto"/>
        </w:rPr>
      </w:pPr>
      <w:r>
        <w:rPr>
          <w:rFonts w:ascii="Arial" w:cs="Arial" w:eastAsia="Arial" w:hAnsi="Arial"/>
          <w:sz w:val="16"/>
          <w:szCs w:val="16"/>
          <w:color w:val="auto"/>
        </w:rPr>
        <w:t>broker-assisted sale of Option Shares, Optionee will be responsible for all broker’s fees and other costs of sale, and Optionee agrees to indemnify and hold the Company harmless from any losses, costs, damages, or expenses relating to any such sale.</w:t>
      </w:r>
    </w:p>
    <w:p>
      <w:pPr>
        <w:spacing w:after="0" w:line="196" w:lineRule="exact"/>
        <w:rPr>
          <w:sz w:val="20"/>
          <w:szCs w:val="20"/>
          <w:color w:val="auto"/>
        </w:rPr>
      </w:pPr>
    </w:p>
    <w:p>
      <w:pPr>
        <w:ind w:left="1" w:right="120"/>
        <w:spacing w:after="0" w:line="251" w:lineRule="auto"/>
        <w:rPr>
          <w:sz w:val="20"/>
          <w:szCs w:val="20"/>
          <w:color w:val="auto"/>
        </w:rPr>
      </w:pPr>
      <w:r>
        <w:rPr>
          <w:rFonts w:ascii="Arial" w:cs="Arial" w:eastAsia="Arial" w:hAnsi="Arial"/>
          <w:sz w:val="16"/>
          <w:szCs w:val="16"/>
          <w:color w:val="auto"/>
        </w:rPr>
        <w:t>3.5. As a condition to exercise of this Option, the Company may require Optionee to pay over to the Company all applicable federal, state and local taxes which the Company is required to withhold with respect to the exercise of this Option. At the discretion of the Administrator and upon the request of Optionee, the minimum statutory withholding tax requirements may be satisfied by the withholding of Shares otherwise issuable to Optionee upon the exercise of this Option.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4. Termination of Option.</w:t>
      </w:r>
    </w:p>
    <w:p>
      <w:pPr>
        <w:spacing w:after="0" w:line="221"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Option shall terminate and expire upon the earliest to occur of: (i) the Option Expiration Date set forth in the Option Certificate;</w:t>
      </w:r>
    </w:p>
    <w:p>
      <w:pPr>
        <w:spacing w:after="0" w:line="5" w:lineRule="exact"/>
        <w:rPr>
          <w:sz w:val="20"/>
          <w:szCs w:val="20"/>
          <w:color w:val="auto"/>
        </w:rPr>
      </w:pPr>
    </w:p>
    <w:p>
      <w:pPr>
        <w:ind w:left="1" w:hanging="1"/>
        <w:spacing w:after="0" w:line="260" w:lineRule="auto"/>
        <w:tabs>
          <w:tab w:leader="none" w:pos="22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Termination Date; and (iii) a Corporate Transaction unless otherwise specified (x) in a Superseding Agreement or Resolution (each as defined hereinafter), or (y) by the Administrator.</w:t>
      </w:r>
    </w:p>
    <w:p>
      <w:pPr>
        <w:spacing w:after="0" w:line="196" w:lineRule="exact"/>
        <w:rPr>
          <w:sz w:val="20"/>
          <w:szCs w:val="20"/>
          <w:color w:val="auto"/>
        </w:rPr>
      </w:pPr>
    </w:p>
    <w:p>
      <w:pPr>
        <w:ind w:left="1"/>
        <w:spacing w:after="0"/>
        <w:tabs>
          <w:tab w:leader="none" w:pos="6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For purposes of this Agreement:</w:t>
      </w:r>
    </w:p>
    <w:p>
      <w:pPr>
        <w:spacing w:after="0" w:line="221" w:lineRule="exact"/>
        <w:rPr>
          <w:sz w:val="20"/>
          <w:szCs w:val="20"/>
          <w:color w:val="auto"/>
        </w:rPr>
      </w:pPr>
    </w:p>
    <w:p>
      <w:pPr>
        <w:ind w:left="1" w:right="80"/>
        <w:spacing w:after="0" w:line="248" w:lineRule="auto"/>
        <w:rPr>
          <w:sz w:val="20"/>
          <w:szCs w:val="20"/>
          <w:color w:val="auto"/>
        </w:rPr>
      </w:pPr>
      <w:r>
        <w:rPr>
          <w:rFonts w:ascii="Arial" w:cs="Arial" w:eastAsia="Arial" w:hAnsi="Arial"/>
          <w:sz w:val="16"/>
          <w:szCs w:val="16"/>
          <w:color w:val="auto"/>
        </w:rPr>
        <w:t>4.2.1. “Employment Termination Date” shall mean the first day Optionee is not a director, employee or consultant to the Company and its Affiliates. As long as Optionee is at least one of employee, director or consultant, the Employment Termination Date shall not be deemed to have occurred. For example, if Optionee is an employee and a director, the termination of employment as an employee while remaining a director shall not establish an Employment Termination Date (which would only be established if and when Optionee ceases to be a director). Optionee’s employment shall not be deemed to terminate by reason of a transfer to or from the Company or an Affiliate or among such entities, or sick leave, military leave or other leave of absence approved by the Administrator, if the period of any such leave does not exceed 90 days or, if longer, if Optionee’s right to reemployment by the Company or any Affiliate is guaranteed either contractually or by statute.</w:t>
      </w:r>
    </w:p>
    <w:p>
      <w:pPr>
        <w:spacing w:after="0" w:line="398" w:lineRule="exact"/>
        <w:rPr>
          <w:sz w:val="20"/>
          <w:szCs w:val="20"/>
          <w:color w:val="auto"/>
        </w:rPr>
      </w:pPr>
    </w:p>
    <w:p>
      <w:pPr>
        <w:ind w:left="1" w:right="100"/>
        <w:spacing w:after="0" w:line="250" w:lineRule="auto"/>
        <w:rPr>
          <w:sz w:val="20"/>
          <w:szCs w:val="20"/>
          <w:color w:val="auto"/>
        </w:rPr>
      </w:pPr>
      <w:r>
        <w:rPr>
          <w:rFonts w:ascii="Arial" w:cs="Arial" w:eastAsia="Arial" w:hAnsi="Arial"/>
          <w:sz w:val="16"/>
          <w:szCs w:val="16"/>
          <w:color w:val="auto"/>
        </w:rPr>
        <w:t>4.2.2. “Termination Date” shall be: (a) the date 90 days following the Employment Termination Date unless Optionee’s employment is terminated For Cause or as a result of the death, disability, or Retirement (as defined hereinafter) of Optionee; (b) upon the Employment Termination Date if Optionee’s employment is terminated For Cause; (c) the date one year following the Employment Termination Date as a result of the death, disability, or Retirement of Optionee; or (d) in the case of an Optionee that received the Option as a director, the date which is the earlier of the Option Expiration Date and the date that is two years after the date of such termination.</w:t>
      </w:r>
    </w:p>
    <w:p>
      <w:pPr>
        <w:spacing w:after="0" w:line="203" w:lineRule="exact"/>
        <w:rPr>
          <w:sz w:val="20"/>
          <w:szCs w:val="20"/>
          <w:color w:val="auto"/>
        </w:rPr>
      </w:pPr>
    </w:p>
    <w:p>
      <w:pPr>
        <w:ind w:left="1" w:right="140"/>
        <w:spacing w:after="0" w:line="250" w:lineRule="auto"/>
        <w:rPr>
          <w:sz w:val="20"/>
          <w:szCs w:val="20"/>
          <w:color w:val="auto"/>
        </w:rPr>
      </w:pPr>
      <w:r>
        <w:rPr>
          <w:rFonts w:ascii="Arial" w:cs="Arial" w:eastAsia="Arial" w:hAnsi="Arial"/>
          <w:sz w:val="16"/>
          <w:szCs w:val="16"/>
          <w:color w:val="auto"/>
        </w:rPr>
        <w:t>4.2.3. “For Cause” shall mean Optionee’s loss of employment by the Company or any of its Affiliates due to Optionee’s (a) willful breach or habitual neglect or continued incapacity to perform Optionee’s required duties, (b) commission of acts of dishonesty, fraud, misrepresentation or other acts of moral turpitude in connection with Optionee’s services to the Company or its Affiliates or which in the determination of the Administrator would prevent the effective performance of Optionee’s duties or (c) termination For Cause under any employment agreement between the Company and Optionee (as for cause is defined therein).</w:t>
      </w:r>
    </w:p>
    <w:p>
      <w:pPr>
        <w:spacing w:after="0" w:line="203" w:lineRule="exact"/>
        <w:rPr>
          <w:sz w:val="20"/>
          <w:szCs w:val="20"/>
          <w:color w:val="auto"/>
        </w:rPr>
      </w:pPr>
    </w:p>
    <w:p>
      <w:pPr>
        <w:ind w:left="1"/>
        <w:spacing w:after="0" w:line="248" w:lineRule="auto"/>
        <w:rPr>
          <w:sz w:val="20"/>
          <w:szCs w:val="20"/>
          <w:color w:val="auto"/>
        </w:rPr>
      </w:pPr>
      <w:r>
        <w:rPr>
          <w:rFonts w:ascii="Arial" w:cs="Arial" w:eastAsia="Arial" w:hAnsi="Arial"/>
          <w:sz w:val="16"/>
          <w:szCs w:val="16"/>
          <w:color w:val="auto"/>
        </w:rPr>
        <w:t>4.2.4. “Retirement” shall mean, unless otherwise defined in a Superseding Agreement or in a Resolution, the termination of an Optionee’s employment with the Company or its Affiliates after the Optionee has attained the age of 55 years and the Optionee has stated at the time of resignation, in writing, his or her intention to leave the Company’s industry or to leave the general workforce. Notwithstanding the foregoing, the term “Retirement” shall not apply to any Optionee whose employment is terminated For Cause or to any Optionee who is solely a director or consultant. In the event that the Optionee accepts full-time or part-time employment during the one-year period following the Optionee’s Employment Termination Date, the Optionee’s termination will be deemed, for all purposes hereunder and for the purposes of Section 4.2.2 herein, to have been a voluntary resignation, and not a termination upon Retirement, such that the Termination Date shall be the date 90 days following the Employment Termination Date.</w:t>
      </w:r>
    </w:p>
    <w:p>
      <w:pPr>
        <w:spacing w:after="0" w:line="208" w:lineRule="exact"/>
        <w:rPr>
          <w:sz w:val="20"/>
          <w:szCs w:val="20"/>
          <w:color w:val="auto"/>
        </w:rPr>
      </w:pPr>
    </w:p>
    <w:p>
      <w:pPr>
        <w:ind w:left="1" w:right="200" w:hanging="1"/>
        <w:spacing w:after="0" w:line="253" w:lineRule="auto"/>
        <w:tabs>
          <w:tab w:leader="none" w:pos="226" w:val="left"/>
        </w:tabs>
        <w:numPr>
          <w:ilvl w:val="0"/>
          <w:numId w:val="55"/>
        </w:numPr>
        <w:rPr>
          <w:rFonts w:ascii="Arial" w:cs="Arial" w:eastAsia="Arial" w:hAnsi="Arial"/>
          <w:sz w:val="16"/>
          <w:szCs w:val="16"/>
          <w:color w:val="auto"/>
        </w:rPr>
      </w:pPr>
      <w:r>
        <w:rPr>
          <w:rFonts w:ascii="Arial" w:cs="Arial" w:eastAsia="Arial" w:hAnsi="Arial"/>
          <w:sz w:val="16"/>
          <w:szCs w:val="16"/>
          <w:color w:val="auto"/>
        </w:rPr>
        <w:t>Adjustment. The number of shares and Exercise Price of this Option shall be subject to adjustment under the circumstances contemplated by the Plan and the Option Expiration Date may be accelerated by the Administrator upon the circumstances set forth in the Plan.</w:t>
      </w:r>
    </w:p>
    <w:p>
      <w:pPr>
        <w:spacing w:after="0" w:line="201" w:lineRule="exact"/>
        <w:rPr>
          <w:rFonts w:ascii="Arial" w:cs="Arial" w:eastAsia="Arial" w:hAnsi="Arial"/>
          <w:sz w:val="16"/>
          <w:szCs w:val="16"/>
          <w:color w:val="auto"/>
        </w:rPr>
      </w:pPr>
    </w:p>
    <w:p>
      <w:pPr>
        <w:ind w:left="1" w:right="120" w:hanging="1"/>
        <w:spacing w:after="0" w:line="253" w:lineRule="auto"/>
        <w:tabs>
          <w:tab w:leader="none" w:pos="226"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Corporate Transactions. Upon the occurrence of a Corporate Transaction, the Option shall be subject to the actions of the Administrator as contemplated in the Plan, including without limitation the termination of the Option immediately prior to the consummation of the Corporate Transaction.</w:t>
      </w:r>
    </w:p>
    <w:p>
      <w:pPr>
        <w:spacing w:after="0" w:line="201" w:lineRule="exact"/>
        <w:rPr>
          <w:rFonts w:ascii="Arial" w:cs="Arial" w:eastAsia="Arial" w:hAnsi="Arial"/>
          <w:sz w:val="16"/>
          <w:szCs w:val="16"/>
          <w:color w:val="auto"/>
        </w:rPr>
      </w:pPr>
    </w:p>
    <w:p>
      <w:pPr>
        <w:ind w:left="1" w:right="20" w:hanging="1"/>
        <w:spacing w:after="0" w:line="251" w:lineRule="auto"/>
        <w:tabs>
          <w:tab w:leader="none" w:pos="226" w:val="left"/>
        </w:tabs>
        <w:numPr>
          <w:ilvl w:val="0"/>
          <w:numId w:val="55"/>
        </w:numPr>
        <w:rPr>
          <w:rFonts w:ascii="Arial" w:cs="Arial" w:eastAsia="Arial" w:hAnsi="Arial"/>
          <w:sz w:val="16"/>
          <w:szCs w:val="16"/>
          <w:color w:val="auto"/>
        </w:rPr>
      </w:pPr>
      <w:r>
        <w:rPr>
          <w:rFonts w:ascii="Arial" w:cs="Arial" w:eastAsia="Arial" w:hAnsi="Arial"/>
          <w:sz w:val="16"/>
          <w:szCs w:val="16"/>
          <w:color w:val="auto"/>
        </w:rPr>
        <w:t>Modification. Subject to the terms and conditions and within the limitations of the Plan, the Administrator may modify, extend or renew the Option or accept the surrender of, and authorize the grant of a new option in substitution for, the Option (to the extent not previously exercised). No modification of the Option shall be made which, without the consent of Optionee, would alter or impair any rights of Optionee under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388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1" w:right="919" w:bottom="1440" w:gutter="0" w:footer="0" w:header="0"/>
        </w:sectPr>
      </w:pPr>
    </w:p>
    <w:bookmarkStart w:id="156" w:name="page157"/>
    <w:bookmarkEnd w:id="156"/>
    <w:p>
      <w:pPr>
        <w:ind w:left="1" w:right="220" w:hanging="1"/>
        <w:spacing w:after="0" w:line="260" w:lineRule="auto"/>
        <w:tabs>
          <w:tab w:leader="none" w:pos="22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Incorporation of Plan. This Agreement is made pursuant to the Plan, and it is intended, and shall be interpreted in a manner, to comply with the Plan. Any provision of this Agreement inconsistent with the Plan shall be superseded and governed by the Plan.</w:t>
      </w:r>
    </w:p>
    <w:p>
      <w:pPr>
        <w:spacing w:after="0" w:line="195" w:lineRule="exact"/>
        <w:rPr>
          <w:rFonts w:ascii="Arial" w:cs="Arial" w:eastAsia="Arial" w:hAnsi="Arial"/>
          <w:sz w:val="16"/>
          <w:szCs w:val="16"/>
          <w:color w:val="auto"/>
        </w:rPr>
      </w:pPr>
    </w:p>
    <w:p>
      <w:pPr>
        <w:ind w:left="1" w:right="60" w:hanging="1"/>
        <w:spacing w:after="0" w:line="248" w:lineRule="auto"/>
        <w:tabs>
          <w:tab w:leader="none" w:pos="226"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Restrictions on Sale of Purchased Shares. Optionee understands that: (a) unless the issuance of the Purchased Shares to Optionee upon exercise of the Option is registered under the Securities Act of 1933, as amended (the “Securities Act”), the Purchased Shares will be “restricted securities” within the meaning of Rule 144 under such Act; (b) the Purchased Shares may not be sold, transferred or assigned by the Optionee except pursuant to an effective registration statement under the Securities Act or an exemption from registration under the Securities Act; and (c) the Company is under no obligation to file a registration statement under the Securities Act covering the Option Shares. Optionee agrees that any certificates evidencing Purchased Shares may bear a legend indicating that their transferability is restricted in accordance with applicable state and federal securities laws.</w:t>
      </w:r>
    </w:p>
    <w:p>
      <w:pPr>
        <w:spacing w:after="0" w:line="208" w:lineRule="exact"/>
        <w:rPr>
          <w:rFonts w:ascii="Arial" w:cs="Arial" w:eastAsia="Arial" w:hAnsi="Arial"/>
          <w:sz w:val="16"/>
          <w:szCs w:val="16"/>
          <w:color w:val="auto"/>
        </w:rPr>
      </w:pPr>
    </w:p>
    <w:p>
      <w:pPr>
        <w:ind w:left="321" w:hanging="321"/>
        <w:spacing w:after="0"/>
        <w:tabs>
          <w:tab w:leader="none" w:pos="321" w:val="left"/>
        </w:tabs>
        <w:numPr>
          <w:ilvl w:val="0"/>
          <w:numId w:val="56"/>
        </w:numPr>
        <w:rPr>
          <w:rFonts w:ascii="Arial" w:cs="Arial" w:eastAsia="Arial" w:hAnsi="Arial"/>
          <w:sz w:val="16"/>
          <w:szCs w:val="16"/>
          <w:color w:val="auto"/>
        </w:rPr>
      </w:pPr>
      <w:r>
        <w:rPr>
          <w:rFonts w:ascii="Arial" w:cs="Arial" w:eastAsia="Arial" w:hAnsi="Arial"/>
          <w:sz w:val="16"/>
          <w:szCs w:val="16"/>
          <w:color w:val="auto"/>
        </w:rPr>
        <w:t>General Provisions.</w:t>
      </w:r>
    </w:p>
    <w:p>
      <w:pPr>
        <w:spacing w:after="0" w:line="221" w:lineRule="exact"/>
        <w:rPr>
          <w:sz w:val="20"/>
          <w:szCs w:val="20"/>
          <w:color w:val="auto"/>
        </w:rPr>
      </w:pPr>
    </w:p>
    <w:p>
      <w:pPr>
        <w:ind w:left="1" w:right="520"/>
        <w:spacing w:after="0" w:line="260" w:lineRule="auto"/>
        <w:rPr>
          <w:sz w:val="20"/>
          <w:szCs w:val="20"/>
          <w:color w:val="auto"/>
        </w:rPr>
      </w:pPr>
      <w:r>
        <w:rPr>
          <w:rFonts w:ascii="Arial" w:cs="Arial" w:eastAsia="Arial" w:hAnsi="Arial"/>
          <w:sz w:val="16"/>
          <w:szCs w:val="16"/>
          <w:color w:val="auto"/>
        </w:rPr>
        <w:t>10.1. Further Assurances. Optionee shall promptly take all actions and execute all documents requested by the Company that the Company deems to be reasonably necessary to effectuate the term and intent of this Agreement.</w:t>
      </w:r>
    </w:p>
    <w:p>
      <w:pPr>
        <w:spacing w:after="0" w:line="196" w:lineRule="exact"/>
        <w:rPr>
          <w:sz w:val="20"/>
          <w:szCs w:val="20"/>
          <w:color w:val="auto"/>
        </w:rPr>
      </w:pPr>
    </w:p>
    <w:p>
      <w:pPr>
        <w:ind w:left="1" w:right="80"/>
        <w:spacing w:after="0" w:line="249" w:lineRule="auto"/>
        <w:rPr>
          <w:sz w:val="20"/>
          <w:szCs w:val="20"/>
          <w:color w:val="auto"/>
        </w:rPr>
      </w:pPr>
      <w:r>
        <w:rPr>
          <w:rFonts w:ascii="Arial" w:cs="Arial" w:eastAsia="Arial" w:hAnsi="Arial"/>
          <w:sz w:val="16"/>
          <w:szCs w:val="16"/>
          <w:color w:val="auto"/>
        </w:rPr>
        <w:t>10.2. Notices. All notices, requests, demands and other communications (collectively, “Notices”) given pursuant to this Agreement shall be in writing, and shall be delivered by personal service, courier, or by United States first class, registered or certified mail, postage prepaid, addressed to the party at the address set forth on the signature page of this Agreement. Any Notice, other than a Notice sent by registered or certified mail, shall be effective when received; a Notice sent by registered or certified mail, postage prepaid return receipt requested, shall be effective on the earlier of when received or the third day following deposit in the United States mails. Any party may from time to time change its address for further Notices hereunder by giving notice to the other party in the manner prescribed in this Section.</w:t>
      </w:r>
    </w:p>
    <w:p>
      <w:pPr>
        <w:spacing w:after="0" w:line="205" w:lineRule="exact"/>
        <w:rPr>
          <w:sz w:val="20"/>
          <w:szCs w:val="20"/>
          <w:color w:val="auto"/>
        </w:rPr>
      </w:pPr>
    </w:p>
    <w:p>
      <w:pPr>
        <w:ind w:left="1" w:right="60"/>
        <w:spacing w:after="0" w:line="260" w:lineRule="auto"/>
        <w:rPr>
          <w:sz w:val="20"/>
          <w:szCs w:val="20"/>
          <w:color w:val="auto"/>
        </w:rPr>
      </w:pPr>
      <w:r>
        <w:rPr>
          <w:rFonts w:ascii="Arial" w:cs="Arial" w:eastAsia="Arial" w:hAnsi="Arial"/>
          <w:sz w:val="16"/>
          <w:szCs w:val="16"/>
          <w:color w:val="auto"/>
        </w:rPr>
        <w:t>10.3. Failure to Enforce Not a Waiver. The failure of the Company to enforce at any time any provision of this Agreement shall in no way be construed to be a waiver of such provision or of any other provision hereof.</w:t>
      </w:r>
    </w:p>
    <w:p>
      <w:pPr>
        <w:spacing w:after="0" w:line="196" w:lineRule="exact"/>
        <w:rPr>
          <w:sz w:val="20"/>
          <w:szCs w:val="20"/>
          <w:color w:val="auto"/>
        </w:rPr>
      </w:pPr>
    </w:p>
    <w:p>
      <w:pPr>
        <w:ind w:left="1" w:right="720"/>
        <w:spacing w:after="0" w:line="260" w:lineRule="auto"/>
        <w:rPr>
          <w:sz w:val="20"/>
          <w:szCs w:val="20"/>
          <w:color w:val="auto"/>
        </w:rPr>
      </w:pPr>
      <w:r>
        <w:rPr>
          <w:rFonts w:ascii="Arial" w:cs="Arial" w:eastAsia="Arial" w:hAnsi="Arial"/>
          <w:sz w:val="16"/>
          <w:szCs w:val="16"/>
          <w:color w:val="auto"/>
        </w:rPr>
        <w:t>10.4. Governing Law. This Agreement shall be governed by and construed in accordance with the law of the State of Delaware applicable to contracts made in, and to be performed within, that State.</w:t>
      </w:r>
    </w:p>
    <w:p>
      <w:pPr>
        <w:spacing w:after="0" w:line="196" w:lineRule="exact"/>
        <w:rPr>
          <w:sz w:val="20"/>
          <w:szCs w:val="20"/>
          <w:color w:val="auto"/>
        </w:rPr>
      </w:pPr>
    </w:p>
    <w:p>
      <w:pPr>
        <w:ind w:left="1" w:right="140"/>
        <w:spacing w:after="0" w:line="260" w:lineRule="auto"/>
        <w:rPr>
          <w:sz w:val="20"/>
          <w:szCs w:val="20"/>
          <w:color w:val="auto"/>
        </w:rPr>
      </w:pPr>
      <w:r>
        <w:rPr>
          <w:rFonts w:ascii="Arial" w:cs="Arial" w:eastAsia="Arial" w:hAnsi="Arial"/>
          <w:sz w:val="16"/>
          <w:szCs w:val="16"/>
          <w:color w:val="auto"/>
        </w:rPr>
        <w:t>10.5. Transfer of Rights under this Agreement. The Company may at any time transfer and assign its rights and delegate its obligations under this Agreement to any other person, corporation, firm or entity, with or without consideration.</w:t>
      </w:r>
    </w:p>
    <w:p>
      <w:pPr>
        <w:spacing w:after="0" w:line="196" w:lineRule="exact"/>
        <w:rPr>
          <w:sz w:val="20"/>
          <w:szCs w:val="20"/>
          <w:color w:val="auto"/>
        </w:rPr>
      </w:pPr>
    </w:p>
    <w:p>
      <w:pPr>
        <w:ind w:left="1"/>
        <w:spacing w:after="0" w:line="260" w:lineRule="auto"/>
        <w:rPr>
          <w:sz w:val="20"/>
          <w:szCs w:val="20"/>
          <w:color w:val="auto"/>
        </w:rPr>
      </w:pPr>
      <w:r>
        <w:rPr>
          <w:rFonts w:ascii="Arial" w:cs="Arial" w:eastAsia="Arial" w:hAnsi="Arial"/>
          <w:sz w:val="16"/>
          <w:szCs w:val="16"/>
          <w:color w:val="auto"/>
        </w:rPr>
        <w:t>10.6. Option Non-transferable. Optionee may not sell, transfer, assign or otherwise dispose of the Option except by will or the laws of descent and distribution, and only Optionee or his or her legal representative or guardian may exercise the Option during Optionee’s lifetime.</w:t>
      </w:r>
    </w:p>
    <w:p>
      <w:pPr>
        <w:spacing w:after="0" w:line="196" w:lineRule="exact"/>
        <w:rPr>
          <w:sz w:val="20"/>
          <w:szCs w:val="20"/>
          <w:color w:val="auto"/>
        </w:rPr>
      </w:pPr>
    </w:p>
    <w:p>
      <w:pPr>
        <w:jc w:val="both"/>
        <w:ind w:left="1" w:right="420"/>
        <w:spacing w:after="0" w:line="253" w:lineRule="auto"/>
        <w:rPr>
          <w:sz w:val="20"/>
          <w:szCs w:val="20"/>
          <w:color w:val="auto"/>
        </w:rPr>
      </w:pPr>
      <w:r>
        <w:rPr>
          <w:rFonts w:ascii="Arial" w:cs="Arial" w:eastAsia="Arial" w:hAnsi="Arial"/>
          <w:sz w:val="16"/>
          <w:szCs w:val="16"/>
          <w:color w:val="auto"/>
        </w:rPr>
        <w:t>10.7. No Right to Employment. Nothing in this Option shall interfere with or limit in any way the right of the Company or of any of its Affiliates to terminate Optionee’s employment, consulting or advising at any time, nor confer upon Optionee any right to continue in the employ of, consult with or advise the Company or any of its Affiliates.</w:t>
      </w:r>
    </w:p>
    <w:p>
      <w:pPr>
        <w:spacing w:after="0" w:line="201" w:lineRule="exact"/>
        <w:rPr>
          <w:sz w:val="20"/>
          <w:szCs w:val="20"/>
          <w:color w:val="auto"/>
        </w:rPr>
      </w:pPr>
    </w:p>
    <w:p>
      <w:pPr>
        <w:ind w:left="1" w:right="260"/>
        <w:spacing w:after="0" w:line="260" w:lineRule="auto"/>
        <w:rPr>
          <w:sz w:val="20"/>
          <w:szCs w:val="20"/>
          <w:color w:val="auto"/>
        </w:rPr>
      </w:pPr>
      <w:r>
        <w:rPr>
          <w:rFonts w:ascii="Arial" w:cs="Arial" w:eastAsia="Arial" w:hAnsi="Arial"/>
          <w:sz w:val="16"/>
          <w:szCs w:val="16"/>
          <w:color w:val="auto"/>
        </w:rPr>
        <w:t>10.8. Delivery of Plan to Optionee. Optionee acknowledges that a copy of the Plan has been delivered to Optionee and that Optionee has read the Plan prior to signing this Agreement.</w:t>
      </w:r>
    </w:p>
    <w:p>
      <w:pPr>
        <w:spacing w:after="0" w:line="196" w:lineRule="exact"/>
        <w:rPr>
          <w:sz w:val="20"/>
          <w:szCs w:val="20"/>
          <w:color w:val="auto"/>
        </w:rPr>
      </w:pPr>
    </w:p>
    <w:p>
      <w:pPr>
        <w:ind w:left="1" w:right="320"/>
        <w:spacing w:after="0" w:line="253" w:lineRule="auto"/>
        <w:rPr>
          <w:sz w:val="20"/>
          <w:szCs w:val="20"/>
          <w:color w:val="auto"/>
        </w:rPr>
      </w:pPr>
      <w:r>
        <w:rPr>
          <w:rFonts w:ascii="Arial" w:cs="Arial" w:eastAsia="Arial" w:hAnsi="Arial"/>
          <w:sz w:val="16"/>
          <w:szCs w:val="16"/>
          <w:color w:val="auto"/>
        </w:rPr>
        <w:t>10.9. Successors and Assigns. Except to the extent specifically limited by the terms and provision of this Agreement, this Agreement shall be binding upon and inure to the benefit of the parties hereto and their respective successors, assigns, heirs and personal representatives.</w:t>
      </w:r>
    </w:p>
    <w:p>
      <w:pPr>
        <w:spacing w:after="0" w:line="201" w:lineRule="exact"/>
        <w:rPr>
          <w:sz w:val="20"/>
          <w:szCs w:val="20"/>
          <w:color w:val="auto"/>
        </w:rPr>
      </w:pPr>
    </w:p>
    <w:p>
      <w:pPr>
        <w:ind w:left="1" w:right="80"/>
        <w:spacing w:after="0" w:line="253" w:lineRule="auto"/>
        <w:rPr>
          <w:sz w:val="20"/>
          <w:szCs w:val="20"/>
          <w:color w:val="auto"/>
        </w:rPr>
      </w:pPr>
      <w:r>
        <w:rPr>
          <w:rFonts w:ascii="Arial" w:cs="Arial" w:eastAsia="Arial" w:hAnsi="Arial"/>
          <w:sz w:val="16"/>
          <w:szCs w:val="16"/>
          <w:color w:val="auto"/>
        </w:rPr>
        <w:t>10.10. Miscellaneous. Titles and captions contained in this Agreement are inserted for convenience of reference only and do not constitute a part of this Agreement for any other purpose. Except as specifically provided herein, neither this Agreement nor any right pursuant hereto or interest herein shall be assignable by any of the parties hereto without the prior written consent of the other party hereto.</w:t>
      </w:r>
    </w:p>
    <w:p>
      <w:pPr>
        <w:spacing w:after="0" w:line="201" w:lineRule="exact"/>
        <w:rPr>
          <w:sz w:val="20"/>
          <w:szCs w:val="20"/>
          <w:color w:val="auto"/>
        </w:rPr>
      </w:pPr>
    </w:p>
    <w:p>
      <w:pPr>
        <w:ind w:left="1" w:right="140"/>
        <w:spacing w:after="0" w:line="253" w:lineRule="auto"/>
        <w:rPr>
          <w:sz w:val="20"/>
          <w:szCs w:val="20"/>
          <w:color w:val="auto"/>
        </w:rPr>
      </w:pPr>
      <w:r>
        <w:rPr>
          <w:rFonts w:ascii="Arial" w:cs="Arial" w:eastAsia="Arial" w:hAnsi="Arial"/>
          <w:sz w:val="16"/>
          <w:szCs w:val="16"/>
          <w:color w:val="auto"/>
        </w:rPr>
        <w:t>10.11. Tax Treatment. Optionee acknowledges that the tax treatment of the Option, the Option Shares or any events or transactions with respect thereto may be dependent upon various factors or events that are not determined by the Plan or this Agreement. The Company makes no representations with respect to and hereby disclaims all responsibility as to such tax treatment.</w:t>
      </w:r>
    </w:p>
    <w:p>
      <w:pPr>
        <w:spacing w:after="0" w:line="201" w:lineRule="exact"/>
        <w:rPr>
          <w:sz w:val="20"/>
          <w:szCs w:val="20"/>
          <w:color w:val="auto"/>
        </w:rPr>
      </w:pPr>
    </w:p>
    <w:p>
      <w:pPr>
        <w:ind w:left="1"/>
        <w:spacing w:after="0" w:line="253" w:lineRule="auto"/>
        <w:rPr>
          <w:sz w:val="20"/>
          <w:szCs w:val="20"/>
          <w:color w:val="auto"/>
        </w:rPr>
      </w:pPr>
      <w:r>
        <w:rPr>
          <w:rFonts w:ascii="Arial" w:cs="Arial" w:eastAsia="Arial" w:hAnsi="Arial"/>
          <w:sz w:val="16"/>
          <w:szCs w:val="16"/>
          <w:color w:val="auto"/>
        </w:rPr>
        <w:t>10.12. Entire Agreement. This Agreement and the Plan contain the entire agreement and understanding of the parties hereto with respect to the subject matter contained herein and supersede all prior communications, representations and negotiations in respect thereto. Notwithstanding the foregoing or anything to the contrary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332740</wp:posOffset>
            </wp:positionV>
            <wp:extent cx="63887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41" w:right="919" w:bottom="1440" w:gutter="0" w:footer="0" w:header="0"/>
        </w:sectPr>
      </w:pPr>
    </w:p>
    <w:bookmarkStart w:id="157" w:name="page158"/>
    <w:bookmarkEnd w:id="157"/>
    <w:p>
      <w:pPr>
        <w:spacing w:after="0" w:line="248" w:lineRule="auto"/>
        <w:rPr>
          <w:sz w:val="20"/>
          <w:szCs w:val="20"/>
          <w:color w:val="auto"/>
        </w:rPr>
      </w:pPr>
      <w:r>
        <w:rPr>
          <w:rFonts w:ascii="Arial" w:cs="Arial" w:eastAsia="Arial" w:hAnsi="Arial"/>
          <w:sz w:val="16"/>
          <w:szCs w:val="16"/>
          <w:color w:val="auto"/>
        </w:rPr>
        <w:t>if the Optionee is a party to an employment, consulting, change-in-control, severance or other applicable written agreement with the Company that modifies or supplements the terms of this Agreement (each, a “Superseding Agreement”), or is the subject of a resolution by the board of directors of the Company or its compensation committee evidencing the grant of an award that modifies or supplements the terms of this Agreement (a “Resolution”), such modified or supplemented terms shall control in the event of any conflict between such terms and the terms of this Agreement, provided that in the event that the Superseding Agreement or Resolution is silent on a matter addressed in this Agreement, then such silence is not a conflict. No change, modification or waiver of any provision of this Agreement shall be valid unless the same be in writing and signed by the parties hereto, except for any changes permitted without consent under the Plan.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signature page of this Agreement consists of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638873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41" w:right="95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10.10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IOVANCE BIOTHERAPEUTICS,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182" w:lineRule="exact"/>
        <w:rPr>
          <w:sz w:val="20"/>
          <w:szCs w:val="20"/>
          <w:color w:val="auto"/>
        </w:rPr>
      </w:pPr>
    </w:p>
    <w:p>
      <w:pPr>
        <w:ind w:left="2401"/>
        <w:spacing w:after="0"/>
        <w:rPr>
          <w:sz w:val="20"/>
          <w:szCs w:val="20"/>
          <w:color w:val="auto"/>
        </w:rPr>
      </w:pPr>
      <w:r>
        <w:rPr>
          <w:rFonts w:ascii="Arial" w:cs="Arial" w:eastAsia="Arial" w:hAnsi="Arial"/>
          <w:sz w:val="22"/>
          <w:szCs w:val="22"/>
          <w:b w:val="1"/>
          <w:bCs w:val="1"/>
          <w:color w:val="auto"/>
        </w:rPr>
        <w:t>INCENTIVE STOCK OPTION AWARD AGREEMENT</w:t>
      </w:r>
    </w:p>
    <w:p>
      <w:pPr>
        <w:spacing w:after="0" w:line="212" w:lineRule="exact"/>
        <w:rPr>
          <w:sz w:val="20"/>
          <w:szCs w:val="20"/>
          <w:color w:val="auto"/>
        </w:rPr>
      </w:pPr>
    </w:p>
    <w:p>
      <w:pPr>
        <w:ind w:left="641"/>
        <w:spacing w:after="0"/>
        <w:rPr>
          <w:sz w:val="20"/>
          <w:szCs w:val="20"/>
          <w:color w:val="auto"/>
        </w:rPr>
      </w:pPr>
      <w:r>
        <w:rPr>
          <w:rFonts w:ascii="Arial" w:cs="Arial" w:eastAsia="Arial" w:hAnsi="Arial"/>
          <w:sz w:val="21"/>
          <w:szCs w:val="21"/>
          <w:color w:val="auto"/>
        </w:rPr>
        <w:t>THIS INCENTIVE STOCK OPTION AWARD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w:t>
      </w:r>
    </w:p>
    <w:p>
      <w:pPr>
        <w:spacing w:after="0" w:line="20" w:lineRule="exact"/>
        <w:rPr>
          <w:sz w:val="20"/>
          <w:szCs w:val="20"/>
          <w:color w:val="auto"/>
        </w:rPr>
      </w:pPr>
    </w:p>
    <w:p>
      <w:pPr>
        <w:ind w:left="721" w:hanging="721"/>
        <w:spacing w:after="0"/>
        <w:tabs>
          <w:tab w:leader="none" w:pos="721" w:val="left"/>
        </w:tabs>
        <w:numPr>
          <w:ilvl w:val="0"/>
          <w:numId w:val="57"/>
        </w:numPr>
        <w:rPr>
          <w:rFonts w:ascii="Arial" w:cs="Arial" w:eastAsia="Arial" w:hAnsi="Arial"/>
          <w:sz w:val="19"/>
          <w:szCs w:val="19"/>
          <w:color w:val="auto"/>
        </w:rPr>
      </w:pPr>
      <w:r>
        <w:rPr>
          <w:rFonts w:ascii="Arial" w:cs="Arial" w:eastAsia="Arial" w:hAnsi="Arial"/>
          <w:sz w:val="19"/>
          <w:szCs w:val="19"/>
          <w:color w:val="auto"/>
        </w:rPr>
        <w:t>], 20[  ]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Iovance Biotherapeutics, Inc., a Delaware corporation (the</w:t>
      </w:r>
    </w:p>
    <w:p>
      <w:pPr>
        <w:spacing w:after="0" w:line="25" w:lineRule="exact"/>
        <w:rPr>
          <w:sz w:val="20"/>
          <w:szCs w:val="20"/>
          <w:color w:val="auto"/>
        </w:rPr>
      </w:pPr>
    </w:p>
    <w:p>
      <w:pPr>
        <w:ind w:left="1" w:right="200"/>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on behalf of itself and its Affiliates, and [ ] (the “</w:t>
      </w:r>
      <w:r>
        <w:rPr>
          <w:rFonts w:ascii="Arial" w:cs="Arial" w:eastAsia="Arial" w:hAnsi="Arial"/>
          <w:sz w:val="22"/>
          <w:szCs w:val="22"/>
          <w:u w:val="single" w:color="auto"/>
          <w:color w:val="auto"/>
        </w:rPr>
        <w:t>Participant</w:t>
      </w:r>
      <w:r>
        <w:rPr>
          <w:rFonts w:ascii="Arial" w:cs="Arial" w:eastAsia="Arial" w:hAnsi="Arial"/>
          <w:sz w:val="22"/>
          <w:szCs w:val="22"/>
          <w:color w:val="auto"/>
        </w:rPr>
        <w:t>”). Capitalized terms used in this Agreement and not otherwise defined herein have the meanings ascribed to such terms in the Iovance Biotherapeutics, Inc. 2018 Equity Incentive Plan, as amended, restated or otherwise modified from time to time in accordance with its terms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88" w:lineRule="exact"/>
        <w:rPr>
          <w:sz w:val="20"/>
          <w:szCs w:val="20"/>
          <w:color w:val="auto"/>
        </w:rPr>
      </w:pPr>
    </w:p>
    <w:p>
      <w:pPr>
        <w:ind w:left="1" w:right="200" w:firstLine="648"/>
        <w:spacing w:after="0" w:line="238" w:lineRule="auto"/>
        <w:rPr>
          <w:sz w:val="20"/>
          <w:szCs w:val="20"/>
          <w:color w:val="auto"/>
        </w:rPr>
      </w:pPr>
      <w:r>
        <w:rPr>
          <w:rFonts w:ascii="Arial" w:cs="Arial" w:eastAsia="Arial" w:hAnsi="Arial"/>
          <w:sz w:val="22"/>
          <w:szCs w:val="22"/>
          <w:color w:val="auto"/>
        </w:rPr>
        <w:t>WHEREAS, the Compensation Committee of the board of directors (the “</w:t>
      </w:r>
      <w:r>
        <w:rPr>
          <w:rFonts w:ascii="Arial" w:cs="Arial" w:eastAsia="Arial" w:hAnsi="Arial"/>
          <w:sz w:val="22"/>
          <w:szCs w:val="22"/>
          <w:u w:val="single" w:color="auto"/>
          <w:color w:val="auto"/>
        </w:rPr>
        <w:t>Committee</w:t>
      </w:r>
      <w:r>
        <w:rPr>
          <w:rFonts w:ascii="Arial" w:cs="Arial" w:eastAsia="Arial" w:hAnsi="Arial"/>
          <w:sz w:val="22"/>
          <w:szCs w:val="22"/>
          <w:color w:val="auto"/>
        </w:rPr>
        <w:t>”), through its own action or through the action of the full board of directors, has determined that it is in the best interests of the Company and its stockholders to grant the award provided for herein to the Participant on the terms and subject to the conditions set forth herein.</w:t>
      </w:r>
    </w:p>
    <w:p>
      <w:pPr>
        <w:spacing w:after="0" w:line="185" w:lineRule="exact"/>
        <w:rPr>
          <w:sz w:val="20"/>
          <w:szCs w:val="20"/>
          <w:color w:val="auto"/>
        </w:rPr>
      </w:pPr>
    </w:p>
    <w:p>
      <w:pPr>
        <w:ind w:left="1" w:right="120" w:firstLine="648"/>
        <w:spacing w:after="0" w:line="258" w:lineRule="auto"/>
        <w:rPr>
          <w:sz w:val="20"/>
          <w:szCs w:val="20"/>
          <w:color w:val="auto"/>
        </w:rPr>
      </w:pPr>
      <w:r>
        <w:rPr>
          <w:rFonts w:ascii="Arial" w:cs="Arial" w:eastAsia="Arial" w:hAnsi="Arial"/>
          <w:sz w:val="21"/>
          <w:szCs w:val="21"/>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1" w:lineRule="exact"/>
        <w:rPr>
          <w:sz w:val="20"/>
          <w:szCs w:val="20"/>
          <w:color w:val="auto"/>
        </w:rPr>
      </w:pPr>
    </w:p>
    <w:p>
      <w:pPr>
        <w:ind w:left="1301" w:hanging="652"/>
        <w:spacing w:after="0"/>
        <w:tabs>
          <w:tab w:leader="none" w:pos="1301"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Grant of Option</w:t>
      </w:r>
      <w:r>
        <w:rPr>
          <w:rFonts w:ascii="Arial" w:cs="Arial" w:eastAsia="Arial" w:hAnsi="Arial"/>
          <w:sz w:val="22"/>
          <w:szCs w:val="22"/>
          <w:color w:val="auto"/>
        </w:rPr>
        <w:t>.</w:t>
      </w:r>
    </w:p>
    <w:p>
      <w:pPr>
        <w:spacing w:after="0" w:line="212" w:lineRule="exact"/>
        <w:rPr>
          <w:sz w:val="20"/>
          <w:szCs w:val="20"/>
          <w:color w:val="auto"/>
        </w:rPr>
      </w:pPr>
    </w:p>
    <w:p>
      <w:pPr>
        <w:ind w:left="1961" w:hanging="664"/>
        <w:spacing w:after="0"/>
        <w:tabs>
          <w:tab w:leader="none" w:pos="1961"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w:t>
      </w:r>
    </w:p>
    <w:p>
      <w:pPr>
        <w:spacing w:after="0" w:line="43" w:lineRule="exact"/>
        <w:rPr>
          <w:sz w:val="20"/>
          <w:szCs w:val="20"/>
          <w:color w:val="auto"/>
        </w:rPr>
      </w:pPr>
    </w:p>
    <w:p>
      <w:pPr>
        <w:ind w:left="1" w:right="80" w:hanging="1"/>
        <w:spacing w:after="0" w:line="267" w:lineRule="auto"/>
        <w:tabs>
          <w:tab w:leader="none" w:pos="1045" w:val="left"/>
        </w:tabs>
        <w:numPr>
          <w:ilvl w:val="0"/>
          <w:numId w:val="60"/>
        </w:numPr>
        <w:rPr>
          <w:rFonts w:ascii="Arial" w:cs="Arial" w:eastAsia="Arial" w:hAnsi="Arial"/>
          <w:sz w:val="19"/>
          <w:szCs w:val="19"/>
          <w:color w:val="auto"/>
        </w:rPr>
      </w:pPr>
      <w:r>
        <w:rPr>
          <w:rFonts w:ascii="Arial" w:cs="Arial" w:eastAsia="Arial" w:hAnsi="Arial"/>
          <w:sz w:val="19"/>
          <w:szCs w:val="19"/>
          <w:color w:val="auto"/>
        </w:rPr>
        <w:t>] shares of Common Stock (the “</w:t>
      </w:r>
      <w:r>
        <w:rPr>
          <w:rFonts w:ascii="Arial" w:cs="Arial" w:eastAsia="Arial" w:hAnsi="Arial"/>
          <w:sz w:val="19"/>
          <w:szCs w:val="19"/>
          <w:u w:val="single" w:color="auto"/>
          <w:color w:val="auto"/>
        </w:rPr>
        <w:t>Option Shares</w:t>
      </w:r>
      <w:r>
        <w:rPr>
          <w:rFonts w:ascii="Arial" w:cs="Arial" w:eastAsia="Arial" w:hAnsi="Arial"/>
          <w:sz w:val="19"/>
          <w:szCs w:val="19"/>
          <w:color w:val="auto"/>
        </w:rPr>
        <w:t>”) on the terms and subject to the conditions set forth in this Agreement and as otherwise provided in the Plan. The Option is intended to qualify as an Incentive Stock Option; provided, that to the extent that the aggregate Fair Market Value (determined at the time of grant) of the Option Shares with respect to which the Option plus all other Incentive Stock Options the Participant holds are exercisable for the first time by the Participant during any calendar year (under all plans of the Company and its Affiliates) exceeds one hundred thousand dollars ($100,000), the Option and all other such Incentive Stock Options or portions thereof that exceed such limit (according to the order in which they were granted) shall be treated as Nonqualified Stock Options. The Option shall vest in accordance with Section 2. The Exercise Price shall be</w:t>
      </w:r>
    </w:p>
    <w:p>
      <w:pPr>
        <w:ind w:left="1"/>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19"/>
          <w:szCs w:val="19"/>
          <w:color w:val="auto"/>
        </w:rPr>
        <w:t>] per Option Share.</w:t>
      </w:r>
    </w:p>
    <w:p>
      <w:pPr>
        <w:spacing w:after="0" w:line="188" w:lineRule="exact"/>
        <w:rPr>
          <w:rFonts w:ascii="Arial" w:cs="Arial" w:eastAsia="Arial" w:hAnsi="Arial"/>
          <w:sz w:val="19"/>
          <w:szCs w:val="19"/>
          <w:color w:val="auto"/>
        </w:rPr>
      </w:pPr>
    </w:p>
    <w:p>
      <w:pPr>
        <w:ind w:left="1" w:right="80" w:firstLine="1296"/>
        <w:spacing w:after="0" w:line="275" w:lineRule="auto"/>
        <w:tabs>
          <w:tab w:leader="none" w:pos="1982"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w:t>
      </w:r>
      <w:r>
        <w:rPr>
          <w:rFonts w:ascii="Arial" w:cs="Arial" w:eastAsia="Arial" w:hAnsi="Arial"/>
          <w:sz w:val="19"/>
          <w:szCs w:val="19"/>
          <w:color w:val="auto"/>
        </w:rPr>
        <w:t>. The provisions of the Plan are incorporated herein by reference. Except as otherwise expressly set forth herein, this Agreement shall be construed in accordance with the provisions of the Plan and any interpretations, rules and regulations and additional terms adopted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59" w:name="page160"/>
    <w:bookmarkEnd w:id="159"/>
    <w:p>
      <w:pPr>
        <w:ind w:left="-20" w:right="20" w:firstLine="648"/>
        <w:spacing w:after="0" w:line="276" w:lineRule="auto"/>
        <w:tabs>
          <w:tab w:leader="none" w:pos="1273"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Vesting</w:t>
      </w:r>
      <w:r>
        <w:rPr>
          <w:rFonts w:ascii="Arial" w:cs="Arial" w:eastAsia="Arial" w:hAnsi="Arial"/>
          <w:sz w:val="19"/>
          <w:szCs w:val="19"/>
          <w:color w:val="auto"/>
        </w:rPr>
        <w:t>. Except as may otherwise be provided herein, the Option shall vest and become exercisable</w:t>
      </w:r>
      <w:r>
        <w:rPr>
          <w:rFonts w:ascii="Arial" w:cs="Arial" w:eastAsia="Arial" w:hAnsi="Arial"/>
          <w:sz w:val="19"/>
          <w:szCs w:val="19"/>
          <w:b w:val="1"/>
          <w:bCs w:val="1"/>
          <w:color w:val="auto"/>
        </w:rPr>
        <w:t xml:space="preserve"> </w:t>
      </w:r>
      <w:r>
        <w:rPr>
          <w:rFonts w:ascii="Arial" w:cs="Arial" w:eastAsia="Arial" w:hAnsi="Arial"/>
          <w:sz w:val="19"/>
          <w:szCs w:val="19"/>
          <w:color w:val="auto"/>
        </w:rPr>
        <w:t>as to [_______] of the Option Shares on the one-year anniversary of Date of Grant, and the remaining Option Shares shall vest as to [_______] of Option Shares at the end of each quarter over the next [____] year(s), commencing with the first quarter following the first anniversary of the Date of Grant (each such date, a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subject to the Participant’s continued employment with, appointment as a director of, or engagement to provide services to, the Company or any of its Affiliates through the applicable Vesting Date. Any fractional Option Share resulting from the application of the vesting schedule shall be aggregated and the Option Share resulting from such aggregation shall vest on the final Vesting Date.</w:t>
      </w:r>
    </w:p>
    <w:p>
      <w:pPr>
        <w:spacing w:after="0" w:line="151" w:lineRule="exact"/>
        <w:rPr>
          <w:rFonts w:ascii="Arial" w:cs="Arial" w:eastAsia="Arial" w:hAnsi="Arial"/>
          <w:sz w:val="19"/>
          <w:szCs w:val="19"/>
          <w:b w:val="1"/>
          <w:bCs w:val="1"/>
          <w:color w:val="auto"/>
        </w:rPr>
      </w:pPr>
    </w:p>
    <w:p>
      <w:pPr>
        <w:ind w:left="1280" w:hanging="652"/>
        <w:spacing w:after="0"/>
        <w:tabs>
          <w:tab w:leader="none" w:pos="128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or Services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left="-20" w:right="440" w:firstLine="1296"/>
        <w:spacing w:after="0" w:line="252" w:lineRule="auto"/>
        <w:tabs>
          <w:tab w:leader="none" w:pos="1948"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Except as otherwise provided herein, if the Participant’s employment with, or engagement to provide services to the Company or any of its Affiliates terminates for any reason, the unvested portion of the Option shall be canceled immediately and the Participant shall have no rights with respect to the Option Shares subject to such unvested portion.</w:t>
      </w:r>
    </w:p>
    <w:p>
      <w:pPr>
        <w:spacing w:after="0" w:line="174" w:lineRule="exact"/>
        <w:rPr>
          <w:rFonts w:ascii="Arial" w:cs="Arial" w:eastAsia="Arial" w:hAnsi="Arial"/>
          <w:sz w:val="21"/>
          <w:szCs w:val="21"/>
          <w:color w:val="auto"/>
        </w:rPr>
      </w:pPr>
    </w:p>
    <w:p>
      <w:pPr>
        <w:ind w:left="-20" w:right="80" w:firstLine="1296"/>
        <w:spacing w:after="0" w:line="238" w:lineRule="auto"/>
        <w:tabs>
          <w:tab w:leader="none" w:pos="1961"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Notwithstanding anything to the contrary in Section 3, if the Participant’s employment with, or engagement to provide services to the Company or any of its Affiliates terminates due to the Participant’s death or Disability, any unvested portion of the Option shall become fully vested as of the date of such termination, which shall be the final Vesting Date.</w:t>
      </w:r>
    </w:p>
    <w:p>
      <w:pPr>
        <w:spacing w:after="0" w:line="185" w:lineRule="exact"/>
        <w:rPr>
          <w:rFonts w:ascii="Arial" w:cs="Arial" w:eastAsia="Arial" w:hAnsi="Arial"/>
          <w:sz w:val="22"/>
          <w:szCs w:val="22"/>
          <w:color w:val="auto"/>
        </w:rPr>
      </w:pPr>
    </w:p>
    <w:p>
      <w:pPr>
        <w:ind w:left="-20" w:firstLine="1296"/>
        <w:spacing w:after="0" w:line="236" w:lineRule="auto"/>
        <w:tabs>
          <w:tab w:leader="none" w:pos="1948"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Notwithstanding anything to the contrary in Section 3, if the Participant’s employment with, or engagement to provide services to the Company or any of its Affiliates is terminated by the Company without Cause, either on or within 12 months after, the date of a Change in Control, any unvested portion of the Option shall become fully vested as of the date of termination, which shall be the final Vesting Date</w:t>
      </w:r>
      <w:r>
        <w:rPr>
          <w:rFonts w:ascii="Arial" w:cs="Arial" w:eastAsia="Arial" w:hAnsi="Arial"/>
          <w:sz w:val="22"/>
          <w:szCs w:val="22"/>
          <w:b w:val="1"/>
          <w:bCs w:val="1"/>
          <w:color w:val="auto"/>
        </w:rPr>
        <w:t>.</w:t>
      </w:r>
    </w:p>
    <w:p>
      <w:pPr>
        <w:spacing w:after="0" w:line="187" w:lineRule="exact"/>
        <w:rPr>
          <w:rFonts w:ascii="Arial" w:cs="Arial" w:eastAsia="Arial" w:hAnsi="Arial"/>
          <w:sz w:val="22"/>
          <w:szCs w:val="22"/>
          <w:color w:val="auto"/>
        </w:rPr>
      </w:pPr>
    </w:p>
    <w:p>
      <w:pPr>
        <w:ind w:left="-20" w:firstLine="1296"/>
        <w:spacing w:after="0" w:line="275" w:lineRule="auto"/>
        <w:tabs>
          <w:tab w:leader="none" w:pos="1961"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shall mean, unless otherwise defined in a Superseding Agreement or in a Resolution, the termination of a Participant’s employment with the Company or its Affiliates after the Participant has attained the age of 55 years and the Participant has stated at the time of resignation, in writing, his or her intention to leave the Company’s industry or to leave the general workforce. Notwithstanding the foregoing, the term “Retirement” shall not apply to any Participant whose employment is terminated with Cause. In the event that the Participant accepts full-time or part-time employment during the one-year period following the Participant’s employment termination date, the Participant’s termination will be deemed, for all purposes hereunder, to have been a voluntary resignation, and not a termination upon Retirement.</w:t>
      </w:r>
    </w:p>
    <w:p>
      <w:pPr>
        <w:spacing w:after="0" w:line="152" w:lineRule="exact"/>
        <w:rPr>
          <w:rFonts w:ascii="Arial" w:cs="Arial" w:eastAsia="Arial" w:hAnsi="Arial"/>
          <w:sz w:val="19"/>
          <w:szCs w:val="19"/>
          <w:color w:val="auto"/>
        </w:rPr>
      </w:pPr>
    </w:p>
    <w:p>
      <w:pPr>
        <w:ind w:left="1280" w:hanging="652"/>
        <w:spacing w:after="0"/>
        <w:tabs>
          <w:tab w:leader="none" w:pos="128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Expiration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20" w:right="360" w:firstLine="1296"/>
        <w:spacing w:after="0" w:line="238" w:lineRule="auto"/>
        <w:tabs>
          <w:tab w:leader="none" w:pos="1949" w:val="left"/>
        </w:tabs>
        <w:numPr>
          <w:ilvl w:val="1"/>
          <w:numId w:val="61"/>
        </w:numPr>
        <w:rPr>
          <w:rFonts w:ascii="Arial" w:cs="Arial" w:eastAsia="Arial" w:hAnsi="Arial"/>
          <w:sz w:val="22"/>
          <w:szCs w:val="22"/>
          <w:color w:val="auto"/>
        </w:rPr>
      </w:pPr>
      <w:r>
        <w:rPr>
          <w:rFonts w:ascii="Arial" w:cs="Arial" w:eastAsia="Arial" w:hAnsi="Arial"/>
          <w:sz w:val="22"/>
          <w:szCs w:val="22"/>
          <w:color w:val="auto"/>
        </w:rPr>
        <w:t>In no event shall all or any portion of the Option be exercisable after the tenth annual anniversary of the Date of Grant (such ten-year period, the “</w:t>
      </w:r>
      <w:r>
        <w:rPr>
          <w:rFonts w:ascii="Arial" w:cs="Arial" w:eastAsia="Arial" w:hAnsi="Arial"/>
          <w:sz w:val="22"/>
          <w:szCs w:val="22"/>
          <w:u w:val="single" w:color="auto"/>
          <w:color w:val="auto"/>
        </w:rPr>
        <w:t>Option Period</w:t>
      </w:r>
      <w:r>
        <w:rPr>
          <w:rFonts w:ascii="Arial" w:cs="Arial" w:eastAsia="Arial" w:hAnsi="Arial"/>
          <w:sz w:val="22"/>
          <w:szCs w:val="22"/>
          <w:color w:val="auto"/>
        </w:rPr>
        <w:t>”); provided, that if the Option Period would expire at a time when trading in the shares of Common Stock is prohibited by the Company’s securities trading policy (or Company-imposed “blackout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358140</wp:posOffset>
            </wp:positionV>
            <wp:extent cx="63887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40" w:top="112" w:right="919" w:bottom="1440" w:gutter="0" w:footer="0" w:header="0"/>
        </w:sectPr>
      </w:pPr>
    </w:p>
    <w:bookmarkStart w:id="160" w:name="page161"/>
    <w:bookmarkEnd w:id="160"/>
    <w:p>
      <w:pPr>
        <w:ind w:left="1" w:right="520"/>
        <w:spacing w:after="0" w:line="329" w:lineRule="auto"/>
        <w:rPr>
          <w:sz w:val="20"/>
          <w:szCs w:val="20"/>
          <w:color w:val="auto"/>
        </w:rPr>
      </w:pPr>
      <w:r>
        <w:rPr>
          <w:rFonts w:ascii="Arial" w:cs="Arial" w:eastAsia="Arial" w:hAnsi="Arial"/>
          <w:sz w:val="19"/>
          <w:szCs w:val="19"/>
          <w:color w:val="auto"/>
        </w:rPr>
        <w:t>period”), the Option Period shall be automatically extended until the 30th day following the expiration of such prohibition (but not to the extent that any such extension would otherwise violate Section 409A of the Code).</w:t>
      </w:r>
    </w:p>
    <w:p>
      <w:pPr>
        <w:spacing w:after="0" w:line="104" w:lineRule="exact"/>
        <w:rPr>
          <w:sz w:val="20"/>
          <w:szCs w:val="20"/>
          <w:color w:val="auto"/>
        </w:rPr>
      </w:pPr>
    </w:p>
    <w:p>
      <w:pPr>
        <w:ind w:left="1" w:firstLine="1296"/>
        <w:spacing w:after="0" w:line="274" w:lineRule="auto"/>
        <w:tabs>
          <w:tab w:leader="none" w:pos="1982" w:val="left"/>
        </w:tabs>
        <w:numPr>
          <w:ilvl w:val="2"/>
          <w:numId w:val="62"/>
        </w:numPr>
        <w:rPr>
          <w:rFonts w:ascii="Arial" w:cs="Arial" w:eastAsia="Arial" w:hAnsi="Arial"/>
          <w:sz w:val="19"/>
          <w:szCs w:val="19"/>
          <w:color w:val="auto"/>
        </w:rPr>
      </w:pPr>
      <w:r>
        <w:rPr>
          <w:rFonts w:ascii="Arial" w:cs="Arial" w:eastAsia="Arial" w:hAnsi="Arial"/>
          <w:sz w:val="19"/>
          <w:szCs w:val="19"/>
          <w:color w:val="auto"/>
        </w:rPr>
        <w:t>If, prior to the end of the Option Period, the Participant’s employment with, or engagement to provide services to, the Company and all Affiliates is terminated without Cause or by the Participant for any reason, then the Option shall expire on the earlier of the last day of the Option Period and the date that is 90 days after the date of such termination; provided, however, that if the Participant’s employment or engagement to provide services to the Company and its Affiliates is terminated and the Participant is subsequently rehired or reengaged by the Company or any Affiliate within 90 days following such termination and prior to the expiration of the Option, the Participant shall not be considered to have undergone a termination of employment or service, as applicable. In the event of a termination described in this subsection (b), the Option shall remain exercisable by the Participant until its expiration only to the extent that the Option was exercisable at the time of such termination.</w:t>
      </w:r>
    </w:p>
    <w:p>
      <w:pPr>
        <w:spacing w:after="0" w:line="158" w:lineRule="exact"/>
        <w:rPr>
          <w:rFonts w:ascii="Arial" w:cs="Arial" w:eastAsia="Arial" w:hAnsi="Arial"/>
          <w:sz w:val="19"/>
          <w:szCs w:val="19"/>
          <w:color w:val="auto"/>
        </w:rPr>
      </w:pPr>
    </w:p>
    <w:p>
      <w:pPr>
        <w:ind w:left="1" w:firstLine="1296"/>
        <w:spacing w:after="0" w:line="245" w:lineRule="auto"/>
        <w:tabs>
          <w:tab w:leader="none" w:pos="1969" w:val="left"/>
        </w:tabs>
        <w:numPr>
          <w:ilvl w:val="2"/>
          <w:numId w:val="62"/>
        </w:numPr>
        <w:rPr>
          <w:rFonts w:ascii="Arial" w:cs="Arial" w:eastAsia="Arial" w:hAnsi="Arial"/>
          <w:sz w:val="21"/>
          <w:szCs w:val="21"/>
          <w:color w:val="auto"/>
        </w:rPr>
      </w:pPr>
      <w:r>
        <w:rPr>
          <w:rFonts w:ascii="Arial" w:cs="Arial" w:eastAsia="Arial" w:hAnsi="Arial"/>
          <w:sz w:val="21"/>
          <w:szCs w:val="21"/>
          <w:color w:val="auto"/>
        </w:rPr>
        <w:t>If (i) the Participant’s employment with or engagement to provide services to, the Company is terminated prior to the end of the Option Period on account of the Participant’s Disability, (ii) the Participant dies while still in the employ or engagement of the Company or an Affiliate, (iii) the Participant dies following a termination described in subsection (b) above but prior to the expiration of an Option, or (iv) the Participant’s employment with, or engagement to provide services to, the Company is terminated prior to the end of the Option Period on account of his or her Retirement, the Option shall expire on the earlier of the last day of the Option Period and the date that is one (1) year after the date of death or termination on account of Disability of or Retirement by the Participant, as applicable. In such event, the Option shall remain exercisable by the Participant or Participant’s beneficiary, as applicable, until its expiration only to the extent that the Option was exercisable by the Participant at the time of such event.</w:t>
      </w:r>
    </w:p>
    <w:p>
      <w:pPr>
        <w:spacing w:after="0" w:line="181" w:lineRule="exact"/>
        <w:rPr>
          <w:rFonts w:ascii="Arial" w:cs="Arial" w:eastAsia="Arial" w:hAnsi="Arial"/>
          <w:sz w:val="21"/>
          <w:szCs w:val="21"/>
          <w:color w:val="auto"/>
        </w:rPr>
      </w:pPr>
    </w:p>
    <w:p>
      <w:pPr>
        <w:ind w:left="1" w:firstLine="1296"/>
        <w:spacing w:after="0" w:line="258" w:lineRule="auto"/>
        <w:tabs>
          <w:tab w:leader="none" w:pos="1982" w:val="left"/>
        </w:tabs>
        <w:numPr>
          <w:ilvl w:val="2"/>
          <w:numId w:val="62"/>
        </w:numPr>
        <w:rPr>
          <w:rFonts w:ascii="Arial" w:cs="Arial" w:eastAsia="Arial" w:hAnsi="Arial"/>
          <w:sz w:val="21"/>
          <w:szCs w:val="21"/>
          <w:color w:val="auto"/>
        </w:rPr>
      </w:pPr>
      <w:r>
        <w:rPr>
          <w:rFonts w:ascii="Arial" w:cs="Arial" w:eastAsia="Arial" w:hAnsi="Arial"/>
          <w:sz w:val="21"/>
          <w:szCs w:val="21"/>
          <w:color w:val="auto"/>
        </w:rPr>
        <w:t>If the Participant ceases employment with or engagement to provide services to the Company or any Affiliates due to a termination for Cause, the Option (whether vested or unvested) shall be cancelled immediately and the Participant shall have no rights with respect to the Option Shares.</w:t>
      </w:r>
    </w:p>
    <w:p>
      <w:pPr>
        <w:spacing w:after="0" w:line="160" w:lineRule="exact"/>
        <w:rPr>
          <w:rFonts w:ascii="Arial" w:cs="Arial" w:eastAsia="Arial" w:hAnsi="Arial"/>
          <w:sz w:val="21"/>
          <w:szCs w:val="21"/>
          <w:color w:val="auto"/>
        </w:rPr>
      </w:pPr>
    </w:p>
    <w:p>
      <w:pPr>
        <w:ind w:left="1301" w:hanging="652"/>
        <w:spacing w:after="0"/>
        <w:tabs>
          <w:tab w:leader="none" w:pos="1301" w:val="left"/>
        </w:tabs>
        <w:numPr>
          <w:ilvl w:val="1"/>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Exercise and Form of Payment</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 w:right="60" w:firstLine="1296"/>
        <w:spacing w:after="0" w:line="270" w:lineRule="auto"/>
        <w:tabs>
          <w:tab w:leader="none" w:pos="1969" w:val="left"/>
        </w:tabs>
        <w:numPr>
          <w:ilvl w:val="2"/>
          <w:numId w:val="63"/>
        </w:numPr>
        <w:rPr>
          <w:rFonts w:ascii="Arial" w:cs="Arial" w:eastAsia="Arial" w:hAnsi="Arial"/>
          <w:sz w:val="19"/>
          <w:szCs w:val="19"/>
          <w:color w:val="auto"/>
        </w:rPr>
      </w:pPr>
      <w:r>
        <w:rPr>
          <w:rFonts w:ascii="Arial" w:cs="Arial" w:eastAsia="Arial" w:hAnsi="Arial"/>
          <w:sz w:val="19"/>
          <w:szCs w:val="19"/>
          <w:color w:val="auto"/>
        </w:rPr>
        <w:t>No Option Shares shall be delivered pursuant to any exercise of the Option until the Participant has paid in full to the Company the Exercise Price and an amount equal to any U.S. federal, state, local and non-U.S. income and employment taxes required to be withheld. The Option may be exercised by delivery of written or electronic notice of exercise to the Company or its designee (including a third-party-administrator) in accordance with the terms hereof. The Exercise Price and all applicable required withholding taxes shall be payable</w:t>
      </w:r>
    </w:p>
    <w:p>
      <w:pPr>
        <w:spacing w:after="0" w:line="4" w:lineRule="exact"/>
        <w:rPr>
          <w:rFonts w:ascii="Arial" w:cs="Arial" w:eastAsia="Arial" w:hAnsi="Arial"/>
          <w:sz w:val="19"/>
          <w:szCs w:val="19"/>
          <w:color w:val="auto"/>
        </w:rPr>
      </w:pPr>
    </w:p>
    <w:p>
      <w:pPr>
        <w:ind w:left="1" w:right="100" w:hanging="1"/>
        <w:spacing w:after="0" w:line="233" w:lineRule="auto"/>
        <w:tabs>
          <w:tab w:leader="none" w:pos="259"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 cash, check or cash equivalent; or (ii) by such other method as the Committee may permit, including without limitation: (A)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provided that such shares of Common Stock are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61" w:name="page162"/>
    <w:bookmarkEnd w:id="161"/>
    <w:p>
      <w:pPr>
        <w:ind w:right="200"/>
        <w:spacing w:after="0" w:line="247" w:lineRule="auto"/>
        <w:rPr>
          <w:sz w:val="20"/>
          <w:szCs w:val="20"/>
          <w:color w:val="auto"/>
        </w:rPr>
      </w:pPr>
      <w:r>
        <w:rPr>
          <w:rFonts w:ascii="Arial" w:cs="Arial" w:eastAsia="Arial" w:hAnsi="Arial"/>
          <w:sz w:val="21"/>
          <w:szCs w:val="21"/>
          <w:color w:val="auto"/>
        </w:rPr>
        <w:t>not subject to any pledge or other security interest; (B) in other property having a Fair Market Value equal to the Exercise Price and all applicable required withholding taxes; or (C)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and all applicable required withholding taxes. Any fractional shares of Common Stock resulting from the application of this Section 5 shall be settled in cash.</w:t>
      </w:r>
    </w:p>
    <w:p>
      <w:pPr>
        <w:spacing w:after="0" w:line="179" w:lineRule="exact"/>
        <w:rPr>
          <w:sz w:val="20"/>
          <w:szCs w:val="20"/>
          <w:color w:val="auto"/>
        </w:rPr>
      </w:pPr>
    </w:p>
    <w:p>
      <w:pPr>
        <w:ind w:right="60" w:firstLine="1296"/>
        <w:spacing w:after="0" w:line="238" w:lineRule="auto"/>
        <w:tabs>
          <w:tab w:leader="none" w:pos="1981" w:val="left"/>
        </w:tabs>
        <w:numPr>
          <w:ilvl w:val="1"/>
          <w:numId w:val="65"/>
        </w:numPr>
        <w:rPr>
          <w:rFonts w:ascii="Arial" w:cs="Arial" w:eastAsia="Arial" w:hAnsi="Arial"/>
          <w:sz w:val="22"/>
          <w:szCs w:val="22"/>
          <w:color w:val="auto"/>
        </w:rPr>
      </w:pPr>
      <w:r>
        <w:rPr>
          <w:rFonts w:ascii="Arial" w:cs="Arial" w:eastAsia="Arial" w:hAnsi="Arial"/>
          <w:sz w:val="22"/>
          <w:szCs w:val="22"/>
          <w:color w:val="auto"/>
        </w:rPr>
        <w:t>By exercising the Option the Participant agrees that the Participant will notify the Company in writing within fifteen (15) days after the date of any disposition of any of the Option Shares acquired upon exercise of the Option that occurs within two (2) years after the date of the Option grant or within one (1) year after such Option Shares are acquired.</w:t>
      </w:r>
    </w:p>
    <w:p>
      <w:pPr>
        <w:spacing w:after="0" w:line="179" w:lineRule="exact"/>
        <w:rPr>
          <w:rFonts w:ascii="Arial" w:cs="Arial" w:eastAsia="Arial" w:hAnsi="Arial"/>
          <w:sz w:val="22"/>
          <w:szCs w:val="22"/>
          <w:color w:val="auto"/>
        </w:rPr>
      </w:pPr>
    </w:p>
    <w:p>
      <w:pPr>
        <w:ind w:right="60" w:firstLine="648"/>
        <w:spacing w:after="0" w:line="248" w:lineRule="auto"/>
        <w:tabs>
          <w:tab w:leader="none" w:pos="1297"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color w:val="auto"/>
        </w:rPr>
        <w:t>Rights as a Stockholder</w:t>
      </w:r>
      <w:r>
        <w:rPr>
          <w:rFonts w:ascii="Arial" w:cs="Arial" w:eastAsia="Arial" w:hAnsi="Arial"/>
          <w:sz w:val="21"/>
          <w:szCs w:val="21"/>
          <w:color w:val="auto"/>
        </w:rPr>
        <w:t>. The Participant shall not be deemed for any purpose to be the owner of</w:t>
      </w:r>
      <w:r>
        <w:rPr>
          <w:rFonts w:ascii="Arial" w:cs="Arial" w:eastAsia="Arial" w:hAnsi="Arial"/>
          <w:sz w:val="21"/>
          <w:szCs w:val="21"/>
          <w:b w:val="1"/>
          <w:bCs w:val="1"/>
          <w:color w:val="auto"/>
        </w:rPr>
        <w:t xml:space="preserve"> </w:t>
      </w:r>
      <w:r>
        <w:rPr>
          <w:rFonts w:ascii="Arial" w:cs="Arial" w:eastAsia="Arial" w:hAnsi="Arial"/>
          <w:sz w:val="21"/>
          <w:szCs w:val="21"/>
          <w:color w:val="auto"/>
        </w:rPr>
        <w:t>any shares of Common Stock subject to this Option unless, until and to the extent that (i) this Option shall have been exercised pursuant to its terms, (ii) the Company shall have issued and delivered to the Participant the Option Shares and (iii) the Participant’s name shall have been entered as a stockholder of record with respect to such Option Shares on the books of the Company. The Company shall cause the actions described in clauses (ii) and (iii) of the preceding sentence to occur promptly following settlement as contemplated by this Agreement, subject to compliance with applicable laws.</w:t>
      </w:r>
    </w:p>
    <w:p>
      <w:pPr>
        <w:spacing w:after="0" w:line="171" w:lineRule="exact"/>
        <w:rPr>
          <w:rFonts w:ascii="Arial" w:cs="Arial" w:eastAsia="Arial" w:hAnsi="Arial"/>
          <w:sz w:val="21"/>
          <w:szCs w:val="21"/>
          <w:b w:val="1"/>
          <w:bCs w:val="1"/>
          <w:color w:val="auto"/>
        </w:rPr>
      </w:pPr>
    </w:p>
    <w:p>
      <w:pPr>
        <w:ind w:left="1300" w:hanging="652"/>
        <w:spacing w:after="0"/>
        <w:tabs>
          <w:tab w:leader="none" w:pos="130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Legal Requirements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right="320" w:firstLine="1296"/>
        <w:spacing w:after="0" w:line="279" w:lineRule="auto"/>
        <w:tabs>
          <w:tab w:leader="none" w:pos="1968"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exercising of the Option,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50" w:lineRule="exact"/>
        <w:rPr>
          <w:rFonts w:ascii="Arial" w:cs="Arial" w:eastAsia="Arial" w:hAnsi="Arial"/>
          <w:sz w:val="19"/>
          <w:szCs w:val="19"/>
          <w:color w:val="auto"/>
        </w:rPr>
      </w:pPr>
    </w:p>
    <w:p>
      <w:pPr>
        <w:ind w:firstLine="1296"/>
        <w:spacing w:after="0" w:line="272" w:lineRule="auto"/>
        <w:tabs>
          <w:tab w:leader="none" w:pos="1981"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Any exercise of the Option shall be subject to the Participant’s satisfying any applicable U.S. federal, state and local tax withholding obligations and non-U.S. tax withholding obligations. The Company shall have the right and is hereby authorized to withhold from any amounts payable to the Participant in connection with the Option or otherwise the amount of any required withholding taxes in respect of the Option, its exercise or any payment or transfer of the Option or under the Plan and to take any such other action as the Committee or the Company deem necessary to satisfy all obligations for the payment of such withholding taxes (up to the maximum permissible withholding amounts), including the right to use a broker-assisted “cashless exercise” as described in Section 5(i)(C) hereof. The Participant may elect to satisfy, and the Company may require the Participant to satisfy, in whole or in part, the tax obligations by withholding shares of Common Stock that would otherwise be received upon exercise of the Option with a Fair Market Value equal to such withholding liability. For exercises of the Option occurring during a blackout period under the Company’s insider trading policy, the Company shall arrange for the sale of a number of shares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162" w:name="page163"/>
    <w:bookmarkEnd w:id="162"/>
    <w:p>
      <w:pPr>
        <w:ind w:right="20"/>
        <w:spacing w:after="0" w:line="258" w:lineRule="auto"/>
        <w:rPr>
          <w:sz w:val="20"/>
          <w:szCs w:val="20"/>
          <w:color w:val="auto"/>
        </w:rPr>
      </w:pPr>
      <w:r>
        <w:rPr>
          <w:rFonts w:ascii="Arial" w:cs="Arial" w:eastAsia="Arial" w:hAnsi="Arial"/>
          <w:sz w:val="21"/>
          <w:szCs w:val="21"/>
          <w:color w:val="auto"/>
        </w:rPr>
        <w:t>of Common Stock to be delivered to the Participant to satisfy the applicable withholding obligations. Such shares of Common Stock shall be sold on behalf of the Participant through the Company’s transfer agent on the facilities of any exchange on which the Common Stock is listed at the time of such sale.</w:t>
      </w:r>
    </w:p>
    <w:p>
      <w:pPr>
        <w:spacing w:after="0" w:line="161" w:lineRule="exact"/>
        <w:rPr>
          <w:sz w:val="20"/>
          <w:szCs w:val="20"/>
          <w:color w:val="auto"/>
        </w:rPr>
      </w:pPr>
    </w:p>
    <w:p>
      <w:pPr>
        <w:ind w:left="1300" w:hanging="652"/>
        <w:spacing w:after="0"/>
        <w:tabs>
          <w:tab w:leader="none" w:pos="130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right="260" w:firstLine="1296"/>
        <w:spacing w:after="0" w:line="282" w:lineRule="auto"/>
        <w:tabs>
          <w:tab w:leader="none" w:pos="1968"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Option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14(b) of the Plan. Any attempted Transfer of the Option contrary to the provisions hereof, and the levy of any execution, attachment or similar process upon the Option, shall be null and void and without effect.</w:t>
      </w:r>
    </w:p>
    <w:p>
      <w:pPr>
        <w:spacing w:after="0" w:line="147" w:lineRule="exact"/>
        <w:rPr>
          <w:rFonts w:ascii="Arial" w:cs="Arial" w:eastAsia="Arial" w:hAnsi="Arial"/>
          <w:sz w:val="19"/>
          <w:szCs w:val="19"/>
          <w:color w:val="auto"/>
        </w:rPr>
      </w:pPr>
    </w:p>
    <w:p>
      <w:pPr>
        <w:ind w:right="40" w:firstLine="1296"/>
        <w:spacing w:after="0" w:line="249" w:lineRule="auto"/>
        <w:tabs>
          <w:tab w:leader="none" w:pos="1981"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8" w:lineRule="exact"/>
        <w:rPr>
          <w:rFonts w:ascii="Arial" w:cs="Arial" w:eastAsia="Arial" w:hAnsi="Arial"/>
          <w:sz w:val="21"/>
          <w:szCs w:val="21"/>
          <w:color w:val="auto"/>
        </w:rPr>
      </w:pPr>
    </w:p>
    <w:p>
      <w:pPr>
        <w:ind w:firstLine="1296"/>
        <w:spacing w:after="0" w:line="244" w:lineRule="auto"/>
        <w:tabs>
          <w:tab w:leader="none" w:pos="1968"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The Option is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8(c) does not create an obligation on the part of the Company to modify the Plan or this Agreement and does not guarantee that the Option or the Option Shares will not be subject to interest and penalties under Section 409A.</w:t>
      </w:r>
    </w:p>
    <w:p>
      <w:pPr>
        <w:spacing w:after="0" w:line="189" w:lineRule="exact"/>
        <w:rPr>
          <w:rFonts w:ascii="Arial" w:cs="Arial" w:eastAsia="Arial" w:hAnsi="Arial"/>
          <w:sz w:val="21"/>
          <w:szCs w:val="21"/>
          <w:color w:val="auto"/>
        </w:rPr>
      </w:pPr>
    </w:p>
    <w:p>
      <w:pPr>
        <w:ind w:right="20" w:firstLine="1296"/>
        <w:spacing w:after="0" w:line="235" w:lineRule="auto"/>
        <w:tabs>
          <w:tab w:leader="none" w:pos="1981"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8" w:lineRule="exact"/>
        <w:rPr>
          <w:rFonts w:ascii="Arial" w:cs="Arial" w:eastAsia="Arial" w:hAnsi="Arial"/>
          <w:sz w:val="22"/>
          <w:szCs w:val="22"/>
          <w:color w:val="auto"/>
        </w:rPr>
      </w:pPr>
    </w:p>
    <w:p>
      <w:pPr>
        <w:ind w:right="140" w:firstLine="1296"/>
        <w:spacing w:after="0"/>
        <w:tabs>
          <w:tab w:leader="none" w:pos="1968"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63" w:name="page164"/>
    <w:bookmarkEnd w:id="163"/>
    <w:p>
      <w:pPr>
        <w:ind w:left="-20" w:right="220" w:firstLine="1296"/>
        <w:spacing w:after="0" w:line="236" w:lineRule="auto"/>
        <w:tabs>
          <w:tab w:leader="none" w:pos="1925"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 Rights to Employment, Directorship or Service</w:t>
      </w:r>
      <w:r>
        <w:rPr>
          <w:rFonts w:ascii="Arial" w:cs="Arial" w:eastAsia="Arial" w:hAnsi="Arial"/>
          <w:sz w:val="22"/>
          <w:szCs w:val="22"/>
          <w:color w:val="auto"/>
        </w:rPr>
        <w:t>. Nothing contained in this Agreement shall be construed as giving the Participant any right to be retained, in any position, as an employee, 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8" w:lineRule="exact"/>
        <w:rPr>
          <w:rFonts w:ascii="Arial" w:cs="Arial" w:eastAsia="Arial" w:hAnsi="Arial"/>
          <w:sz w:val="22"/>
          <w:szCs w:val="22"/>
          <w:color w:val="auto"/>
        </w:rPr>
      </w:pPr>
    </w:p>
    <w:p>
      <w:pPr>
        <w:ind w:left="-20" w:right="320" w:firstLine="1296"/>
        <w:spacing w:after="0" w:line="238" w:lineRule="auto"/>
        <w:tabs>
          <w:tab w:leader="none" w:pos="196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In lieu of issuing a fraction of a share of Common Stock resulting from any exercise of the Option or an adjustment of the Option pursuant to Section 11 of the Plan or otherwise, the Company shall be entitled to pay to the Participant an amount in cash equal to the Fair Market Value of such fractional share.</w:t>
      </w:r>
    </w:p>
    <w:p>
      <w:pPr>
        <w:spacing w:after="0" w:line="185" w:lineRule="exact"/>
        <w:rPr>
          <w:rFonts w:ascii="Arial" w:cs="Arial" w:eastAsia="Arial" w:hAnsi="Arial"/>
          <w:sz w:val="22"/>
          <w:szCs w:val="22"/>
          <w:color w:val="auto"/>
        </w:rPr>
      </w:pPr>
    </w:p>
    <w:p>
      <w:pPr>
        <w:ind w:left="-20" w:firstLine="1296"/>
        <w:spacing w:after="0"/>
        <w:tabs>
          <w:tab w:leader="none" w:pos="196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The Participant may file with the Committee a written designation of a beneficiary on such form as may be prescribed by the Committee and may, from time to time, amend or revoke such designation.</w:t>
      </w:r>
    </w:p>
    <w:p>
      <w:pPr>
        <w:spacing w:after="0" w:line="186" w:lineRule="exact"/>
        <w:rPr>
          <w:rFonts w:ascii="Arial" w:cs="Arial" w:eastAsia="Arial" w:hAnsi="Arial"/>
          <w:sz w:val="22"/>
          <w:szCs w:val="22"/>
          <w:color w:val="auto"/>
        </w:rPr>
      </w:pPr>
    </w:p>
    <w:p>
      <w:pPr>
        <w:ind w:left="-20" w:firstLine="1296"/>
        <w:spacing w:after="0"/>
        <w:tabs>
          <w:tab w:leader="none" w:pos="1967"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6" w:lineRule="exact"/>
        <w:rPr>
          <w:rFonts w:ascii="Arial" w:cs="Arial" w:eastAsia="Arial" w:hAnsi="Arial"/>
          <w:sz w:val="22"/>
          <w:szCs w:val="22"/>
          <w:color w:val="auto"/>
        </w:rPr>
      </w:pPr>
    </w:p>
    <w:p>
      <w:pPr>
        <w:ind w:left="-20" w:right="20" w:firstLine="1296"/>
        <w:spacing w:after="0" w:line="272" w:lineRule="auto"/>
        <w:tabs>
          <w:tab w:leader="none" w:pos="196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Notwithstanding the foregoing or anything to the contrary herein, if the Participant is a party to an employment, consulting, change-in-control, severance or other applicable written agreement with the Company that modifies or supplements the terms of this Agreement (each, a “</w:t>
      </w:r>
      <w:r>
        <w:rPr>
          <w:rFonts w:ascii="Arial" w:cs="Arial" w:eastAsia="Arial" w:hAnsi="Arial"/>
          <w:sz w:val="19"/>
          <w:szCs w:val="19"/>
          <w:u w:val="single" w:color="auto"/>
          <w:color w:val="auto"/>
        </w:rPr>
        <w:t>Superseding Agreement</w:t>
      </w:r>
      <w:r>
        <w:rPr>
          <w:rFonts w:ascii="Arial" w:cs="Arial" w:eastAsia="Arial" w:hAnsi="Arial"/>
          <w:sz w:val="19"/>
          <w:szCs w:val="19"/>
          <w:color w:val="auto"/>
        </w:rPr>
        <w:t>”), or is the subject of a resolution by the Committee or the board of directors of the Company evidencing the grant of an award that modifies or supplements the terms of this Agreement (a “</w:t>
      </w:r>
      <w:r>
        <w:rPr>
          <w:rFonts w:ascii="Arial" w:cs="Arial" w:eastAsia="Arial" w:hAnsi="Arial"/>
          <w:sz w:val="19"/>
          <w:szCs w:val="19"/>
          <w:u w:val="single" w:color="auto"/>
          <w:color w:val="auto"/>
        </w:rPr>
        <w:t>Resolution</w:t>
      </w:r>
      <w:r>
        <w:rPr>
          <w:rFonts w:ascii="Arial" w:cs="Arial" w:eastAsia="Arial" w:hAnsi="Arial"/>
          <w:sz w:val="19"/>
          <w:szCs w:val="19"/>
          <w:color w:val="auto"/>
        </w:rPr>
        <w:t>”), such modified or supplemented terms shall control in the event of any conflict between such terms and the terms of this Agreement, provided that in the event that the Superseding Agreement or Resolution is silent on a matter addressed in this Agreement, then such silence is not a conflict. No change, modification or waiver of any provision of this Agreement shall be valid unless the same be in writing and signed by the parties hereto, except for any changes permitted without consent under Section 11 or 13 of the Plan.</w:t>
      </w:r>
    </w:p>
    <w:p>
      <w:pPr>
        <w:spacing w:after="0" w:line="161" w:lineRule="exact"/>
        <w:rPr>
          <w:rFonts w:ascii="Arial" w:cs="Arial" w:eastAsia="Arial" w:hAnsi="Arial"/>
          <w:sz w:val="19"/>
          <w:szCs w:val="19"/>
          <w:color w:val="auto"/>
        </w:rPr>
      </w:pPr>
    </w:p>
    <w:p>
      <w:pPr>
        <w:ind w:left="-20" w:right="40" w:firstLine="1296"/>
        <w:spacing w:after="0" w:line="238" w:lineRule="auto"/>
        <w:tabs>
          <w:tab w:leader="none" w:pos="196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Governing Law and Venue</w:t>
      </w:r>
      <w:r>
        <w:rPr>
          <w:rFonts w:ascii="Arial" w:cs="Arial" w:eastAsia="Arial" w:hAnsi="Arial"/>
          <w:sz w:val="22"/>
          <w:szCs w:val="22"/>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5" w:lineRule="exact"/>
        <w:rPr>
          <w:rFonts w:ascii="Arial" w:cs="Arial" w:eastAsia="Arial" w:hAnsi="Arial"/>
          <w:sz w:val="22"/>
          <w:szCs w:val="22"/>
          <w:color w:val="auto"/>
        </w:rPr>
      </w:pPr>
    </w:p>
    <w:p>
      <w:pPr>
        <w:ind w:left="-20" w:right="20" w:firstLine="1296"/>
        <w:spacing w:after="0" w:line="279" w:lineRule="auto"/>
        <w:tabs>
          <w:tab w:leader="none" w:pos="196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Dispute Resolution; Consent to Jurisdiction</w:t>
      </w:r>
      <w:r>
        <w:rPr>
          <w:rFonts w:ascii="Arial" w:cs="Arial" w:eastAsia="Arial" w:hAnsi="Arial"/>
          <w:sz w:val="19"/>
          <w:szCs w:val="19"/>
          <w:color w:val="auto"/>
        </w:rPr>
        <w:t>. All disputes between or among any Persons arising out of or in any way connected with the Plan, this Agreement or the Option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358140</wp:posOffset>
            </wp:positionV>
            <wp:extent cx="63887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40" w:top="118" w:right="919" w:bottom="1440" w:gutter="0" w:footer="0" w:header="0"/>
        </w:sectPr>
      </w:pPr>
    </w:p>
    <w:bookmarkStart w:id="164" w:name="page165"/>
    <w:bookmarkEnd w:id="164"/>
    <w:p>
      <w:pPr>
        <w:ind w:right="20"/>
        <w:spacing w:after="0" w:line="249" w:lineRule="auto"/>
        <w:rPr>
          <w:sz w:val="20"/>
          <w:szCs w:val="20"/>
          <w:color w:val="auto"/>
        </w:rPr>
      </w:pPr>
      <w:r>
        <w:rPr>
          <w:rFonts w:ascii="Arial" w:cs="Arial" w:eastAsia="Arial" w:hAnsi="Arial"/>
          <w:sz w:val="21"/>
          <w:szCs w:val="21"/>
          <w:color w:val="auto"/>
        </w:rPr>
        <w:t>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9" w:lineRule="exact"/>
        <w:rPr>
          <w:sz w:val="20"/>
          <w:szCs w:val="20"/>
          <w:color w:val="auto"/>
        </w:rPr>
      </w:pPr>
    </w:p>
    <w:p>
      <w:pPr>
        <w:ind w:firstLine="1296"/>
        <w:spacing w:after="0" w:line="247" w:lineRule="auto"/>
        <w:tabs>
          <w:tab w:leader="none" w:pos="1987"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8" w:lineRule="exact"/>
        <w:rPr>
          <w:rFonts w:ascii="Arial" w:cs="Arial" w:eastAsia="Arial" w:hAnsi="Arial"/>
          <w:sz w:val="21"/>
          <w:szCs w:val="21"/>
          <w:color w:val="auto"/>
        </w:rPr>
      </w:pPr>
    </w:p>
    <w:p>
      <w:pPr>
        <w:ind w:firstLine="1296"/>
        <w:spacing w:after="0" w:line="328" w:lineRule="auto"/>
        <w:tabs>
          <w:tab w:leader="none" w:pos="198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w:t>
      </w:r>
    </w:p>
    <w:p>
      <w:pPr>
        <w:spacing w:after="0" w:line="105" w:lineRule="exact"/>
        <w:rPr>
          <w:rFonts w:ascii="Arial" w:cs="Arial" w:eastAsia="Arial" w:hAnsi="Arial"/>
          <w:sz w:val="19"/>
          <w:szCs w:val="19"/>
          <w:color w:val="auto"/>
        </w:rPr>
      </w:pPr>
    </w:p>
    <w:p>
      <w:pPr>
        <w:ind w:firstLine="1296"/>
        <w:spacing w:after="0" w:line="287" w:lineRule="auto"/>
        <w:tabs>
          <w:tab w:leader="none" w:pos="198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(including via electronic signature or acceptance, facsimile, or electronic image scan (pdf)), each of which shall be deemed to be an original, but both of which together shall constitute one and the same instrument and shall become effective when one or more counterparts have been signed by each of the parties and delivered to the other parties.</w:t>
      </w:r>
    </w:p>
    <w:p>
      <w:pPr>
        <w:spacing w:after="0" w:line="143" w:lineRule="exact"/>
        <w:rPr>
          <w:rFonts w:ascii="Arial" w:cs="Arial" w:eastAsia="Arial" w:hAnsi="Arial"/>
          <w:sz w:val="19"/>
          <w:szCs w:val="19"/>
          <w:color w:val="auto"/>
        </w:rPr>
      </w:pPr>
    </w:p>
    <w:p>
      <w:pPr>
        <w:ind w:right="60" w:firstLine="1296"/>
        <w:spacing w:after="0" w:line="236" w:lineRule="auto"/>
        <w:tabs>
          <w:tab w:leader="none" w:pos="198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7" w:lineRule="exact"/>
        <w:rPr>
          <w:rFonts w:ascii="Arial" w:cs="Arial" w:eastAsia="Arial" w:hAnsi="Arial"/>
          <w:sz w:val="22"/>
          <w:szCs w:val="22"/>
          <w:color w:val="auto"/>
        </w:rPr>
      </w:pPr>
    </w:p>
    <w:p>
      <w:pPr>
        <w:ind w:firstLine="1296"/>
        <w:spacing w:after="0" w:line="287" w:lineRule="auto"/>
        <w:tabs>
          <w:tab w:leader="none" w:pos="198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165" w:name="page166"/>
    <w:bookmarkEnd w:id="165"/>
    <w:p>
      <w:pPr>
        <w:ind w:right="259" w:firstLine="648"/>
        <w:spacing w:after="0" w:line="251" w:lineRule="auto"/>
        <w:rPr>
          <w:sz w:val="20"/>
          <w:szCs w:val="20"/>
          <w:color w:val="auto"/>
        </w:rPr>
      </w:pPr>
      <w:r>
        <w:rPr>
          <w:rFonts w:ascii="Arial" w:cs="Arial" w:eastAsia="Arial" w:hAnsi="Arial"/>
          <w:sz w:val="22"/>
          <w:szCs w:val="22"/>
          <w:color w:val="auto"/>
        </w:rPr>
        <w:t>IN WITNESS WHEREOF, this Incentive Stock Option Award Agreement has been executed by the Company and the Participant as of the day first written above.</w:t>
      </w:r>
    </w:p>
    <w:p>
      <w:pPr>
        <w:spacing w:after="0" w:line="174"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IOVANCE BIOTHERAPEUTICS, INC.</w:t>
      </w:r>
    </w:p>
    <w:p>
      <w:pPr>
        <w:spacing w:after="0" w:line="23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-158115</wp:posOffset>
            </wp:positionV>
            <wp:extent cx="28644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4445</wp:posOffset>
            </wp:positionV>
            <wp:extent cx="28644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3526790</wp:posOffset>
            </wp:positionH>
            <wp:positionV relativeFrom="paragraph">
              <wp:posOffset>-157480</wp:posOffset>
            </wp:positionV>
            <wp:extent cx="28644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9"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-154940</wp:posOffset>
            </wp:positionV>
            <wp:extent cx="32759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8" w:right="1440" w:bottom="1440" w:gutter="0" w:footer="0" w:header="0"/>
        </w:sectPr>
      </w:pPr>
    </w:p>
    <w:bookmarkStart w:id="166" w:name="page167"/>
    <w:bookmarkEnd w:id="166"/>
    <w:tbl>
      <w:tblPr>
        <w:tblLayout w:type="fixed"/>
        <w:tblInd w:w="1" w:type="dxa"/>
        <w:tblCellMar>
          <w:top w:w="0" w:type="dxa"/>
          <w:left w:w="0" w:type="dxa"/>
          <w:bottom w:w="0" w:type="dxa"/>
          <w:right w:w="0" w:type="dxa"/>
        </w:tblCellMar>
      </w:tblPr>
      <w:tr>
        <w:trPr>
          <w:trHeight w:val="281"/>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ind w:left="680"/>
              <w:spacing w:after="0"/>
              <w:rPr>
                <w:sz w:val="20"/>
                <w:szCs w:val="20"/>
                <w:color w:val="auto"/>
              </w:rPr>
            </w:pPr>
            <w:r>
              <w:rPr>
                <w:rFonts w:ascii="Arial" w:cs="Arial" w:eastAsia="Arial" w:hAnsi="Arial"/>
                <w:sz w:val="22"/>
                <w:szCs w:val="22"/>
                <w:b w:val="1"/>
                <w:bCs w:val="1"/>
                <w:color w:val="auto"/>
                <w:w w:val="87"/>
              </w:rPr>
              <w:t>Exhibit 10.11</w:t>
            </w:r>
          </w:p>
        </w:tc>
        <w:tc>
          <w:tcPr>
            <w:tcW w:w="0" w:type="dxa"/>
            <w:vAlign w:val="bottom"/>
          </w:tcPr>
          <w:p>
            <w:pPr>
              <w:spacing w:after="0"/>
              <w:rPr>
                <w:sz w:val="1"/>
                <w:szCs w:val="1"/>
                <w:color w:val="auto"/>
              </w:rPr>
            </w:pPr>
          </w:p>
        </w:tc>
      </w:tr>
      <w:tr>
        <w:trPr>
          <w:trHeight w:val="422"/>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20" w:type="dxa"/>
            <w:vAlign w:val="bottom"/>
            <w:gridSpan w:val="7"/>
          </w:tcPr>
          <w:p>
            <w:pPr>
              <w:jc w:val="center"/>
              <w:ind w:right="2132"/>
              <w:spacing w:after="0"/>
              <w:rPr>
                <w:sz w:val="20"/>
                <w:szCs w:val="20"/>
                <w:color w:val="auto"/>
              </w:rPr>
            </w:pPr>
            <w:r>
              <w:rPr>
                <w:rFonts w:ascii="Arial" w:cs="Arial" w:eastAsia="Arial" w:hAnsi="Arial"/>
                <w:sz w:val="22"/>
                <w:szCs w:val="22"/>
                <w:b w:val="1"/>
                <w:bCs w:val="1"/>
                <w:color w:val="auto"/>
                <w:w w:val="99"/>
              </w:rPr>
              <w:t>IOVANCE BIOTHERAPEUTICS, INC.</w:t>
            </w:r>
          </w:p>
        </w:tc>
        <w:tc>
          <w:tcPr>
            <w:tcW w:w="0" w:type="dxa"/>
            <w:vAlign w:val="bottom"/>
          </w:tcPr>
          <w:p>
            <w:pPr>
              <w:spacing w:after="0"/>
              <w:rPr>
                <w:sz w:val="1"/>
                <w:szCs w:val="1"/>
                <w:color w:val="auto"/>
              </w:rPr>
            </w:pPr>
          </w:p>
        </w:tc>
      </w:tr>
      <w:tr>
        <w:trPr>
          <w:trHeight w:val="281"/>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20" w:type="dxa"/>
            <w:vAlign w:val="bottom"/>
            <w:gridSpan w:val="7"/>
          </w:tcPr>
          <w:p>
            <w:pPr>
              <w:jc w:val="center"/>
              <w:ind w:right="2052"/>
              <w:spacing w:after="0"/>
              <w:rPr>
                <w:sz w:val="20"/>
                <w:szCs w:val="20"/>
                <w:color w:val="auto"/>
              </w:rPr>
            </w:pPr>
            <w:r>
              <w:rPr>
                <w:rFonts w:ascii="Arial" w:cs="Arial" w:eastAsia="Arial" w:hAnsi="Arial"/>
                <w:sz w:val="22"/>
                <w:szCs w:val="22"/>
                <w:b w:val="1"/>
                <w:bCs w:val="1"/>
                <w:color w:val="auto"/>
                <w:w w:val="99"/>
              </w:rPr>
              <w:t>2018 EQUITY INCENTIVE PLAN</w:t>
            </w:r>
          </w:p>
        </w:tc>
        <w:tc>
          <w:tcPr>
            <w:tcW w:w="0" w:type="dxa"/>
            <w:vAlign w:val="bottom"/>
          </w:tcPr>
          <w:p>
            <w:pPr>
              <w:spacing w:after="0"/>
              <w:rPr>
                <w:sz w:val="1"/>
                <w:szCs w:val="1"/>
                <w:color w:val="auto"/>
              </w:rPr>
            </w:pPr>
          </w:p>
        </w:tc>
      </w:tr>
      <w:tr>
        <w:trPr>
          <w:trHeight w:val="459"/>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40" w:type="dxa"/>
            <w:vAlign w:val="bottom"/>
            <w:gridSpan w:val="8"/>
          </w:tcPr>
          <w:p>
            <w:pPr>
              <w:jc w:val="center"/>
              <w:ind w:right="1212"/>
              <w:spacing w:after="0"/>
              <w:rPr>
                <w:sz w:val="20"/>
                <w:szCs w:val="20"/>
                <w:color w:val="auto"/>
              </w:rPr>
            </w:pPr>
            <w:r>
              <w:rPr>
                <w:rFonts w:ascii="Arial" w:cs="Arial" w:eastAsia="Arial" w:hAnsi="Arial"/>
                <w:sz w:val="22"/>
                <w:szCs w:val="22"/>
                <w:b w:val="1"/>
                <w:bCs w:val="1"/>
                <w:color w:val="auto"/>
                <w:w w:val="99"/>
              </w:rPr>
              <w:t>NONQUALIFIED STOCK OPTION AWARD AGREEMENT</w:t>
            </w:r>
          </w:p>
        </w:tc>
        <w:tc>
          <w:tcPr>
            <w:tcW w:w="0" w:type="dxa"/>
            <w:vAlign w:val="bottom"/>
          </w:tcPr>
          <w:p>
            <w:pPr>
              <w:spacing w:after="0"/>
              <w:rPr>
                <w:sz w:val="1"/>
                <w:szCs w:val="1"/>
                <w:color w:val="auto"/>
              </w:rPr>
            </w:pPr>
          </w:p>
        </w:tc>
      </w:tr>
      <w:tr>
        <w:trPr>
          <w:trHeight w:val="409"/>
        </w:trPr>
        <w:tc>
          <w:tcPr>
            <w:tcW w:w="480" w:type="dxa"/>
            <w:vAlign w:val="bottom"/>
            <w:vMerge w:val="restart"/>
          </w:tcPr>
          <w:p>
            <w:pPr>
              <w:spacing w:after="0"/>
              <w:rPr>
                <w:sz w:val="20"/>
                <w:szCs w:val="20"/>
                <w:color w:val="auto"/>
              </w:rPr>
            </w:pPr>
            <w:r>
              <w:rPr>
                <w:rFonts w:ascii="Arial" w:cs="Arial" w:eastAsia="Arial" w:hAnsi="Arial"/>
                <w:sz w:val="22"/>
                <w:szCs w:val="22"/>
                <w:color w:val="auto"/>
              </w:rPr>
              <w:t>of [</w:t>
            </w:r>
          </w:p>
        </w:tc>
        <w:tc>
          <w:tcPr>
            <w:tcW w:w="9580" w:type="dxa"/>
            <w:vAlign w:val="bottom"/>
            <w:gridSpan w:val="9"/>
          </w:tcPr>
          <w:p>
            <w:pPr>
              <w:ind w:left="160"/>
              <w:spacing w:after="0"/>
              <w:rPr>
                <w:sz w:val="20"/>
                <w:szCs w:val="20"/>
                <w:color w:val="auto"/>
              </w:rPr>
            </w:pPr>
            <w:r>
              <w:rPr>
                <w:rFonts w:ascii="Arial" w:cs="Arial" w:eastAsia="Arial" w:hAnsi="Arial"/>
                <w:sz w:val="22"/>
                <w:szCs w:val="22"/>
                <w:color w:val="auto"/>
                <w:w w:val="94"/>
              </w:rPr>
              <w:t>THIS NONQUALIFIED STOCK OPTION AWARD AGREEMENT (this “Agreement”), is entered into as</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 w:type="dxa"/>
            <w:vAlign w:val="bottom"/>
            <w:vMerge w:val="continue"/>
          </w:tcPr>
          <w:p>
            <w:pPr>
              <w:spacing w:after="0"/>
              <w:rPr>
                <w:sz w:val="19"/>
                <w:szCs w:val="19"/>
                <w:color w:val="auto"/>
              </w:rPr>
            </w:pPr>
          </w:p>
        </w:tc>
        <w:tc>
          <w:tcPr>
            <w:tcW w:w="9580" w:type="dxa"/>
            <w:vAlign w:val="bottom"/>
            <w:gridSpan w:val="9"/>
          </w:tcPr>
          <w:p>
            <w:pPr>
              <w:ind w:left="480"/>
              <w:spacing w:after="0" w:line="223" w:lineRule="exact"/>
              <w:rPr>
                <w:sz w:val="20"/>
                <w:szCs w:val="20"/>
                <w:color w:val="auto"/>
              </w:rPr>
            </w:pPr>
            <w:r>
              <w:rPr>
                <w:rFonts w:ascii="Arial" w:cs="Arial" w:eastAsia="Arial" w:hAnsi="Arial"/>
                <w:sz w:val="22"/>
                <w:szCs w:val="22"/>
                <w:color w:val="auto"/>
                <w:w w:val="93"/>
              </w:rPr>
              <w:t>], 20[  ] (the “Date of Grant”), by and between Iovance Biotherapeutics, Inc., a Delaware corporation</w:t>
            </w: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0" w:type="dxa"/>
            <w:vAlign w:val="bottom"/>
            <w:gridSpan w:val="5"/>
            <w:vMerge w:val="restart"/>
          </w:tcPr>
          <w:p>
            <w:pPr>
              <w:ind w:left="540"/>
              <w:spacing w:after="0" w:line="243" w:lineRule="exact"/>
              <w:rPr>
                <w:sz w:val="20"/>
                <w:szCs w:val="20"/>
                <w:color w:val="auto"/>
              </w:rPr>
            </w:pPr>
            <w:r>
              <w:rPr>
                <w:rFonts w:ascii="Arial" w:cs="Arial" w:eastAsia="Arial" w:hAnsi="Arial"/>
                <w:sz w:val="22"/>
                <w:szCs w:val="22"/>
                <w:color w:val="auto"/>
                <w:w w:val="91"/>
              </w:rPr>
              <w:t>] (the “Participant”). Capitalized terms used</w:t>
            </w:r>
          </w:p>
        </w:tc>
        <w:tc>
          <w:tcPr>
            <w:tcW w:w="0" w:type="dxa"/>
            <w:vAlign w:val="bottom"/>
          </w:tcPr>
          <w:p>
            <w:pPr>
              <w:spacing w:after="0" w:line="20" w:lineRule="exact"/>
              <w:rPr>
                <w:sz w:val="1"/>
                <w:szCs w:val="1"/>
                <w:color w:val="auto"/>
              </w:rPr>
            </w:pPr>
          </w:p>
        </w:tc>
      </w:tr>
      <w:tr>
        <w:trPr>
          <w:trHeight w:val="223"/>
        </w:trPr>
        <w:tc>
          <w:tcPr>
            <w:tcW w:w="5660" w:type="dxa"/>
            <w:vAlign w:val="bottom"/>
            <w:gridSpan w:val="5"/>
          </w:tcPr>
          <w:p>
            <w:pPr>
              <w:spacing w:after="0" w:line="223" w:lineRule="exact"/>
              <w:rPr>
                <w:sz w:val="20"/>
                <w:szCs w:val="20"/>
                <w:color w:val="auto"/>
              </w:rPr>
            </w:pPr>
            <w:r>
              <w:rPr>
                <w:rFonts w:ascii="Arial" w:cs="Arial" w:eastAsia="Arial" w:hAnsi="Arial"/>
                <w:sz w:val="22"/>
                <w:szCs w:val="22"/>
                <w:color w:val="auto"/>
              </w:rPr>
              <w:t>(the “Company”) on behalf of itself and its Affiliates, and [</w:t>
            </w:r>
          </w:p>
        </w:tc>
        <w:tc>
          <w:tcPr>
            <w:tcW w:w="44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1" w:right="200"/>
        <w:spacing w:after="0"/>
        <w:rPr>
          <w:sz w:val="20"/>
          <w:szCs w:val="20"/>
          <w:color w:val="auto"/>
        </w:rPr>
      </w:pPr>
      <w:r>
        <w:rPr>
          <w:rFonts w:ascii="Arial" w:cs="Arial" w:eastAsia="Arial" w:hAnsi="Arial"/>
          <w:sz w:val="22"/>
          <w:szCs w:val="22"/>
          <w:color w:val="auto"/>
        </w:rPr>
        <w:t>in this Agreement and not otherwise defined herein have the meanings ascribed to such terms in the Iovance Biotherapeutics, Inc. 2018 Equity Incentive Plan, as amended, restated or otherwise modified from time to time in accordance with its terms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86" w:lineRule="exact"/>
        <w:rPr>
          <w:sz w:val="20"/>
          <w:szCs w:val="20"/>
          <w:color w:val="auto"/>
        </w:rPr>
      </w:pPr>
    </w:p>
    <w:p>
      <w:pPr>
        <w:ind w:left="1" w:right="200" w:firstLine="648"/>
        <w:spacing w:after="0" w:line="238" w:lineRule="auto"/>
        <w:rPr>
          <w:sz w:val="20"/>
          <w:szCs w:val="20"/>
          <w:color w:val="auto"/>
        </w:rPr>
      </w:pPr>
      <w:r>
        <w:rPr>
          <w:rFonts w:ascii="Arial" w:cs="Arial" w:eastAsia="Arial" w:hAnsi="Arial"/>
          <w:sz w:val="22"/>
          <w:szCs w:val="22"/>
          <w:color w:val="auto"/>
        </w:rPr>
        <w:t>WHEREAS, the Compensation Committee of the board of directors (the “</w:t>
      </w:r>
      <w:r>
        <w:rPr>
          <w:rFonts w:ascii="Arial" w:cs="Arial" w:eastAsia="Arial" w:hAnsi="Arial"/>
          <w:sz w:val="22"/>
          <w:szCs w:val="22"/>
          <w:u w:val="single" w:color="auto"/>
          <w:color w:val="auto"/>
        </w:rPr>
        <w:t>Committee</w:t>
      </w:r>
      <w:r>
        <w:rPr>
          <w:rFonts w:ascii="Arial" w:cs="Arial" w:eastAsia="Arial" w:hAnsi="Arial"/>
          <w:sz w:val="22"/>
          <w:szCs w:val="22"/>
          <w:color w:val="auto"/>
        </w:rPr>
        <w:t>”), through its own action or through the action of the full board of directors, has determined that it is in the best interests of the Company and its stockholders to grant the award provided for herein to the Participant on the terms and subject to the conditions set forth herein.</w:t>
      </w:r>
    </w:p>
    <w:p>
      <w:pPr>
        <w:spacing w:after="0" w:line="185" w:lineRule="exact"/>
        <w:rPr>
          <w:sz w:val="20"/>
          <w:szCs w:val="20"/>
          <w:color w:val="auto"/>
        </w:rPr>
      </w:pPr>
    </w:p>
    <w:p>
      <w:pPr>
        <w:ind w:left="1" w:right="120" w:firstLine="648"/>
        <w:spacing w:after="0" w:line="258" w:lineRule="auto"/>
        <w:rPr>
          <w:sz w:val="20"/>
          <w:szCs w:val="20"/>
          <w:color w:val="auto"/>
        </w:rPr>
      </w:pPr>
      <w:r>
        <w:rPr>
          <w:rFonts w:ascii="Arial" w:cs="Arial" w:eastAsia="Arial" w:hAnsi="Arial"/>
          <w:sz w:val="21"/>
          <w:szCs w:val="21"/>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1" w:lineRule="exact"/>
        <w:rPr>
          <w:sz w:val="20"/>
          <w:szCs w:val="20"/>
          <w:color w:val="auto"/>
        </w:rPr>
      </w:pPr>
    </w:p>
    <w:p>
      <w:pPr>
        <w:ind w:left="1301" w:hanging="652"/>
        <w:spacing w:after="0"/>
        <w:tabs>
          <w:tab w:leader="none" w:pos="1301"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Grant of Option</w:t>
      </w:r>
      <w:r>
        <w:rPr>
          <w:rFonts w:ascii="Arial" w:cs="Arial" w:eastAsia="Arial" w:hAnsi="Arial"/>
          <w:sz w:val="22"/>
          <w:szCs w:val="22"/>
          <w:color w:val="auto"/>
        </w:rPr>
        <w:t>.</w:t>
      </w:r>
    </w:p>
    <w:p>
      <w:pPr>
        <w:spacing w:after="0" w:line="212" w:lineRule="exact"/>
        <w:rPr>
          <w:sz w:val="20"/>
          <w:szCs w:val="20"/>
          <w:color w:val="auto"/>
        </w:rPr>
      </w:pPr>
    </w:p>
    <w:p>
      <w:pPr>
        <w:ind w:left="1961" w:hanging="664"/>
        <w:spacing w:after="0"/>
        <w:tabs>
          <w:tab w:leader="none" w:pos="196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w:t>
      </w:r>
    </w:p>
    <w:p>
      <w:pPr>
        <w:spacing w:after="0" w:line="43" w:lineRule="exact"/>
        <w:rPr>
          <w:sz w:val="20"/>
          <w:szCs w:val="20"/>
          <w:color w:val="auto"/>
        </w:rPr>
      </w:pPr>
    </w:p>
    <w:p>
      <w:pPr>
        <w:ind w:left="1" w:right="80" w:hanging="1"/>
        <w:spacing w:after="0" w:line="267" w:lineRule="auto"/>
        <w:tabs>
          <w:tab w:leader="none" w:pos="1099" w:val="left"/>
        </w:tabs>
        <w:numPr>
          <w:ilvl w:val="0"/>
          <w:numId w:val="72"/>
        </w:numPr>
        <w:rPr>
          <w:rFonts w:ascii="Arial" w:cs="Arial" w:eastAsia="Arial" w:hAnsi="Arial"/>
          <w:sz w:val="19"/>
          <w:szCs w:val="19"/>
          <w:color w:val="auto"/>
        </w:rPr>
      </w:pPr>
      <w:r>
        <w:rPr>
          <w:rFonts w:ascii="Arial" w:cs="Arial" w:eastAsia="Arial" w:hAnsi="Arial"/>
          <w:sz w:val="19"/>
          <w:szCs w:val="19"/>
          <w:color w:val="auto"/>
        </w:rPr>
        <w:t>] shares of Common Stock (the “</w:t>
      </w:r>
      <w:r>
        <w:rPr>
          <w:rFonts w:ascii="Arial" w:cs="Arial" w:eastAsia="Arial" w:hAnsi="Arial"/>
          <w:sz w:val="19"/>
          <w:szCs w:val="19"/>
          <w:u w:val="single" w:color="auto"/>
          <w:color w:val="auto"/>
        </w:rPr>
        <w:t>Option Shares</w:t>
      </w:r>
      <w:r>
        <w:rPr>
          <w:rFonts w:ascii="Arial" w:cs="Arial" w:eastAsia="Arial" w:hAnsi="Arial"/>
          <w:sz w:val="19"/>
          <w:szCs w:val="19"/>
          <w:color w:val="auto"/>
        </w:rPr>
        <w:t>”) on the terms and subject to the conditions set forth in this Agreement and as otherwise provided in the Plan. The Option is a Nonqualifed Stock Option. The Option</w:t>
      </w:r>
    </w:p>
    <w:p>
      <w:pPr>
        <w:ind w:left="1"/>
        <w:spacing w:after="0"/>
        <w:tabs>
          <w:tab w:leader="none" w:pos="6460" w:val="left"/>
        </w:tabs>
        <w:rPr>
          <w:sz w:val="20"/>
          <w:szCs w:val="20"/>
          <w:color w:val="auto"/>
        </w:rPr>
      </w:pPr>
      <w:r>
        <w:rPr>
          <w:rFonts w:ascii="Arial" w:cs="Arial" w:eastAsia="Arial" w:hAnsi="Arial"/>
          <w:sz w:val="22"/>
          <w:szCs w:val="22"/>
          <w:color w:val="auto"/>
        </w:rPr>
        <w:t>shall vest in accordance with Section 2. The Exercise Price shall be $[</w:t>
      </w:r>
      <w:r>
        <w:rPr>
          <w:sz w:val="20"/>
          <w:szCs w:val="20"/>
          <w:color w:val="auto"/>
        </w:rPr>
        <w:tab/>
      </w:r>
      <w:r>
        <w:rPr>
          <w:rFonts w:ascii="Arial" w:cs="Arial" w:eastAsia="Arial" w:hAnsi="Arial"/>
          <w:sz w:val="19"/>
          <w:szCs w:val="19"/>
          <w:color w:val="auto"/>
        </w:rPr>
        <w:t>] per Option Share.</w:t>
      </w:r>
    </w:p>
    <w:p>
      <w:pPr>
        <w:spacing w:after="0" w:line="188" w:lineRule="exact"/>
        <w:rPr>
          <w:sz w:val="20"/>
          <w:szCs w:val="20"/>
          <w:color w:val="auto"/>
        </w:rPr>
      </w:pPr>
    </w:p>
    <w:p>
      <w:pPr>
        <w:ind w:left="1" w:right="80" w:firstLine="1296"/>
        <w:spacing w:after="0" w:line="275" w:lineRule="auto"/>
        <w:tabs>
          <w:tab w:leader="none" w:pos="1982"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Incorporation by Reference</w:t>
      </w:r>
      <w:r>
        <w:rPr>
          <w:rFonts w:ascii="Arial" w:cs="Arial" w:eastAsia="Arial" w:hAnsi="Arial"/>
          <w:sz w:val="19"/>
          <w:szCs w:val="19"/>
          <w:color w:val="auto"/>
        </w:rPr>
        <w:t>. The provisions of the Plan are incorporated herein by reference. Except as otherwise expressly set forth herein, this Agreement shall be construed in accordance with the provisions of the Plan and any interpretations, rules and regulations and additional terms adopted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52" w:lineRule="exact"/>
        <w:rPr>
          <w:rFonts w:ascii="Arial" w:cs="Arial" w:eastAsia="Arial" w:hAnsi="Arial"/>
          <w:sz w:val="19"/>
          <w:szCs w:val="19"/>
          <w:color w:val="auto"/>
        </w:rPr>
      </w:pPr>
    </w:p>
    <w:p>
      <w:pPr>
        <w:ind w:left="1" w:right="100" w:firstLine="648"/>
        <w:spacing w:after="0" w:line="237" w:lineRule="auto"/>
        <w:tabs>
          <w:tab w:leader="none" w:pos="1293"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Except as may otherwise be provided herein, the Option shall vest and become exercisable</w:t>
      </w:r>
      <w:r>
        <w:rPr>
          <w:rFonts w:ascii="Arial" w:cs="Arial" w:eastAsia="Arial" w:hAnsi="Arial"/>
          <w:sz w:val="22"/>
          <w:szCs w:val="22"/>
          <w:b w:val="1"/>
          <w:bCs w:val="1"/>
          <w:color w:val="auto"/>
        </w:rPr>
        <w:t xml:space="preserve"> </w:t>
      </w:r>
      <w:r>
        <w:rPr>
          <w:rFonts w:ascii="Arial" w:cs="Arial" w:eastAsia="Arial" w:hAnsi="Arial"/>
          <w:sz w:val="22"/>
          <w:szCs w:val="22"/>
          <w:color w:val="auto"/>
        </w:rPr>
        <w:t>as to [_______] of the Option Shares on the one-year anniversary of Date of Grant, and the remaining Option Shares shall vest as to [_______] of Option Shares at the end of each quarter over the next [____] year(s), commencing with the first quarter following the first anniversary of the Date of Grant (each such date, a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subject to the Participant’s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638873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167" w:name="page168"/>
    <w:bookmarkEnd w:id="167"/>
    <w:p>
      <w:pPr>
        <w:ind w:right="60"/>
        <w:spacing w:after="0" w:line="238" w:lineRule="auto"/>
        <w:rPr>
          <w:sz w:val="20"/>
          <w:szCs w:val="20"/>
          <w:color w:val="auto"/>
        </w:rPr>
      </w:pPr>
      <w:r>
        <w:rPr>
          <w:rFonts w:ascii="Arial" w:cs="Arial" w:eastAsia="Arial" w:hAnsi="Arial"/>
          <w:sz w:val="22"/>
          <w:szCs w:val="22"/>
          <w:color w:val="auto"/>
        </w:rPr>
        <w:t>continued employment with, appointment as a director of, or engagement to provide services to, the Company or any of its Affiliates through the applicable Vesting Date. Any fractional Option Share resulting from the application of the vesting schedule shall be aggregated and the Option Share resulting from such aggregation shall vest on the final Vesting Date.</w:t>
      </w:r>
    </w:p>
    <w:p>
      <w:pPr>
        <w:spacing w:after="0" w:line="180" w:lineRule="exact"/>
        <w:rPr>
          <w:sz w:val="20"/>
          <w:szCs w:val="20"/>
          <w:color w:val="auto"/>
        </w:rPr>
      </w:pPr>
    </w:p>
    <w:p>
      <w:pPr>
        <w:ind w:left="1300" w:hanging="652"/>
        <w:spacing w:after="0"/>
        <w:tabs>
          <w:tab w:leader="none" w:pos="130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or Services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firstLine="1296"/>
        <w:spacing w:after="0" w:line="252" w:lineRule="auto"/>
        <w:tabs>
          <w:tab w:leader="none" w:pos="1968"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Except as otherwise provided herein, if the Participant’s employment with, membership on the board of directors, or engagement to provide services to the Company or any of its Affiliates terminates for any reason, the unvested portion of the Option shall be canceled immediately and the Participant shall have no rights with respect to the Option Shares subject to such unvested portion.</w:t>
      </w:r>
    </w:p>
    <w:p>
      <w:pPr>
        <w:spacing w:after="0" w:line="174" w:lineRule="exact"/>
        <w:rPr>
          <w:rFonts w:ascii="Arial" w:cs="Arial" w:eastAsia="Arial" w:hAnsi="Arial"/>
          <w:sz w:val="21"/>
          <w:szCs w:val="21"/>
          <w:color w:val="auto"/>
        </w:rPr>
      </w:pPr>
    </w:p>
    <w:p>
      <w:pPr>
        <w:ind w:right="140" w:firstLine="1296"/>
        <w:spacing w:after="0" w:line="287" w:lineRule="auto"/>
        <w:tabs>
          <w:tab w:leader="none" w:pos="1981"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Notwithstanding anything to the contrary in Section 3, if the Participant’s employment with, membership on the board of directors, or engagement to provide services to the Company or any of its Affiliates terminates due to the Participant’s death or Disability, any unvested portion of the Option shall become fully vested as of the date of such termination, which shall be the final Vesting Date.</w:t>
      </w:r>
    </w:p>
    <w:p>
      <w:pPr>
        <w:spacing w:after="0" w:line="143" w:lineRule="exact"/>
        <w:rPr>
          <w:rFonts w:ascii="Arial" w:cs="Arial" w:eastAsia="Arial" w:hAnsi="Arial"/>
          <w:sz w:val="19"/>
          <w:szCs w:val="19"/>
          <w:color w:val="auto"/>
        </w:rPr>
      </w:pPr>
    </w:p>
    <w:p>
      <w:pPr>
        <w:ind w:firstLine="1296"/>
        <w:spacing w:after="0" w:line="236" w:lineRule="auto"/>
        <w:tabs>
          <w:tab w:leader="none" w:pos="1968"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Notwithstanding anything to the contrary in Section 3, if the Participant’s employment with, membership on the board of directors, or engagement to provide services to the Company or any of its Affiliates is terminated by the Company without Cause on or within 12 months after, the date of a Change in Control, any unvested portion of the Option shall become fully vested as of the date of termination, which shall be the final Vesting Date.</w:t>
      </w:r>
    </w:p>
    <w:p>
      <w:pPr>
        <w:spacing w:after="0" w:line="187" w:lineRule="exact"/>
        <w:rPr>
          <w:rFonts w:ascii="Arial" w:cs="Arial" w:eastAsia="Arial" w:hAnsi="Arial"/>
          <w:sz w:val="22"/>
          <w:szCs w:val="22"/>
          <w:color w:val="auto"/>
        </w:rPr>
      </w:pPr>
    </w:p>
    <w:p>
      <w:pPr>
        <w:ind w:firstLine="1296"/>
        <w:spacing w:after="0" w:line="245" w:lineRule="auto"/>
        <w:tabs>
          <w:tab w:leader="none" w:pos="1977"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Retirement</w:t>
      </w:r>
      <w:r>
        <w:rPr>
          <w:rFonts w:ascii="Arial" w:cs="Arial" w:eastAsia="Arial" w:hAnsi="Arial"/>
          <w:sz w:val="21"/>
          <w:szCs w:val="21"/>
          <w:color w:val="auto"/>
        </w:rPr>
        <w:t>” shall mean, unless otherwise defined in a Superseding Agreement or in a Resolution, the termination of a Participant’s employment with the Company or its Affiliates after the Participant has attained the age of 55 years and the Participant has stated at the time of resignation, in writing, his or her intention to leave the Company’s industry or to leave the general workforce. Notwithstanding the foregoing, the term “Retirement” shall not apply to any Participant whose employment is terminated with Cause or to any Participant who is solely a director or consultant. In the event that the Participant accepts full-time or part-time employment during the one-year period following the Participant’s employment termination date, the Participant’s termination will be deemed, for all purposes hereunder, to have been a voluntary resignation, and not a termination upon Retirement.</w:t>
      </w:r>
    </w:p>
    <w:p>
      <w:pPr>
        <w:spacing w:after="0" w:line="179" w:lineRule="exact"/>
        <w:rPr>
          <w:rFonts w:ascii="Arial" w:cs="Arial" w:eastAsia="Arial" w:hAnsi="Arial"/>
          <w:sz w:val="21"/>
          <w:szCs w:val="21"/>
          <w:color w:val="auto"/>
        </w:rPr>
      </w:pPr>
    </w:p>
    <w:p>
      <w:pPr>
        <w:ind w:left="1300" w:hanging="652"/>
        <w:spacing w:after="0"/>
        <w:tabs>
          <w:tab w:leader="none" w:pos="130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Expiration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right="300" w:firstLine="1296"/>
        <w:spacing w:after="0" w:line="235" w:lineRule="auto"/>
        <w:tabs>
          <w:tab w:leader="none" w:pos="1969" w:val="left"/>
        </w:tabs>
        <w:numPr>
          <w:ilvl w:val="1"/>
          <w:numId w:val="75"/>
        </w:numPr>
        <w:rPr>
          <w:rFonts w:ascii="Arial" w:cs="Arial" w:eastAsia="Arial" w:hAnsi="Arial"/>
          <w:sz w:val="22"/>
          <w:szCs w:val="22"/>
          <w:color w:val="auto"/>
        </w:rPr>
      </w:pPr>
      <w:r>
        <w:rPr>
          <w:rFonts w:ascii="Arial" w:cs="Arial" w:eastAsia="Arial" w:hAnsi="Arial"/>
          <w:sz w:val="22"/>
          <w:szCs w:val="22"/>
          <w:color w:val="auto"/>
        </w:rPr>
        <w:t>In no event shall all or any portion of the Option be exercisable after the tenth annual anniversary of the Date of Grant (such ten-year period, the “</w:t>
      </w:r>
      <w:r>
        <w:rPr>
          <w:rFonts w:ascii="Arial" w:cs="Arial" w:eastAsia="Arial" w:hAnsi="Arial"/>
          <w:sz w:val="22"/>
          <w:szCs w:val="22"/>
          <w:u w:val="single" w:color="auto"/>
          <w:color w:val="auto"/>
        </w:rPr>
        <w:t>Option Period</w:t>
      </w:r>
      <w:r>
        <w:rPr>
          <w:rFonts w:ascii="Arial" w:cs="Arial" w:eastAsia="Arial" w:hAnsi="Arial"/>
          <w:sz w:val="22"/>
          <w:szCs w:val="22"/>
          <w:color w:val="auto"/>
        </w:rPr>
        <w:t>”); provided, that if the Option Period would expire at a time when trading in the shares of Common Stock is prohibited by the Company’s securities trading policy (or Company-imposed “blackout period”), the Option Period shall be automatically extended until the 30th day following the expiration of such prohibition (but not to the extent that any such extension would otherwise violate Section 409A of the Code).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68" w:name="page169"/>
    <w:bookmarkEnd w:id="168"/>
    <w:p>
      <w:pPr>
        <w:ind w:left="1" w:firstLine="1296"/>
        <w:spacing w:after="0" w:line="274" w:lineRule="auto"/>
        <w:tabs>
          <w:tab w:leader="none" w:pos="1982" w:val="left"/>
        </w:tabs>
        <w:numPr>
          <w:ilvl w:val="2"/>
          <w:numId w:val="76"/>
        </w:numPr>
        <w:rPr>
          <w:rFonts w:ascii="Arial" w:cs="Arial" w:eastAsia="Arial" w:hAnsi="Arial"/>
          <w:sz w:val="19"/>
          <w:szCs w:val="19"/>
          <w:color w:val="auto"/>
        </w:rPr>
      </w:pPr>
      <w:r>
        <w:rPr>
          <w:rFonts w:ascii="Arial" w:cs="Arial" w:eastAsia="Arial" w:hAnsi="Arial"/>
          <w:sz w:val="19"/>
          <w:szCs w:val="19"/>
          <w:color w:val="auto"/>
        </w:rPr>
        <w:t>If, prior to the end of the Option Period, the Participant’s employment with, or engagement to provide services to, the Company and all Affiliates is terminated without Cause or by the Participant for any reason, then the Option shall expire on the earlier of the last day of the Option Period and the date that is 90 days after the date of such termination; provided, however, that if the Participant’s employment or engagement to provide services to the Company and its Affiliates is terminated and the Participant is subsequently rehired or reengaged by the Company or any Affiliate within 90 days following such termination and prior to the expiration of the Option, the Participant shall not be considered to have undergone a termination of employment or service, as applicable. In the event of a termination described in this subsection (b), the Option shall remain exercisable by the Participant until its expiration only to the extent that the Option was exercisable at the time of such termination.</w:t>
      </w:r>
    </w:p>
    <w:p>
      <w:pPr>
        <w:spacing w:after="0" w:line="159" w:lineRule="exact"/>
        <w:rPr>
          <w:rFonts w:ascii="Arial" w:cs="Arial" w:eastAsia="Arial" w:hAnsi="Arial"/>
          <w:sz w:val="19"/>
          <w:szCs w:val="19"/>
          <w:color w:val="auto"/>
        </w:rPr>
      </w:pPr>
    </w:p>
    <w:p>
      <w:pPr>
        <w:ind w:left="1" w:firstLine="1296"/>
        <w:spacing w:after="0" w:line="245" w:lineRule="auto"/>
        <w:tabs>
          <w:tab w:leader="none" w:pos="1969" w:val="left"/>
        </w:tabs>
        <w:numPr>
          <w:ilvl w:val="2"/>
          <w:numId w:val="76"/>
        </w:numPr>
        <w:rPr>
          <w:rFonts w:ascii="Arial" w:cs="Arial" w:eastAsia="Arial" w:hAnsi="Arial"/>
          <w:sz w:val="21"/>
          <w:szCs w:val="21"/>
          <w:color w:val="auto"/>
        </w:rPr>
      </w:pPr>
      <w:r>
        <w:rPr>
          <w:rFonts w:ascii="Arial" w:cs="Arial" w:eastAsia="Arial" w:hAnsi="Arial"/>
          <w:sz w:val="21"/>
          <w:szCs w:val="21"/>
          <w:color w:val="auto"/>
        </w:rPr>
        <w:t>If (i) the Participant’s employment with or engagement to provide services to, the Company is terminated prior to the end of the Option Period on account of the Participant’s Disability, (ii) the Participant dies while still in the employ or engagement of the Company or an Affiliate, (iii) the Participant dies following a termination described in subsection (b) above but prior to the expiration of an Option, or (iv) the Participant’s employment with, or engagement to provide services to, the Company is terminated prior to the end of the Option Period on account of his or her Retirement, the Option shall expire on the earlier of the last day of the Option Period and the date that is one (1) year after the date of death or termination on account of Disability of or Retirement by the Participant, as applicable. In such event, the Option shall remain exercisable by the Participant or Participant’s beneficiary, as applicable, until its expiration only to the extent that the Option was exercisable by the Participant at the time of such event.</w:t>
      </w:r>
    </w:p>
    <w:p>
      <w:pPr>
        <w:spacing w:after="0" w:line="181" w:lineRule="exact"/>
        <w:rPr>
          <w:rFonts w:ascii="Arial" w:cs="Arial" w:eastAsia="Arial" w:hAnsi="Arial"/>
          <w:sz w:val="21"/>
          <w:szCs w:val="21"/>
          <w:color w:val="auto"/>
        </w:rPr>
      </w:pPr>
    </w:p>
    <w:p>
      <w:pPr>
        <w:ind w:left="1" w:right="200" w:firstLine="1296"/>
        <w:spacing w:after="0" w:line="238" w:lineRule="auto"/>
        <w:tabs>
          <w:tab w:leader="none" w:pos="1982" w:val="left"/>
        </w:tabs>
        <w:numPr>
          <w:ilvl w:val="2"/>
          <w:numId w:val="76"/>
        </w:numPr>
        <w:rPr>
          <w:rFonts w:ascii="Arial" w:cs="Arial" w:eastAsia="Arial" w:hAnsi="Arial"/>
          <w:sz w:val="22"/>
          <w:szCs w:val="22"/>
          <w:color w:val="auto"/>
        </w:rPr>
      </w:pPr>
      <w:r>
        <w:rPr>
          <w:rFonts w:ascii="Arial" w:cs="Arial" w:eastAsia="Arial" w:hAnsi="Arial"/>
          <w:sz w:val="22"/>
          <w:szCs w:val="22"/>
          <w:color w:val="auto"/>
        </w:rPr>
        <w:t>If the Participant’s Option Shares were awarded pursuant to a directorship, and prior to the end of the Option Period, the Participant’s directorship with the Company is terminated without Cause or by the Participant for any reason, then the Option shall expire on the earlier of the last day of the Option Period and the date that is two years after the date of such termination.</w:t>
      </w:r>
    </w:p>
    <w:p>
      <w:pPr>
        <w:spacing w:after="0" w:line="185" w:lineRule="exact"/>
        <w:rPr>
          <w:rFonts w:ascii="Arial" w:cs="Arial" w:eastAsia="Arial" w:hAnsi="Arial"/>
          <w:sz w:val="22"/>
          <w:szCs w:val="22"/>
          <w:color w:val="auto"/>
        </w:rPr>
      </w:pPr>
    </w:p>
    <w:p>
      <w:pPr>
        <w:jc w:val="both"/>
        <w:ind w:left="1" w:firstLine="1296"/>
        <w:spacing w:after="0" w:line="297" w:lineRule="auto"/>
        <w:tabs>
          <w:tab w:leader="none" w:pos="1969" w:val="left"/>
        </w:tabs>
        <w:numPr>
          <w:ilvl w:val="2"/>
          <w:numId w:val="76"/>
        </w:numPr>
        <w:rPr>
          <w:rFonts w:ascii="Arial" w:cs="Arial" w:eastAsia="Arial" w:hAnsi="Arial"/>
          <w:sz w:val="19"/>
          <w:szCs w:val="19"/>
          <w:color w:val="auto"/>
        </w:rPr>
      </w:pPr>
      <w:r>
        <w:rPr>
          <w:rFonts w:ascii="Arial" w:cs="Arial" w:eastAsia="Arial" w:hAnsi="Arial"/>
          <w:sz w:val="19"/>
          <w:szCs w:val="19"/>
          <w:color w:val="auto"/>
        </w:rPr>
        <w:t>If the Participant ceases employment with or engagement to provide services to the Company or any Affiliates or is removed as a director due to a termination for Cause, the Option (whether vested or unvested) shall be cancelled immediately and the Participant shall have no rights with respect to the Option Shares.</w:t>
      </w:r>
    </w:p>
    <w:p>
      <w:pPr>
        <w:spacing w:after="0" w:line="128" w:lineRule="exact"/>
        <w:rPr>
          <w:rFonts w:ascii="Arial" w:cs="Arial" w:eastAsia="Arial" w:hAnsi="Arial"/>
          <w:sz w:val="19"/>
          <w:szCs w:val="19"/>
          <w:color w:val="auto"/>
        </w:rPr>
      </w:pPr>
    </w:p>
    <w:p>
      <w:pPr>
        <w:ind w:left="1301" w:hanging="652"/>
        <w:spacing w:after="0"/>
        <w:tabs>
          <w:tab w:leader="none" w:pos="1301" w:val="left"/>
        </w:tabs>
        <w:numPr>
          <w:ilvl w:val="1"/>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Exercise and Form of Payment</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1" w:right="60" w:firstLine="1296"/>
        <w:spacing w:after="0" w:line="270" w:lineRule="auto"/>
        <w:tabs>
          <w:tab w:leader="none" w:pos="1969" w:val="left"/>
        </w:tabs>
        <w:numPr>
          <w:ilvl w:val="2"/>
          <w:numId w:val="77"/>
        </w:numPr>
        <w:rPr>
          <w:rFonts w:ascii="Arial" w:cs="Arial" w:eastAsia="Arial" w:hAnsi="Arial"/>
          <w:sz w:val="19"/>
          <w:szCs w:val="19"/>
          <w:color w:val="auto"/>
        </w:rPr>
      </w:pPr>
      <w:r>
        <w:rPr>
          <w:rFonts w:ascii="Arial" w:cs="Arial" w:eastAsia="Arial" w:hAnsi="Arial"/>
          <w:sz w:val="19"/>
          <w:szCs w:val="19"/>
          <w:color w:val="auto"/>
        </w:rPr>
        <w:t>No Option Shares shall be delivered pursuant to any exercise of the Option until the Participant has paid in full to the Company the Exercise Price and an amount equal to any U.S. federal, state, local and non-U.S. income and employment taxes required to be withheld. The Option may be exercised by delivery of written or electronic notice of exercise to the Company or its designee (including a third-party-administrator) in accordance with the terms hereof. The Exercise Price and all applicable required withholding taxes shall be payable</w:t>
      </w:r>
    </w:p>
    <w:p>
      <w:pPr>
        <w:spacing w:after="0" w:line="4" w:lineRule="exact"/>
        <w:rPr>
          <w:rFonts w:ascii="Arial" w:cs="Arial" w:eastAsia="Arial" w:hAnsi="Arial"/>
          <w:sz w:val="19"/>
          <w:szCs w:val="19"/>
          <w:color w:val="auto"/>
        </w:rPr>
      </w:pPr>
    </w:p>
    <w:p>
      <w:pPr>
        <w:ind w:left="1" w:right="180" w:hanging="1"/>
        <w:spacing w:after="0" w:line="234" w:lineRule="auto"/>
        <w:tabs>
          <w:tab w:leader="none" w:pos="259"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cash, check or cash equivalent; or (ii) by such other method as the Committee may permit, including without limitation: (A) shares of Common Stock valued at the Fair Market Value at the time the Option is exercised (including, pursuant to procedures approved by the Committee, 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63887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69" w:name="page170"/>
    <w:bookmarkEnd w:id="169"/>
    <w:p>
      <w:pPr>
        <w:ind w:right="60"/>
        <w:spacing w:after="0" w:line="245" w:lineRule="auto"/>
        <w:rPr>
          <w:sz w:val="20"/>
          <w:szCs w:val="20"/>
          <w:color w:val="auto"/>
        </w:rPr>
      </w:pPr>
      <w:r>
        <w:rPr>
          <w:rFonts w:ascii="Arial" w:cs="Arial" w:eastAsia="Arial" w:hAnsi="Arial"/>
          <w:sz w:val="21"/>
          <w:szCs w:val="21"/>
          <w:color w:val="auto"/>
        </w:rPr>
        <w:t>means of attestation of ownership of a sufficient number of shares of Common Stock in lieu of actual delivery of such shares to the Company), provided that such shares of Common Stock are not subject to any pledge or other security interest; (B) in other property having a Fair Market Value equal to the Exercise Price and all applicable required withholding taxes; or (C)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and all applicable required withholding taxes. Any fractional shares of Common Stock resulting from the application of this Section 5 shall be settled in cash.</w:t>
      </w:r>
    </w:p>
    <w:p>
      <w:pPr>
        <w:spacing w:after="0" w:line="180" w:lineRule="exact"/>
        <w:rPr>
          <w:sz w:val="20"/>
          <w:szCs w:val="20"/>
          <w:color w:val="auto"/>
        </w:rPr>
      </w:pPr>
    </w:p>
    <w:p>
      <w:pPr>
        <w:ind w:right="60" w:firstLine="648"/>
        <w:spacing w:after="0" w:line="248" w:lineRule="auto"/>
        <w:tabs>
          <w:tab w:leader="none" w:pos="1297"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color w:val="auto"/>
        </w:rPr>
        <w:t>Rights as a Stockholder</w:t>
      </w:r>
      <w:r>
        <w:rPr>
          <w:rFonts w:ascii="Arial" w:cs="Arial" w:eastAsia="Arial" w:hAnsi="Arial"/>
          <w:sz w:val="21"/>
          <w:szCs w:val="21"/>
          <w:color w:val="auto"/>
        </w:rPr>
        <w:t>. The Participant shall not be deemed for any purpose to be the owner of</w:t>
      </w:r>
      <w:r>
        <w:rPr>
          <w:rFonts w:ascii="Arial" w:cs="Arial" w:eastAsia="Arial" w:hAnsi="Arial"/>
          <w:sz w:val="21"/>
          <w:szCs w:val="21"/>
          <w:b w:val="1"/>
          <w:bCs w:val="1"/>
          <w:color w:val="auto"/>
        </w:rPr>
        <w:t xml:space="preserve"> </w:t>
      </w:r>
      <w:r>
        <w:rPr>
          <w:rFonts w:ascii="Arial" w:cs="Arial" w:eastAsia="Arial" w:hAnsi="Arial"/>
          <w:sz w:val="21"/>
          <w:szCs w:val="21"/>
          <w:color w:val="auto"/>
        </w:rPr>
        <w:t>any shares of Common Stock subject to this Option unless, until and to the extent that (i) this Option shall have been exercised pursuant to its terms, (ii) the Company shall have issued and delivered to the Participant the Option Shares and (iii) the Participant’s name shall have been entered as a stockholder of record with respect to such Option Shares on the books of the Company. The Company shall cause the actions described in clauses (ii) and (iii) of the preceding sentence to occur promptly following settlement as contemplated by this Agreement, subject to compliance with applicable laws.</w:t>
      </w:r>
    </w:p>
    <w:p>
      <w:pPr>
        <w:spacing w:after="0" w:line="171" w:lineRule="exact"/>
        <w:rPr>
          <w:rFonts w:ascii="Arial" w:cs="Arial" w:eastAsia="Arial" w:hAnsi="Arial"/>
          <w:sz w:val="21"/>
          <w:szCs w:val="21"/>
          <w:b w:val="1"/>
          <w:bCs w:val="1"/>
          <w:color w:val="auto"/>
        </w:rPr>
      </w:pPr>
    </w:p>
    <w:p>
      <w:pPr>
        <w:ind w:left="1300" w:hanging="652"/>
        <w:spacing w:after="0"/>
        <w:tabs>
          <w:tab w:leader="none" w:pos="130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Legal Requirements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right="320" w:firstLine="1296"/>
        <w:spacing w:after="0" w:line="279" w:lineRule="auto"/>
        <w:tabs>
          <w:tab w:leader="none" w:pos="1968"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exercising of the Option,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50" w:lineRule="exact"/>
        <w:rPr>
          <w:rFonts w:ascii="Arial" w:cs="Arial" w:eastAsia="Arial" w:hAnsi="Arial"/>
          <w:sz w:val="19"/>
          <w:szCs w:val="19"/>
          <w:color w:val="auto"/>
        </w:rPr>
      </w:pPr>
    </w:p>
    <w:p>
      <w:pPr>
        <w:ind w:firstLine="1296"/>
        <w:spacing w:after="0" w:line="271" w:lineRule="auto"/>
        <w:tabs>
          <w:tab w:leader="none" w:pos="1981"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Any exercise of the Option shall be subject to the Participant’s satisfying any applicable U.S. federal, state and local tax withholding obligations and non-U.S. tax withholding obligations. The Company shall have the right and is hereby authorized to withhold from any amounts payable to the Participant in connection with the Option or otherwise the amount of any required withholding taxes in respect of the Option, its exercise or any payment or transfer of the Option or under the Plan and to take any such other action as the Committee or the Company deem necessary to satisfy all obligations for the payment of such withholding taxes (up to the maximum permissible withholding amounts), including the right to use a broker-assisted “cashless exercise” as described in Section 5(i)(C) hereof. The Participant may elect to satisfy, and the Company may require the Participant to satisfy, in whole or in part, the tax obligations by withholding shares of Common Stock that would otherwise be received upon exercise of the Option with a Fair Market Value equal to such withholding liability. For exercises of the Option occurring during a blackout period under the Company’s insider trading policy, the Company shall arrange for the sale of a number of shares of Common Stock to be delivered to the Participant to satisfy the applicable withholding obligations. Such shares of Common Stock shall be sold on behalf of the Participant through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170" w:name="page171"/>
    <w:bookmarkEnd w:id="170"/>
    <w:p>
      <w:pPr>
        <w:ind w:right="40"/>
        <w:spacing w:after="0" w:line="251" w:lineRule="auto"/>
        <w:rPr>
          <w:sz w:val="20"/>
          <w:szCs w:val="20"/>
          <w:color w:val="auto"/>
        </w:rPr>
      </w:pPr>
      <w:r>
        <w:rPr>
          <w:rFonts w:ascii="Arial" w:cs="Arial" w:eastAsia="Arial" w:hAnsi="Arial"/>
          <w:sz w:val="22"/>
          <w:szCs w:val="22"/>
          <w:color w:val="auto"/>
        </w:rPr>
        <w:t>Company’s transfer agent on the facilities of any exchange on which the Common Stock is listed at the time of such sale.</w:t>
      </w:r>
    </w:p>
    <w:p>
      <w:pPr>
        <w:spacing w:after="0" w:line="168" w:lineRule="exact"/>
        <w:rPr>
          <w:sz w:val="20"/>
          <w:szCs w:val="20"/>
          <w:color w:val="auto"/>
        </w:rPr>
      </w:pPr>
    </w:p>
    <w:p>
      <w:pPr>
        <w:ind w:left="1300" w:hanging="652"/>
        <w:spacing w:after="0"/>
        <w:tabs>
          <w:tab w:leader="none" w:pos="130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right="260" w:firstLine="1296"/>
        <w:spacing w:after="0" w:line="282" w:lineRule="auto"/>
        <w:tabs>
          <w:tab w:leader="none" w:pos="1968"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Option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14(b) of the Plan. Any attempted Transfer of the Option contrary to the provisions hereof, and the levy of any execution, attachment or similar process upon the Option, shall be null and void and without effect.</w:t>
      </w:r>
    </w:p>
    <w:p>
      <w:pPr>
        <w:spacing w:after="0" w:line="147" w:lineRule="exact"/>
        <w:rPr>
          <w:rFonts w:ascii="Arial" w:cs="Arial" w:eastAsia="Arial" w:hAnsi="Arial"/>
          <w:sz w:val="19"/>
          <w:szCs w:val="19"/>
          <w:color w:val="auto"/>
        </w:rPr>
      </w:pPr>
    </w:p>
    <w:p>
      <w:pPr>
        <w:ind w:right="40" w:firstLine="1296"/>
        <w:spacing w:after="0" w:line="249" w:lineRule="auto"/>
        <w:tabs>
          <w:tab w:leader="none" w:pos="1981"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8" w:lineRule="exact"/>
        <w:rPr>
          <w:rFonts w:ascii="Arial" w:cs="Arial" w:eastAsia="Arial" w:hAnsi="Arial"/>
          <w:sz w:val="21"/>
          <w:szCs w:val="21"/>
          <w:color w:val="auto"/>
        </w:rPr>
      </w:pPr>
    </w:p>
    <w:p>
      <w:pPr>
        <w:ind w:firstLine="1296"/>
        <w:spacing w:after="0" w:line="244" w:lineRule="auto"/>
        <w:tabs>
          <w:tab w:leader="none" w:pos="1968"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The Option is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8(c) does not create an obligation on the part of the Company to modify the Plan or this Agreement and does not guarantee that the Option or the Option Shares will not be subject to interest and penalties under Section 409A.</w:t>
      </w:r>
    </w:p>
    <w:p>
      <w:pPr>
        <w:spacing w:after="0" w:line="189" w:lineRule="exact"/>
        <w:rPr>
          <w:rFonts w:ascii="Arial" w:cs="Arial" w:eastAsia="Arial" w:hAnsi="Arial"/>
          <w:sz w:val="21"/>
          <w:szCs w:val="21"/>
          <w:color w:val="auto"/>
        </w:rPr>
      </w:pPr>
    </w:p>
    <w:p>
      <w:pPr>
        <w:ind w:right="20" w:firstLine="1296"/>
        <w:spacing w:after="0" w:line="235" w:lineRule="auto"/>
        <w:tabs>
          <w:tab w:leader="none" w:pos="1981"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8" w:lineRule="exact"/>
        <w:rPr>
          <w:rFonts w:ascii="Arial" w:cs="Arial" w:eastAsia="Arial" w:hAnsi="Arial"/>
          <w:sz w:val="22"/>
          <w:szCs w:val="22"/>
          <w:color w:val="auto"/>
        </w:rPr>
      </w:pPr>
    </w:p>
    <w:p>
      <w:pPr>
        <w:ind w:right="140" w:firstLine="1296"/>
        <w:spacing w:after="0"/>
        <w:tabs>
          <w:tab w:leader="none" w:pos="1968"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6" w:lineRule="exact"/>
        <w:rPr>
          <w:rFonts w:ascii="Arial" w:cs="Arial" w:eastAsia="Arial" w:hAnsi="Arial"/>
          <w:sz w:val="22"/>
          <w:szCs w:val="22"/>
          <w:color w:val="auto"/>
        </w:rPr>
      </w:pPr>
    </w:p>
    <w:p>
      <w:pPr>
        <w:ind w:right="400" w:firstLine="1296"/>
        <w:spacing w:after="0" w:line="251" w:lineRule="auto"/>
        <w:tabs>
          <w:tab w:leader="none" w:pos="1945"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No Rights to Employment, Directorship or Service</w:t>
      </w:r>
      <w:r>
        <w:rPr>
          <w:rFonts w:ascii="Arial" w:cs="Arial" w:eastAsia="Arial" w:hAnsi="Arial"/>
          <w:sz w:val="22"/>
          <w:szCs w:val="22"/>
          <w:color w:val="auto"/>
        </w:rPr>
        <w:t>. Nothing contained in this Agreement shall be construed as giving the Participant any right to be retained, in 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71" w:name="page172"/>
    <w:bookmarkEnd w:id="171"/>
    <w:p>
      <w:pPr>
        <w:ind w:right="400"/>
        <w:spacing w:after="0" w:line="258" w:lineRule="auto"/>
        <w:rPr>
          <w:sz w:val="20"/>
          <w:szCs w:val="20"/>
          <w:color w:val="auto"/>
        </w:rPr>
      </w:pPr>
      <w:r>
        <w:rPr>
          <w:rFonts w:ascii="Arial" w:cs="Arial" w:eastAsia="Arial" w:hAnsi="Arial"/>
          <w:sz w:val="21"/>
          <w:szCs w:val="21"/>
          <w:color w:val="auto"/>
        </w:rPr>
        <w:t>position, as an employee, 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67" w:lineRule="exact"/>
        <w:rPr>
          <w:sz w:val="20"/>
          <w:szCs w:val="20"/>
          <w:color w:val="auto"/>
        </w:rPr>
      </w:pPr>
    </w:p>
    <w:p>
      <w:pPr>
        <w:ind w:right="320" w:firstLine="1296"/>
        <w:spacing w:after="0" w:line="238" w:lineRule="auto"/>
        <w:tabs>
          <w:tab w:leader="none" w:pos="1981"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In lieu of issuing a fraction of a share of Common Stock resulting from any exercise of the Option or an adjustment of the Option pursuant to Section 11 of the Plan or otherwise, the Company shall be entitled to pay to the Participant an amount in cash equal to the Fair Market Value of such fractional share.</w:t>
      </w:r>
    </w:p>
    <w:p>
      <w:pPr>
        <w:spacing w:after="0" w:line="185" w:lineRule="exact"/>
        <w:rPr>
          <w:rFonts w:ascii="Arial" w:cs="Arial" w:eastAsia="Arial" w:hAnsi="Arial"/>
          <w:sz w:val="22"/>
          <w:szCs w:val="22"/>
          <w:color w:val="auto"/>
        </w:rPr>
      </w:pPr>
    </w:p>
    <w:p>
      <w:pPr>
        <w:ind w:firstLine="1296"/>
        <w:spacing w:after="0"/>
        <w:tabs>
          <w:tab w:leader="none" w:pos="1981"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The Participant may file with the Committee a written designation of a beneficiary on such form as may be prescribed by the Committee and may, from time to time, amend or revoke such designation.</w:t>
      </w:r>
    </w:p>
    <w:p>
      <w:pPr>
        <w:spacing w:after="0" w:line="186" w:lineRule="exact"/>
        <w:rPr>
          <w:rFonts w:ascii="Arial" w:cs="Arial" w:eastAsia="Arial" w:hAnsi="Arial"/>
          <w:sz w:val="22"/>
          <w:szCs w:val="22"/>
          <w:color w:val="auto"/>
        </w:rPr>
      </w:pPr>
    </w:p>
    <w:p>
      <w:pPr>
        <w:ind w:firstLine="1296"/>
        <w:spacing w:after="0"/>
        <w:tabs>
          <w:tab w:leader="none" w:pos="1987"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6" w:lineRule="exact"/>
        <w:rPr>
          <w:rFonts w:ascii="Arial" w:cs="Arial" w:eastAsia="Arial" w:hAnsi="Arial"/>
          <w:sz w:val="22"/>
          <w:szCs w:val="22"/>
          <w:color w:val="auto"/>
        </w:rPr>
      </w:pPr>
    </w:p>
    <w:p>
      <w:pPr>
        <w:ind w:right="20" w:firstLine="1296"/>
        <w:spacing w:after="0" w:line="272" w:lineRule="auto"/>
        <w:tabs>
          <w:tab w:leader="none" w:pos="1987"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Notwithstanding the foregoing or anything to the contrary herein, if the Participant is a party to an employment, consulting, change-in-control, severance or other applicable written agreement with the Company that modifies or supplements the terms of this Agreement (each, a “</w:t>
      </w:r>
      <w:r>
        <w:rPr>
          <w:rFonts w:ascii="Arial" w:cs="Arial" w:eastAsia="Arial" w:hAnsi="Arial"/>
          <w:sz w:val="19"/>
          <w:szCs w:val="19"/>
          <w:u w:val="single" w:color="auto"/>
          <w:color w:val="auto"/>
        </w:rPr>
        <w:t>Superseding Agreement</w:t>
      </w:r>
      <w:r>
        <w:rPr>
          <w:rFonts w:ascii="Arial" w:cs="Arial" w:eastAsia="Arial" w:hAnsi="Arial"/>
          <w:sz w:val="19"/>
          <w:szCs w:val="19"/>
          <w:color w:val="auto"/>
        </w:rPr>
        <w:t>”), or is the subject of a resolution by the Committee or the board of directors of the Company evidencing the grant of an award that modifies or supplements the terms of this Agreement (a “</w:t>
      </w:r>
      <w:r>
        <w:rPr>
          <w:rFonts w:ascii="Arial" w:cs="Arial" w:eastAsia="Arial" w:hAnsi="Arial"/>
          <w:sz w:val="19"/>
          <w:szCs w:val="19"/>
          <w:u w:val="single" w:color="auto"/>
          <w:color w:val="auto"/>
        </w:rPr>
        <w:t>Resolution</w:t>
      </w:r>
      <w:r>
        <w:rPr>
          <w:rFonts w:ascii="Arial" w:cs="Arial" w:eastAsia="Arial" w:hAnsi="Arial"/>
          <w:sz w:val="19"/>
          <w:szCs w:val="19"/>
          <w:color w:val="auto"/>
        </w:rPr>
        <w:t>”), such modified or supplemented terms shall control in the event of any conflict between such terms and the terms of this Agreement, provided that in the event that the Superseding Agreement or Resolution is silent on a matter addressed in this Agreement, then such silence is not a conflict. No change, modification or waiver of any provision of this Agreement shall be valid unless the same be in writing and signed by the parties hereto, except for any changes permitted without consent under Section 11 or 13 of the Plan.</w:t>
      </w:r>
    </w:p>
    <w:p>
      <w:pPr>
        <w:spacing w:after="0" w:line="161" w:lineRule="exact"/>
        <w:rPr>
          <w:rFonts w:ascii="Arial" w:cs="Arial" w:eastAsia="Arial" w:hAnsi="Arial"/>
          <w:sz w:val="19"/>
          <w:szCs w:val="19"/>
          <w:color w:val="auto"/>
        </w:rPr>
      </w:pPr>
    </w:p>
    <w:p>
      <w:pPr>
        <w:ind w:right="40" w:firstLine="1296"/>
        <w:spacing w:after="0" w:line="238" w:lineRule="auto"/>
        <w:tabs>
          <w:tab w:leader="none" w:pos="1981"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Governing Law and Venue</w:t>
      </w:r>
      <w:r>
        <w:rPr>
          <w:rFonts w:ascii="Arial" w:cs="Arial" w:eastAsia="Arial" w:hAnsi="Arial"/>
          <w:sz w:val="22"/>
          <w:szCs w:val="22"/>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5" w:lineRule="exact"/>
        <w:rPr>
          <w:rFonts w:ascii="Arial" w:cs="Arial" w:eastAsia="Arial" w:hAnsi="Arial"/>
          <w:sz w:val="22"/>
          <w:szCs w:val="22"/>
          <w:color w:val="auto"/>
        </w:rPr>
      </w:pPr>
    </w:p>
    <w:p>
      <w:pPr>
        <w:ind w:right="20" w:firstLine="1296"/>
        <w:spacing w:after="0" w:line="246" w:lineRule="auto"/>
        <w:tabs>
          <w:tab w:leader="none" w:pos="1987"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Dispute Resolution; Consent to Jurisdiction</w:t>
      </w:r>
      <w:r>
        <w:rPr>
          <w:rFonts w:ascii="Arial" w:cs="Arial" w:eastAsia="Arial" w:hAnsi="Arial"/>
          <w:sz w:val="21"/>
          <w:szCs w:val="21"/>
          <w:color w:val="auto"/>
        </w:rPr>
        <w:t>. All disputes between or among any Persons arising out of or in any way connected with the Plan, this Agreement or the Option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72" w:name="page173"/>
    <w:bookmarkEnd w:id="172"/>
    <w:p>
      <w:pPr>
        <w:ind w:right="220"/>
        <w:spacing w:after="0" w:line="298" w:lineRule="auto"/>
        <w:rPr>
          <w:sz w:val="20"/>
          <w:szCs w:val="20"/>
          <w:color w:val="auto"/>
        </w:rPr>
      </w:pPr>
      <w:r>
        <w:rPr>
          <w:rFonts w:ascii="Arial" w:cs="Arial" w:eastAsia="Arial" w:hAnsi="Arial"/>
          <w:sz w:val="19"/>
          <w:szCs w:val="19"/>
          <w:color w:val="auto"/>
        </w:rPr>
        <w:t>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32" w:lineRule="exact"/>
        <w:rPr>
          <w:sz w:val="20"/>
          <w:szCs w:val="20"/>
          <w:color w:val="auto"/>
        </w:rPr>
      </w:pPr>
    </w:p>
    <w:p>
      <w:pPr>
        <w:ind w:firstLine="1296"/>
        <w:spacing w:after="0" w:line="247" w:lineRule="auto"/>
        <w:tabs>
          <w:tab w:leader="none" w:pos="1987"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8" w:lineRule="exact"/>
        <w:rPr>
          <w:rFonts w:ascii="Arial" w:cs="Arial" w:eastAsia="Arial" w:hAnsi="Arial"/>
          <w:sz w:val="21"/>
          <w:szCs w:val="21"/>
          <w:color w:val="auto"/>
        </w:rPr>
      </w:pPr>
    </w:p>
    <w:p>
      <w:pPr>
        <w:ind w:firstLine="1296"/>
        <w:spacing w:after="0" w:line="328" w:lineRule="auto"/>
        <w:tabs>
          <w:tab w:leader="none" w:pos="1981"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w:t>
      </w:r>
    </w:p>
    <w:p>
      <w:pPr>
        <w:spacing w:after="0" w:line="105" w:lineRule="exact"/>
        <w:rPr>
          <w:rFonts w:ascii="Arial" w:cs="Arial" w:eastAsia="Arial" w:hAnsi="Arial"/>
          <w:sz w:val="19"/>
          <w:szCs w:val="19"/>
          <w:color w:val="auto"/>
        </w:rPr>
      </w:pPr>
    </w:p>
    <w:p>
      <w:pPr>
        <w:ind w:right="60" w:firstLine="1296"/>
        <w:spacing w:after="0" w:line="287" w:lineRule="auto"/>
        <w:tabs>
          <w:tab w:leader="none" w:pos="1981"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(including via electronic signature or acceptance, facsimile, or electronic image scan (pdf)), each of which shall be deemed to be an original, but both of which together shall constitute one and the same instrument and shall become effective when one or more counterparts have been signed by each of the parties and delivered to the other parties.</w:t>
      </w:r>
    </w:p>
    <w:p>
      <w:pPr>
        <w:spacing w:after="0" w:line="143" w:lineRule="exact"/>
        <w:rPr>
          <w:rFonts w:ascii="Arial" w:cs="Arial" w:eastAsia="Arial" w:hAnsi="Arial"/>
          <w:sz w:val="19"/>
          <w:szCs w:val="19"/>
          <w:color w:val="auto"/>
        </w:rPr>
      </w:pPr>
    </w:p>
    <w:p>
      <w:pPr>
        <w:ind w:right="60" w:firstLine="1296"/>
        <w:spacing w:after="0" w:line="236" w:lineRule="auto"/>
        <w:tabs>
          <w:tab w:leader="none" w:pos="1981"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7" w:lineRule="exact"/>
        <w:rPr>
          <w:rFonts w:ascii="Arial" w:cs="Arial" w:eastAsia="Arial" w:hAnsi="Arial"/>
          <w:sz w:val="22"/>
          <w:szCs w:val="22"/>
          <w:color w:val="auto"/>
        </w:rPr>
      </w:pPr>
    </w:p>
    <w:p>
      <w:pPr>
        <w:ind w:firstLine="1296"/>
        <w:spacing w:after="0" w:line="287" w:lineRule="auto"/>
        <w:tabs>
          <w:tab w:leader="none" w:pos="1981"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173" w:name="page174"/>
    <w:bookmarkEnd w:id="173"/>
    <w:p>
      <w:pPr>
        <w:ind w:firstLine="648"/>
        <w:spacing w:after="0" w:line="251" w:lineRule="auto"/>
        <w:rPr>
          <w:sz w:val="20"/>
          <w:szCs w:val="20"/>
          <w:color w:val="auto"/>
        </w:rPr>
      </w:pPr>
      <w:r>
        <w:rPr>
          <w:rFonts w:ascii="Arial" w:cs="Arial" w:eastAsia="Arial" w:hAnsi="Arial"/>
          <w:sz w:val="22"/>
          <w:szCs w:val="22"/>
          <w:color w:val="auto"/>
        </w:rPr>
        <w:t>IN WITNESS WHEREOF, this Agreement has been executed by the Company and the Participant as of the day first written above.</w:t>
      </w:r>
    </w:p>
    <w:p>
      <w:pPr>
        <w:spacing w:after="0" w:line="17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IOVANCE BIOTHERAPEUTICS, INC.</w:t>
      </w:r>
    </w:p>
    <w:p>
      <w:pPr>
        <w:spacing w:after="0" w:line="23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-158115</wp:posOffset>
            </wp:positionV>
            <wp:extent cx="26244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4445</wp:posOffset>
            </wp:positionV>
            <wp:extent cx="26244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-157480</wp:posOffset>
            </wp:positionV>
            <wp:extent cx="26244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PARTICIPANT</w:t>
      </w:r>
    </w:p>
    <w:p>
      <w:pPr>
        <w:spacing w:after="0" w:line="24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[Insert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-154940</wp:posOffset>
            </wp:positionV>
            <wp:extent cx="30359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920" w:top="118" w:right="101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21.1</w:t>
      </w:r>
    </w:p>
    <w:p>
      <w:pPr>
        <w:spacing w:after="0" w:line="234" w:lineRule="exact"/>
        <w:rPr>
          <w:sz w:val="20"/>
          <w:szCs w:val="20"/>
          <w:color w:val="auto"/>
        </w:rPr>
      </w:pPr>
    </w:p>
    <w:p>
      <w:pPr>
        <w:ind w:left="3640"/>
        <w:spacing w:after="0"/>
        <w:rPr>
          <w:sz w:val="20"/>
          <w:szCs w:val="20"/>
          <w:color w:val="auto"/>
        </w:rPr>
      </w:pPr>
      <w:r>
        <w:rPr>
          <w:rFonts w:ascii="Arial" w:cs="Arial" w:eastAsia="Arial" w:hAnsi="Arial"/>
          <w:sz w:val="22"/>
          <w:szCs w:val="22"/>
          <w:b w:val="1"/>
          <w:bCs w:val="1"/>
          <w:u w:val="single" w:color="auto"/>
          <w:color w:val="auto"/>
        </w:rPr>
        <w:t>Subsidiaries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Iovance Biotechnologies GmbH, a company formed under the laws of Switzerland.</w:t>
      </w:r>
    </w:p>
    <w:p>
      <w:pPr>
        <w:spacing w:after="0" w:line="206" w:lineRule="exact"/>
        <w:rPr>
          <w:sz w:val="20"/>
          <w:szCs w:val="20"/>
          <w:color w:val="auto"/>
        </w:rPr>
      </w:pPr>
    </w:p>
    <w:p>
      <w:pPr>
        <w:ind w:right="1180"/>
        <w:spacing w:after="0" w:line="251" w:lineRule="auto"/>
        <w:rPr>
          <w:sz w:val="20"/>
          <w:szCs w:val="20"/>
          <w:color w:val="auto"/>
        </w:rPr>
      </w:pPr>
      <w:r>
        <w:rPr>
          <w:rFonts w:ascii="Arial" w:cs="Arial" w:eastAsia="Arial" w:hAnsi="Arial"/>
          <w:sz w:val="22"/>
          <w:szCs w:val="22"/>
          <w:color w:val="auto"/>
        </w:rPr>
        <w:t>Iovance Biotherapeutics Manufacturing LLC, a limited liability company formed under the laws of the Commonwealth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3887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3887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3"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We consent to the incorporation by reference in the Registration Statements of Iovance Biotherapeutics, Inc. on Form S-3 (File No. 333-233578), Form S-3 (File No. 333-214073), Form S-3 (File No. 333-212373), Form S-8 (File No. 333-217638), Form S-8 (File No. 333-214567), Form S-8 (File No. 333-205097), and Form S-8 (File No. 333-227242) of our report dated February 25, 2020, with respect to our audits of the consolidated financial statements of Iovance Biotherapeutics, Inc. as of December 31, 2019 and 2018 and for each of the three years in the period ended December 31, 2019 and our report dated February 25, 2020 with respect to our audit of the effectiveness of internal control over financial reporting of Iovance Biotherapeutics, Inc. as of December 31, 2019, which reports are included in this Annual Report on Form 10-K of Iovance Biotherapeutics, Inc. for the year ended December 31, 2019.</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14605</wp:posOffset>
            </wp:positionV>
            <wp:extent cx="42024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February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3887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502920</wp:posOffset>
            </wp:positionV>
            <wp:extent cx="638873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3887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Maria Fardis, certify that:</w:t>
      </w:r>
    </w:p>
    <w:p>
      <w:pPr>
        <w:spacing w:after="0" w:line="225" w:lineRule="exact"/>
        <w:rPr>
          <w:sz w:val="20"/>
          <w:szCs w:val="20"/>
          <w:color w:val="auto"/>
        </w:rPr>
      </w:pPr>
    </w:p>
    <w:p>
      <w:pPr>
        <w:ind w:left="360" w:hanging="231"/>
        <w:spacing w:after="0"/>
        <w:tabs>
          <w:tab w:leader="none" w:pos="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Iovance Biotherapeutics, Inc.</w:t>
      </w:r>
    </w:p>
    <w:p>
      <w:pPr>
        <w:spacing w:after="0" w:line="225" w:lineRule="exact"/>
        <w:rPr>
          <w:rFonts w:ascii="Arial" w:cs="Arial" w:eastAsia="Arial" w:hAnsi="Arial"/>
          <w:sz w:val="18"/>
          <w:szCs w:val="18"/>
          <w:color w:val="auto"/>
        </w:rPr>
      </w:pPr>
    </w:p>
    <w:p>
      <w:pPr>
        <w:ind w:left="360" w:right="20" w:hanging="231"/>
        <w:spacing w:after="0" w:line="264" w:lineRule="auto"/>
        <w:tabs>
          <w:tab w:leader="none" w:pos="3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60" w:right="80" w:hanging="231"/>
        <w:spacing w:after="0" w:line="264" w:lineRule="auto"/>
        <w:tabs>
          <w:tab w:leader="none" w:pos="3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60" w:right="220" w:hanging="231"/>
        <w:spacing w:after="0" w:line="264" w:lineRule="auto"/>
        <w:tabs>
          <w:tab w:leader="none" w:pos="3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520" w:right="160" w:hanging="391"/>
        <w:spacing w:after="0" w:line="286" w:lineRule="auto"/>
        <w:tabs>
          <w:tab w:leader="none" w:pos="511" w:val="left"/>
        </w:tabs>
        <w:numPr>
          <w:ilvl w:val="0"/>
          <w:numId w:val="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520" w:hanging="391"/>
        <w:spacing w:after="0" w:line="264" w:lineRule="auto"/>
        <w:tabs>
          <w:tab w:leader="none" w:pos="521"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20" w:right="140" w:hanging="391"/>
        <w:spacing w:after="0" w:line="264" w:lineRule="auto"/>
        <w:tabs>
          <w:tab w:leader="none" w:pos="5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520" w:right="240" w:hanging="391"/>
        <w:spacing w:after="0" w:line="264" w:lineRule="auto"/>
        <w:tabs>
          <w:tab w:leader="none" w:pos="521"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sz w:val="20"/>
          <w:szCs w:val="20"/>
          <w:color w:val="auto"/>
        </w:rPr>
      </w:pPr>
    </w:p>
    <w:p>
      <w:pPr>
        <w:ind w:left="360" w:right="340" w:hanging="231"/>
        <w:spacing w:after="0" w:line="264" w:lineRule="auto"/>
        <w:tabs>
          <w:tab w:leader="none" w:pos="3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520" w:right="80" w:hanging="391"/>
        <w:spacing w:after="0" w:line="342" w:lineRule="auto"/>
        <w:tabs>
          <w:tab w:leader="none" w:pos="501" w:val="left"/>
        </w:tabs>
        <w:numPr>
          <w:ilvl w:val="0"/>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520" w:right="360" w:hanging="391"/>
        <w:spacing w:after="0" w:line="277" w:lineRule="auto"/>
        <w:tabs>
          <w:tab w:leader="none" w:pos="5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Maria Fardis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3887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502920</wp:posOffset>
            </wp:positionV>
            <wp:extent cx="63887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3887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E. Morris, certify that:</w:t>
      </w:r>
    </w:p>
    <w:p>
      <w:pPr>
        <w:spacing w:after="0" w:line="225" w:lineRule="exact"/>
        <w:rPr>
          <w:sz w:val="20"/>
          <w:szCs w:val="20"/>
          <w:color w:val="auto"/>
        </w:rPr>
      </w:pPr>
    </w:p>
    <w:p>
      <w:pPr>
        <w:ind w:left="360" w:hanging="231"/>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Iovance Biotherapeutics, Inc.</w:t>
      </w:r>
    </w:p>
    <w:p>
      <w:pPr>
        <w:spacing w:after="0" w:line="225" w:lineRule="exact"/>
        <w:rPr>
          <w:rFonts w:ascii="Arial" w:cs="Arial" w:eastAsia="Arial" w:hAnsi="Arial"/>
          <w:sz w:val="18"/>
          <w:szCs w:val="18"/>
          <w:color w:val="auto"/>
        </w:rPr>
      </w:pPr>
    </w:p>
    <w:p>
      <w:pPr>
        <w:ind w:left="360" w:right="20" w:hanging="231"/>
        <w:spacing w:after="0" w:line="264" w:lineRule="auto"/>
        <w:tabs>
          <w:tab w:leader="none" w:pos="3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60" w:right="80" w:hanging="231"/>
        <w:spacing w:after="0" w:line="264" w:lineRule="auto"/>
        <w:tabs>
          <w:tab w:leader="none" w:pos="3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60" w:right="220" w:hanging="231"/>
        <w:spacing w:after="0" w:line="264" w:lineRule="auto"/>
        <w:tabs>
          <w:tab w:leader="none" w:pos="3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520" w:right="160" w:hanging="391"/>
        <w:spacing w:after="0" w:line="286" w:lineRule="auto"/>
        <w:tabs>
          <w:tab w:leader="none" w:pos="511" w:val="left"/>
        </w:tabs>
        <w:numPr>
          <w:ilvl w:val="0"/>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520" w:hanging="391"/>
        <w:spacing w:after="0" w:line="264" w:lineRule="auto"/>
        <w:tabs>
          <w:tab w:leader="none" w:pos="521"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20" w:right="140" w:hanging="391"/>
        <w:spacing w:after="0" w:line="264" w:lineRule="auto"/>
        <w:tabs>
          <w:tab w:leader="none" w:pos="5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520" w:right="240" w:hanging="391"/>
        <w:spacing w:after="0" w:line="264" w:lineRule="auto"/>
        <w:tabs>
          <w:tab w:leader="none" w:pos="521"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sz w:val="20"/>
          <w:szCs w:val="20"/>
          <w:color w:val="auto"/>
        </w:rPr>
      </w:pPr>
    </w:p>
    <w:p>
      <w:pPr>
        <w:ind w:left="360" w:right="340" w:hanging="231"/>
        <w:spacing w:after="0" w:line="264" w:lineRule="auto"/>
        <w:tabs>
          <w:tab w:leader="none" w:pos="3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520" w:right="80" w:hanging="391"/>
        <w:spacing w:after="0" w:line="342" w:lineRule="auto"/>
        <w:tabs>
          <w:tab w:leader="none" w:pos="501"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520" w:right="360" w:hanging="391"/>
        <w:spacing w:after="0" w:line="277" w:lineRule="auto"/>
        <w:tabs>
          <w:tab w:leader="none" w:pos="511"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Timothy E. Morris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Timothy E.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3887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502920</wp:posOffset>
            </wp:positionV>
            <wp:extent cx="638873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3887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Maria Fardis, Chief Executive Officer of Iovance Biotherapeutics, Inc. (Company), do hereby certify, pursuant to 18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31" w:lineRule="exact"/>
        <w:rPr>
          <w:sz w:val="20"/>
          <w:szCs w:val="20"/>
          <w:color w:val="auto"/>
        </w:rPr>
      </w:pPr>
    </w:p>
    <w:p>
      <w:pPr>
        <w:ind w:left="640" w:right="380" w:firstLine="81"/>
        <w:spacing w:after="0" w:line="328" w:lineRule="auto"/>
        <w:rPr>
          <w:sz w:val="20"/>
          <w:szCs w:val="20"/>
          <w:color w:val="auto"/>
        </w:rPr>
      </w:pPr>
      <w:r>
        <w:rPr>
          <w:rFonts w:ascii="Arial" w:cs="Arial" w:eastAsia="Arial" w:hAnsi="Arial"/>
          <w:sz w:val="19"/>
          <w:szCs w:val="19"/>
          <w:color w:val="auto"/>
        </w:rPr>
        <w:t>the Annual Report on Form 10-K of the Company for the year ended December 31, 2019 (Report) fully complies with the requirements of Section 13(a) or 15(d) of the Securities Exchange Act of 1934; and</w:t>
      </w:r>
    </w:p>
    <w:p>
      <w:pPr>
        <w:spacing w:after="0" w:line="119" w:lineRule="exact"/>
        <w:rPr>
          <w:sz w:val="20"/>
          <w:szCs w:val="20"/>
          <w:color w:val="auto"/>
        </w:rPr>
      </w:pPr>
    </w:p>
    <w:p>
      <w:pPr>
        <w:ind w:left="640" w:right="160" w:firstLine="81"/>
        <w:spacing w:after="0" w:line="251" w:lineRule="auto"/>
        <w:rPr>
          <w:sz w:val="20"/>
          <w:szCs w:val="20"/>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Maria Fardis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3887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502920</wp:posOffset>
            </wp:positionV>
            <wp:extent cx="638873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3887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Timothy E. Morris, Chief Financial Officer of Iovance Biotherapeutics, Inc.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7" w:lineRule="exact"/>
        <w:rPr>
          <w:sz w:val="20"/>
          <w:szCs w:val="20"/>
          <w:color w:val="auto"/>
        </w:rPr>
      </w:pPr>
    </w:p>
    <w:p>
      <w:pPr>
        <w:ind w:left="640" w:right="440" w:firstLine="27"/>
        <w:spacing w:after="0" w:line="328" w:lineRule="auto"/>
        <w:rPr>
          <w:sz w:val="20"/>
          <w:szCs w:val="20"/>
          <w:color w:val="auto"/>
        </w:rPr>
      </w:pPr>
      <w:r>
        <w:rPr>
          <w:rFonts w:ascii="Arial" w:cs="Arial" w:eastAsia="Arial" w:hAnsi="Arial"/>
          <w:sz w:val="19"/>
          <w:szCs w:val="19"/>
          <w:color w:val="auto"/>
        </w:rPr>
        <w:t>the Annual Report on Form 10-K of the Company for the year ended December 31, 2019 (Report) fully complies with the requirements of Section 13(a) or 15(d) of the Securities Exchange Act of 1934; and</w:t>
      </w:r>
    </w:p>
    <w:p>
      <w:pPr>
        <w:spacing w:after="0" w:line="119" w:lineRule="exact"/>
        <w:rPr>
          <w:sz w:val="20"/>
          <w:szCs w:val="20"/>
          <w:color w:val="auto"/>
        </w:rPr>
      </w:pPr>
    </w:p>
    <w:p>
      <w:pPr>
        <w:ind w:left="640" w:right="200" w:firstLine="27"/>
        <w:spacing w:after="0" w:line="251" w:lineRule="auto"/>
        <w:rPr>
          <w:sz w:val="20"/>
          <w:szCs w:val="20"/>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Timothy E. Morris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Timothy E.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3887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502920</wp:posOffset>
            </wp:positionV>
            <wp:extent cx="638873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1)"/>
      <w:numFmt w:val="lowerRoman"/>
      <w:start w:val="3"/>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1."/>
      <w:numFmt w:val="decimal"/>
      <w:start w:val="4"/>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10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lowerRoman"/>
      <w:start w:val="2"/>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1)"/>
      <w:numFmt w:val="lowerRoman"/>
      <w:start w:val="2"/>
    </w:lvl>
  </w:abstractNum>
  <w:abstractNum w:abstractNumId="42">
    <w:nsid w:val="4AD084E9"/>
    <w:multiLevelType w:val="hybridMultilevel"/>
    <w:lvl w:ilvl="0">
      <w:lvlJc w:val="left"/>
      <w:lvlText w:val="%1."/>
      <w:numFmt w:val="decimal"/>
      <w:start w:val="5"/>
    </w:lvl>
  </w:abstractNum>
  <w:abstractNum w:abstractNumId="43">
    <w:nsid w:val="1F48EAA1"/>
    <w:multiLevelType w:val="hybridMultilevel"/>
    <w:lvl w:ilvl="0">
      <w:lvlJc w:val="left"/>
      <w:lvlText w:val="%1."/>
      <w:numFmt w:val="decimal"/>
      <w:start w:val="9"/>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lowerRoman"/>
      <w:start w:val="2"/>
    </w:lvl>
  </w:abstractNum>
  <w:abstractNum w:abstractNumId="46">
    <w:nsid w:val="100F8FCA"/>
    <w:multiLevelType w:val="hybridMultilevel"/>
    <w:lvl w:ilvl="0">
      <w:lvlJc w:val="left"/>
      <w:lvlText w:val="%1."/>
      <w:numFmt w:val="decimal"/>
      <w:start w:val="5"/>
    </w:lvl>
  </w:abstractNum>
  <w:abstractNum w:abstractNumId="47">
    <w:nsid w:val="6590700B"/>
    <w:multiLevelType w:val="hybridMultilevel"/>
    <w:lvl w:ilvl="0">
      <w:lvlJc w:val="left"/>
      <w:lvlText w:val="%1."/>
      <w:numFmt w:val="decimal"/>
      <w:start w:val="8"/>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lowerRoman"/>
      <w:start w:val="2"/>
    </w:lvl>
  </w:abstractNum>
  <w:abstractNum w:abstractNumId="50">
    <w:nsid w:val="98A3148"/>
    <w:multiLevelType w:val="hybridMultilevel"/>
    <w:lvl w:ilvl="0">
      <w:lvlJc w:val="left"/>
      <w:lvlText w:val="%1."/>
      <w:numFmt w:val="decimal"/>
      <w:start w:val="5"/>
    </w:lvl>
  </w:abstractNum>
  <w:abstractNum w:abstractNumId="51">
    <w:nsid w:val="799D0247"/>
    <w:multiLevelType w:val="hybridMultilevel"/>
    <w:lvl w:ilvl="0">
      <w:lvlJc w:val="left"/>
      <w:lvlText w:val="%1."/>
      <w:numFmt w:val="decimal"/>
      <w:start w:val="7"/>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lowerRoman"/>
      <w:start w:val="2"/>
    </w:lvl>
  </w:abstractNum>
  <w:abstractNum w:abstractNumId="54">
    <w:nsid w:val="168E121F"/>
    <w:multiLevelType w:val="hybridMultilevel"/>
    <w:lvl w:ilvl="0">
      <w:lvlJc w:val="left"/>
      <w:lvlText w:val="%1."/>
      <w:numFmt w:val="decimal"/>
      <w:start w:val="5"/>
    </w:lvl>
  </w:abstractNum>
  <w:abstractNum w:abstractNumId="55">
    <w:nsid w:val="1EBA5D23"/>
    <w:multiLevelType w:val="hybridMultilevel"/>
    <w:lvl w:ilvl="0">
      <w:lvlJc w:val="left"/>
      <w:lvlText w:val="%1."/>
      <w:numFmt w:val="decimal"/>
      <w:start w:val="8"/>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
      <w:numFmt w:val="bullet"/>
      <w:start w:val="1"/>
    </w:lvl>
    <w:lvl w:ilvl="1">
      <w:lvlJc w:val="left"/>
      <w:lvlText w:val="(%2)"/>
      <w:numFmt w:val="lowerLetter"/>
      <w:start w:val="2"/>
    </w:lvl>
  </w:abstractNum>
  <w:abstractNum w:abstractNumId="60">
    <w:nsid w:val="51D9C564"/>
    <w:multiLevelType w:val="hybridMultilevel"/>
    <w:lvl w:ilvl="0">
      <w:lvlJc w:val="left"/>
      <w:lvlText w:val="%1."/>
      <w:numFmt w:val="decimal"/>
      <w:start w:val="2"/>
    </w:lvl>
    <w:lvl w:ilvl="1">
      <w:lvlJc w:val="left"/>
      <w:lvlText w:val="(%2)"/>
      <w:numFmt w:val="lowerLetter"/>
      <w:start w:val="1"/>
    </w:lvl>
  </w:abstractNum>
  <w:abstractNum w:abstractNumId="61">
    <w:nsid w:val="613EFDC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2">
    <w:nsid w:val="BF72B1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3">
    <w:nsid w:val="11447B7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4">
    <w:nsid w:val="42963E5A"/>
    <w:multiLevelType w:val="hybridMultilevel"/>
    <w:lvl w:ilvl="0">
      <w:lvlJc w:val="left"/>
      <w:lvlText w:val="%1"/>
      <w:numFmt w:val="decimal"/>
      <w:start w:val="1"/>
    </w:lvl>
    <w:lvl w:ilvl="1">
      <w:lvlJc w:val="left"/>
      <w:lvlText w:val="(%2)"/>
      <w:numFmt w:val="lowerLetter"/>
      <w:start w:val="2"/>
    </w:lvl>
  </w:abstractNum>
  <w:abstractNum w:abstractNumId="65">
    <w:nsid w:val="A0382C5"/>
    <w:multiLevelType w:val="hybridMultilevel"/>
    <w:lvl w:ilvl="0">
      <w:lvlJc w:val="left"/>
      <w:lvlText w:val="%1."/>
      <w:numFmt w:val="decimal"/>
      <w:start w:val="6"/>
    </w:lvl>
    <w:lvl w:ilvl="1">
      <w:lvlJc w:val="left"/>
      <w:lvlText w:val="(%2)"/>
      <w:numFmt w:val="lowerLetter"/>
      <w:start w:val="1"/>
    </w:lvl>
  </w:abstractNum>
  <w:abstractNum w:abstractNumId="66">
    <w:nsid w:val="8F2B15E"/>
    <w:multiLevelType w:val="hybridMultilevel"/>
    <w:lvl w:ilvl="0">
      <w:lvlJc w:val="left"/>
      <w:lvlText w:val="%1."/>
      <w:numFmt w:val="decimal"/>
      <w:start w:val="8"/>
    </w:lvl>
    <w:lvl w:ilvl="1">
      <w:lvlJc w:val="left"/>
      <w:lvlText w:val="(%2)"/>
      <w:numFmt w:val="lowerLetter"/>
      <w:start w:val="1"/>
    </w:lvl>
  </w:abstractNum>
  <w:abstractNum w:abstractNumId="67">
    <w:nsid w:val="1A32234B"/>
    <w:multiLevelType w:val="hybridMultilevel"/>
    <w:lvl w:ilvl="0">
      <w:lvlJc w:val="left"/>
      <w:lvlText w:val="(%1)"/>
      <w:numFmt w:val="lowerLetter"/>
      <w:start w:val="6"/>
    </w:lvl>
  </w:abstractNum>
  <w:abstractNum w:abstractNumId="68">
    <w:nsid w:val="3B0FD379"/>
    <w:multiLevelType w:val="hybridMultilevel"/>
    <w:lvl w:ilvl="0">
      <w:lvlJc w:val="left"/>
      <w:lvlText w:val="(%1)"/>
      <w:numFmt w:val="lowerLetter"/>
      <w:start w:val="13"/>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1"/>
      <w:numFmt w:val="decimal"/>
      <w:start w:val="1"/>
    </w:lvl>
    <w:lvl w:ilvl="1">
      <w:lvlJc w:val="left"/>
      <w:lvlText w:val="(%2)"/>
      <w:numFmt w:val="lowerLetter"/>
      <w:start w:val="2"/>
    </w:lvl>
  </w:abstractNum>
  <w:abstractNum w:abstractNumId="73">
    <w:nsid w:val="14330624"/>
    <w:multiLevelType w:val="hybridMultilevel"/>
    <w:lvl w:ilvl="0">
      <w:lvlJc w:val="left"/>
      <w:lvlText w:val="%1."/>
      <w:numFmt w:val="decimal"/>
      <w:start w:val="2"/>
    </w:lvl>
    <w:lvl w:ilvl="1">
      <w:lvlJc w:val="left"/>
      <w:lvlText w:val="%2"/>
      <w:numFmt w:val="lowerLetter"/>
      <w:start w:val="1"/>
    </w:lvl>
  </w:abstractNum>
  <w:abstractNum w:abstractNumId="74">
    <w:nsid w:val="7FFFCA11"/>
    <w:multiLevelType w:val="hybridMultilevel"/>
    <w:lvl w:ilvl="0">
      <w:lvlJc w:val="left"/>
      <w:lvlText w:val="%1."/>
      <w:numFmt w:val="decimal"/>
      <w:start w:val="3"/>
    </w:lvl>
    <w:lvl w:ilvl="1">
      <w:lvlJc w:val="left"/>
      <w:lvlText w:val="(%2)"/>
      <w:numFmt w:val="lowerLetter"/>
      <w:start w:val="1"/>
    </w:lvl>
  </w:abstractNum>
  <w:abstractNum w:abstractNumId="75">
    <w:nsid w:val="1A27709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6">
    <w:nsid w:val="71EA110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77">
    <w:nsid w:val="100F59D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8">
    <w:nsid w:val="7FB7E0AA"/>
    <w:multiLevelType w:val="hybridMultilevel"/>
    <w:lvl w:ilvl="0">
      <w:lvlJc w:val="left"/>
      <w:lvlText w:val="%1."/>
      <w:numFmt w:val="decimal"/>
      <w:start w:val="6"/>
    </w:lvl>
    <w:lvl w:ilvl="1">
      <w:lvlJc w:val="left"/>
      <w:lvlText w:val="(%2)"/>
      <w:numFmt w:val="lowerLetter"/>
      <w:start w:val="1"/>
    </w:lvl>
  </w:abstractNum>
  <w:abstractNum w:abstractNumId="79">
    <w:nsid w:val="6EB5BD4"/>
    <w:multiLevelType w:val="hybridMultilevel"/>
    <w:lvl w:ilvl="0">
      <w:lvlJc w:val="left"/>
      <w:lvlText w:val="%1."/>
      <w:numFmt w:val="decimal"/>
      <w:start w:val="8"/>
    </w:lvl>
    <w:lvl w:ilvl="1">
      <w:lvlJc w:val="left"/>
      <w:lvlText w:val="(%2)"/>
      <w:numFmt w:val="lowerLetter"/>
      <w:start w:val="1"/>
    </w:lvl>
  </w:abstractNum>
  <w:abstractNum w:abstractNumId="80">
    <w:nsid w:val="6F6DD9AC"/>
    <w:multiLevelType w:val="hybridMultilevel"/>
    <w:lvl w:ilvl="0">
      <w:lvlJc w:val="left"/>
      <w:lvlText w:val="(%1)"/>
      <w:numFmt w:val="lowerLetter"/>
      <w:start w:val="7"/>
    </w:lvl>
  </w:abstractNum>
  <w:abstractNum w:abstractNumId="81">
    <w:nsid w:val="94211F2"/>
    <w:multiLevelType w:val="hybridMultilevel"/>
    <w:lvl w:ilvl="0">
      <w:lvlJc w:val="left"/>
      <w:lvlText w:val="(%1)"/>
      <w:numFmt w:val="lowerLetter"/>
      <w:start w:val="13"/>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decimal"/>
      <w:start w:val="5"/>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lowerLetter"/>
      <w:start w:val="1"/>
    </w:lvl>
  </w:abstractNum>
  <w:abstractNum w:abstractNumId="88">
    <w:nsid w:val="74DE0EE3"/>
    <w:multiLevelType w:val="hybridMultilevel"/>
    <w:lvl w:ilvl="0">
      <w:lvlJc w:val="left"/>
      <w:lvlText w:val="%1."/>
      <w:numFmt w:val="decimal"/>
      <w:start w:val="5"/>
    </w:lvl>
  </w:abstractNum>
  <w:abstractNum w:abstractNumId="89">
    <w:nsid w:val="68EBC55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9" Type="http://schemas.openxmlformats.org/officeDocument/2006/relationships/image" Target="media/image103.png"/><Relationship Id="rId147"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110" Type="http://schemas.openxmlformats.org/officeDocument/2006/relationships/hyperlink" Target="http://www.sec.gov/Archives/edgar/data/1425205/000114420417030892/v468249_ex2-1.htm" TargetMode="External"/><Relationship Id="rId111" Type="http://schemas.openxmlformats.org/officeDocument/2006/relationships/hyperlink" Target="http://www.sec.gov/Archives/edgar/data/1425205/000114420417030892/v468249_ex3-1.htm" TargetMode="External"/><Relationship Id="rId112" Type="http://schemas.openxmlformats.org/officeDocument/2006/relationships/hyperlink" Target="http://www.sec.gov/Archives/edgar/data/1425205/000114420417030892/v468249_ex3-2.htm" TargetMode="External"/><Relationship Id="rId113" Type="http://schemas.openxmlformats.org/officeDocument/2006/relationships/hyperlink" Target="http://www.sec.gov/Archives/edgar/data/1425205/000114420417030892/v468249_ex3-3.htm" TargetMode="External"/><Relationship Id="rId114" Type="http://schemas.openxmlformats.org/officeDocument/2006/relationships/hyperlink" Target="http://www.sec.gov/Archives/edgar/data/1425205/000114420417039309/v471615_ex3-4.htm" TargetMode="External"/><Relationship Id="rId115" Type="http://schemas.openxmlformats.org/officeDocument/2006/relationships/hyperlink" Target="http://www.sec.gov/Archives/edgar/data/1425205/000114420417039309/v471615_ex3-5.htm" TargetMode="External"/><Relationship Id="rId116" Type="http://schemas.openxmlformats.org/officeDocument/2006/relationships/hyperlink" Target="http://www.sec.gov/Archives/edgar/data/1425205/000114420417034350/v469760_ex3-1.htm" TargetMode="External"/><Relationship Id="rId117" Type="http://schemas.openxmlformats.org/officeDocument/2006/relationships/hyperlink" Target="http://www.sec.gov/Archives/edgar/data/1425205/000114420417030892/v468249_ex3-4.htm" TargetMode="External"/><Relationship Id="rId118" Type="http://schemas.openxmlformats.org/officeDocument/2006/relationships/hyperlink" Target="http://www.sec.gov/Archives/edgar/data/1425205/000114420417034350/v469760_ex3-2.htm" TargetMode="External"/><Relationship Id="rId119" Type="http://schemas.openxmlformats.org/officeDocument/2006/relationships/hyperlink" Target="http://www.sec.gov/Archives/edgar/data/1425205/000151316013000065/ex41.htm" TargetMode="External"/><Relationship Id="rId120" Type="http://schemas.openxmlformats.org/officeDocument/2006/relationships/hyperlink" Target="http://www.sec.gov/Archives/edgar/data/1425205/000114420418014151/tv485173_ex4-2.htm" TargetMode="External"/><Relationship Id="rId121" Type="http://schemas.openxmlformats.org/officeDocument/2006/relationships/hyperlink" Target="http://www.sec.gov/Archives/edgar/data/1425205/000114420410017594/v179506_ex4-1.htm" TargetMode="External"/><Relationship Id="rId122" Type="http://schemas.openxmlformats.org/officeDocument/2006/relationships/hyperlink" Target="http://www.sec.gov/Archives/edgar/data/1425205/000114420410017594/v179506_ex10-5.htm" TargetMode="External"/><Relationship Id="rId123" Type="http://schemas.openxmlformats.org/officeDocument/2006/relationships/hyperlink" Target="http://www.sec.gov/Archives/edgar/data/1425205/000114420411058601/v237591_ex10-3.htm" TargetMode="External"/><Relationship Id="rId124" Type="http://schemas.openxmlformats.org/officeDocument/2006/relationships/hyperlink" Target="http://www.sec.gov/Archives/edgar/data/1425205/000114420416111940/v443869_def14a.htm" TargetMode="External"/><Relationship Id="rId125" Type="http://schemas.openxmlformats.org/officeDocument/2006/relationships/hyperlink" Target="http://www.sec.gov/Archives/edgar/data/1425205/000114420418022424/tv491717_def14a.htm" TargetMode="External"/><Relationship Id="rId126" Type="http://schemas.openxmlformats.org/officeDocument/2006/relationships/hyperlink" Target="http://www.sec.gov/Archives/edgar/data/1425205/000114420411069602/v242935_ex10-1.htm" TargetMode="External"/><Relationship Id="rId127" Type="http://schemas.openxmlformats.org/officeDocument/2006/relationships/hyperlink" Target="http://www.sec.gov/Archives/edgar/data/1425205/000114420411067480/v241925_ex10-1.htm" TargetMode="External"/><Relationship Id="rId128" Type="http://schemas.openxmlformats.org/officeDocument/2006/relationships/hyperlink" Target="http://www.sec.gov/Archives/edgar/data/1425205/000151316013000040/ex102.htm" TargetMode="External"/><Relationship Id="rId130" Type="http://schemas.openxmlformats.org/officeDocument/2006/relationships/hyperlink" Target="http://www.sec.gov/Archives/edgar/data/1425205/000151316013000065/ex102.htm" TargetMode="External"/><Relationship Id="rId131" Type="http://schemas.openxmlformats.org/officeDocument/2006/relationships/hyperlink" Target="http://www.sec.gov/Archives/edgar/data/1425205/000114420415003901/v399590_ex10-1.htm" TargetMode="External"/><Relationship Id="rId132" Type="http://schemas.openxmlformats.org/officeDocument/2006/relationships/hyperlink" Target="http://www.sec.gov/Archives/edgar/data/1425205/000114420415016315/v403564_ex10-47.htm" TargetMode="External"/><Relationship Id="rId133" Type="http://schemas.openxmlformats.org/officeDocument/2006/relationships/hyperlink" Target="http://www.sec.gov/Archives/edgar/data/1425205/000114420415016315/v403564_ex10-46.htm" TargetMode="External"/><Relationship Id="rId134" Type="http://schemas.openxmlformats.org/officeDocument/2006/relationships/hyperlink" Target="http://www.sec.gov/Archives/edgar/data/1425205/000114420415063327/v423195_ex10-47.htm" TargetMode="External"/><Relationship Id="rId135" Type="http://schemas.openxmlformats.org/officeDocument/2006/relationships/hyperlink" Target="http://www.sec.gov/Archives/edgar/data/1425205/000114420416106835/v441731_ex10-1.htm" TargetMode="External"/><Relationship Id="rId136" Type="http://schemas.openxmlformats.org/officeDocument/2006/relationships/hyperlink" Target="http://www.sec.gov/Archives/edgar/data/1425205/000114420416106835/v441731_ex10-2.htm" TargetMode="External"/><Relationship Id="rId137" Type="http://schemas.openxmlformats.org/officeDocument/2006/relationships/hyperlink" Target="http://www.sec.gov/Archives/edgar/data/1425205/000114420416106835/v441731_ex10-5.htm" TargetMode="External"/><Relationship Id="rId138" Type="http://schemas.openxmlformats.org/officeDocument/2006/relationships/hyperlink" Target="http://www.sec.gov/Archives/edgar/data/1425205/000114420416122251/v448086_ex10-3.htm" TargetMode="External"/><Relationship Id="rId139" Type="http://schemas.openxmlformats.org/officeDocument/2006/relationships/hyperlink" Target="http://www.sec.gov/Archives/edgar/data/1425205/000114420416131686/v451596_ex10-3.htm" TargetMode="External"/><Relationship Id="rId140" Type="http://schemas.openxmlformats.org/officeDocument/2006/relationships/hyperlink" Target="http://www.sec.gov/Archives/edgar/data/1425205/000114420417013535/v460270_ex10-36.htm" TargetMode="External"/><Relationship Id="rId141" Type="http://schemas.openxmlformats.org/officeDocument/2006/relationships/hyperlink" Target="http://www.sec.gov/Archives/edgar/data/1425205/000114420418007319/tv485638_8k.htm" TargetMode="External"/><Relationship Id="rId142" Type="http://schemas.openxmlformats.org/officeDocument/2006/relationships/hyperlink" Target="http://www.sec.gov/Archives/edgar/data/1425205/000114420417040380/v471203_ex10-1.htm" TargetMode="External"/><Relationship Id="rId143" Type="http://schemas.openxmlformats.org/officeDocument/2006/relationships/hyperlink" Target="http://www.sec.gov/Archives/edgar/data/1425205/000114420416117596/v445492_ex10-3.htm" TargetMode="External"/><Relationship Id="rId144" Type="http://schemas.openxmlformats.org/officeDocument/2006/relationships/hyperlink" Target="http://www.sec.gov/Archives/edgar/data/1425205/000114420417055799/tv477548_ex10-1.htm" TargetMode="External"/><Relationship Id="rId145" Type="http://schemas.openxmlformats.org/officeDocument/2006/relationships/hyperlink" Target="http://www.sec.gov/Archives/edgar/data/1425205/000114420417048108/v475226_ex10-1.htm" TargetMode="External"/><Relationship Id="rId146" Type="http://schemas.openxmlformats.org/officeDocument/2006/relationships/hyperlink" Target="http://www.sec.gov/Archives/edgar/data/1425205/000114420418014151/tv485173_ex10-32.htm" TargetMode="External"/><Relationship Id="rId148" Type="http://schemas.openxmlformats.org/officeDocument/2006/relationships/hyperlink" Target="http://www.sec.gov/Archives/edgar/data/1425205/000114420418014151/tv485173_ex10-34.htm" TargetMode="External"/><Relationship Id="rId149" Type="http://schemas.openxmlformats.org/officeDocument/2006/relationships/hyperlink" Target="http://www.sec.gov/Archives/edgar/data/1425205/000114420418014151/tv485173_ex10-35.htm" TargetMode="External"/><Relationship Id="rId150" Type="http://schemas.openxmlformats.org/officeDocument/2006/relationships/hyperlink" Target="http://www.sec.gov/Archives/edgar/data/1425205/000114420416117275/v446243_ex10-1.htm" TargetMode="External"/><Relationship Id="rId151" Type="http://schemas.openxmlformats.org/officeDocument/2006/relationships/hyperlink" Target="http://www.sec.gov/Archives/edgar/data/1425205/000114420418055365/tv505364_ex10-1.htm" TargetMode="External"/><Relationship Id="rId152" Type="http://schemas.openxmlformats.org/officeDocument/2006/relationships/hyperlink" Target="http://www.sec.gov/Archives/edgar/data/1425205/000114420419037248/iova-20190630ex1010a68ed.htm" TargetMode="External"/><Relationship Id="rId153" Type="http://schemas.openxmlformats.org/officeDocument/2006/relationships/hyperlink" Target="http://www.sec.gov/Archives/edgar/data/1425205/000110465919059564/ex-10d1.htm" TargetMode="External"/><Relationship Id="rId154" Type="http://schemas.openxmlformats.org/officeDocument/2006/relationships/hyperlink" Target="http://www.sec.gov/Archives/edgar/data/1425205/000110465919059564/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2020-02-25T17:33:11Z</dcterms:created>
  <dcterms:modified xsi:type="dcterms:W3CDTF">2020-02-25T17:33:11Z</dcterms:modified>
</cp:coreProperties>
</file>