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iova-20230630x10q.htm"/>
        <w:bookmarkStart w:id="1" w:name="ksiova2023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center"/>
        <w:rPr>
          <w:rFonts w:ascii="Times New Roman;Times;serif" w:hAnsi="Times New Roman;Times;serif"/>
          <w:b/>
          <w:sz w:val="2"/>
        </w:rPr>
      </w:pPr>
      <w:r>
        <w:rPr>
          <w:rFonts w:ascii="Times New Roman;Times;serif" w:hAnsi="Times New Roman;Times;serif"/>
          <w:b/>
          <w:sz w:val="2"/>
        </w:rPr>
        <w:t>+-</w:t>
      </w:r>
    </w:p>
    <w:p>
      <w:pPr>
        <w:pStyle w:val="TextBody"/>
        <w:bidi w:val="0"/>
        <w:spacing w:before="0" w:after="20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77c18186_c0c1_4c91_a340_3c342e30af43"/>
      <w:bookmarkEnd w:id="2"/>
      <w:r>
        <w:rPr>
          <w:rFonts w:ascii="Times New Roman;Times;serif" w:hAnsi="Times New Roman;Times;serif"/>
          <w:b/>
          <w:sz w:val="20"/>
        </w:rPr>
        <w:t xml:space="preserve">UNITED STATES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20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0"/>
        <w:ind w:left="0" w:right="0" w:hanging="0"/>
        <w:jc w:val="left"/>
        <w:rPr/>
      </w:pPr>
      <w:r>
        <w:rPr/>
        <w:t>​</w:t>
      </w:r>
    </w:p>
    <w:tbl>
      <w:tblPr>
        <w:tblW w:w="9827" w:type="dxa"/>
        <w:jc w:val="left"/>
        <w:tblInd w:w="0" w:type="dxa"/>
        <w:tblLayout w:type="fixed"/>
        <w:tblCellMar>
          <w:top w:w="0" w:type="dxa"/>
          <w:left w:w="0" w:type="dxa"/>
          <w:bottom w:w="0" w:type="dxa"/>
          <w:right w:w="0" w:type="dxa"/>
        </w:tblCellMar>
      </w:tblPr>
      <w:tblGrid>
        <w:gridCol w:w="331"/>
        <w:gridCol w:w="9496"/>
      </w:tblGrid>
      <w:tr>
        <w:trPr/>
        <w:tc>
          <w:tcPr>
            <w:tcW w:w="331" w:type="dxa"/>
            <w:tcBorders/>
            <w:vAlign w:val="center"/>
          </w:tcPr>
          <w:p>
            <w:pPr>
              <w:pStyle w:val="TableContents"/>
              <w:bidi w:val="0"/>
              <w:spacing w:before="0" w:after="0"/>
              <w:jc w:val="left"/>
              <w:rPr/>
            </w:pPr>
            <w:r>
              <w:rPr/>
              <w:t>☑</w:t>
            </w:r>
          </w:p>
        </w:tc>
        <w:tc>
          <w:tcPr>
            <w:tcW w:w="949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QUARTERLY REPORT PURSUANT TO SECTION 13 OR 15(d) OF THE SECURITIES EXCHANGE ACT OF 1934</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For the quarterly period ended </w:t>
      </w:r>
      <w:r>
        <w:rPr>
          <w:rFonts w:ascii="Times New Roman;Times;serif" w:hAnsi="Times New Roman;Times;serif"/>
          <w:b/>
          <w:sz w:val="20"/>
        </w:rPr>
        <w:t>June 30, 2023</w:t>
      </w:r>
    </w:p>
    <w:p>
      <w:pPr>
        <w:pStyle w:val="TextBody"/>
        <w:bidi w:val="0"/>
        <w:spacing w:before="0" w:after="0"/>
        <w:ind w:left="0" w:right="0" w:hanging="0"/>
        <w:jc w:val="left"/>
        <w:rPr/>
      </w:pPr>
      <w:r>
        <w:rPr/>
        <w:t>​</w:t>
      </w:r>
    </w:p>
    <w:tbl>
      <w:tblPr>
        <w:tblW w:w="9797" w:type="dxa"/>
        <w:jc w:val="left"/>
        <w:tblInd w:w="0" w:type="dxa"/>
        <w:tblLayout w:type="fixed"/>
        <w:tblCellMar>
          <w:top w:w="0" w:type="dxa"/>
          <w:left w:w="0" w:type="dxa"/>
          <w:bottom w:w="0" w:type="dxa"/>
          <w:right w:w="0" w:type="dxa"/>
        </w:tblCellMar>
      </w:tblPr>
      <w:tblGrid>
        <w:gridCol w:w="331"/>
        <w:gridCol w:w="9466"/>
      </w:tblGrid>
      <w:tr>
        <w:trPr/>
        <w:tc>
          <w:tcPr>
            <w:tcW w:w="331" w:type="dxa"/>
            <w:tcBorders/>
            <w:vAlign w:val="center"/>
          </w:tcPr>
          <w:p>
            <w:pPr>
              <w:pStyle w:val="TableContents"/>
              <w:bidi w:val="0"/>
              <w:spacing w:before="0" w:after="0"/>
              <w:jc w:val="left"/>
              <w:rPr/>
            </w:pPr>
            <w:r>
              <w:rPr/>
              <w:t>☐</w:t>
            </w:r>
          </w:p>
        </w:tc>
        <w:tc>
          <w:tcPr>
            <w:tcW w:w="946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TRANSITION REPORT PURSUANT TO SECTION 13 OR 15(d) OF THE SECURITIES EXCHANGE ACT OF 1934</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 the transition period from     to    .</w:t>
      </w:r>
    </w:p>
    <w:p>
      <w:pPr>
        <w:pStyle w:val="TextBody"/>
        <w:bidi w:val="0"/>
        <w:spacing w:before="0" w:after="20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 001-36860</w:t>
      </w:r>
    </w:p>
    <w:p>
      <w:pPr>
        <w:pStyle w:val="TextBody"/>
        <w:bidi w:val="0"/>
        <w:spacing w:before="0" w:after="20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IOVANCE BIOTHERAPEUTICS,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issuer as specified in its charter)</w:t>
      </w:r>
    </w:p>
    <w:p>
      <w:pPr>
        <w:pStyle w:val="TextBody"/>
        <w:bidi w:val="0"/>
        <w:spacing w:before="0" w:after="200"/>
        <w:ind w:left="0" w:right="0" w:hanging="0"/>
        <w:jc w:val="center"/>
        <w:rPr/>
      </w:pPr>
      <w:r>
        <w:rPr/>
        <w:t>​</w:t>
      </w:r>
    </w:p>
    <w:p>
      <w:pPr>
        <w:pStyle w:val="Normal"/>
        <w:bidi w:val="0"/>
        <w:spacing w:before="0" w:after="0"/>
        <w:jc w:val="left"/>
        <w:rPr>
          <w:sz w:val="4"/>
          <w:szCs w:val="4"/>
        </w:rPr>
      </w:pPr>
      <w:r>
        <w:rPr>
          <w:sz w:val="4"/>
          <w:szCs w:val="4"/>
        </w:rPr>
      </w:r>
      <w:bookmarkStart w:id="3" w:name="Tc_2nC7elO2Ok-Qy9ArazRygA_3_1"/>
      <w:bookmarkStart w:id="4" w:name="Tc_PXAFXJqvYU6OsRG3SYH9BA_3_0"/>
      <w:bookmarkStart w:id="5" w:name="Tc_rv0UCLupT0aCTa_xo5rgRg_2_1"/>
      <w:bookmarkStart w:id="6" w:name="Tc_F-bgbbCvbEqSl_TowIU3dw_2_0"/>
      <w:bookmarkStart w:id="7" w:name="_d882566f_70dc_4132_a905_e8c42962db51"/>
      <w:bookmarkStart w:id="8" w:name="Tc_2nC7elO2Ok-Qy9ArazRygA_3_1"/>
      <w:bookmarkStart w:id="9" w:name="Tc_PXAFXJqvYU6OsRG3SYH9BA_3_0"/>
      <w:bookmarkStart w:id="10" w:name="Tc_rv0UCLupT0aCTa_xo5rgRg_2_1"/>
      <w:bookmarkStart w:id="11" w:name="Tc_F-bgbbCvbEqSl_TowIU3dw_2_0"/>
      <w:bookmarkStart w:id="12" w:name="_d882566f_70dc_4132_a905_e8c42962db51"/>
      <w:bookmarkEnd w:id="8"/>
      <w:bookmarkEnd w:id="9"/>
      <w:bookmarkEnd w:id="10"/>
      <w:bookmarkEnd w:id="11"/>
      <w:bookmarkEnd w:id="12"/>
    </w:p>
    <w:tbl>
      <w:tblPr>
        <w:tblW w:w="4562" w:type="dxa"/>
        <w:jc w:val="left"/>
        <w:tblInd w:w="0" w:type="dxa"/>
        <w:tblLayout w:type="fixed"/>
        <w:tblCellMar>
          <w:top w:w="0" w:type="dxa"/>
          <w:left w:w="0" w:type="dxa"/>
          <w:bottom w:w="0" w:type="dxa"/>
          <w:right w:w="0" w:type="dxa"/>
        </w:tblCellMar>
      </w:tblPr>
      <w:tblGrid>
        <w:gridCol w:w="2581"/>
        <w:gridCol w:w="1981"/>
      </w:tblGrid>
      <w:tr>
        <w:trPr/>
        <w:tc>
          <w:tcPr>
            <w:tcW w:w="2581" w:type="dxa"/>
            <w:tcBorders/>
            <w:vAlign w:val="center"/>
          </w:tcPr>
          <w:p>
            <w:pPr>
              <w:pStyle w:val="TableContents"/>
              <w:bidi w:val="0"/>
              <w:spacing w:before="0" w:after="0"/>
              <w:ind w:left="0" w:right="0" w:hanging="0"/>
              <w:jc w:val="left"/>
              <w:rPr/>
            </w:pPr>
            <w:r>
              <w:rPr/>
              <w:t>​</w:t>
            </w:r>
          </w:p>
        </w:tc>
        <w:tc>
          <w:tcPr>
            <w:tcW w:w="1981" w:type="dxa"/>
            <w:tcBorders/>
            <w:vAlign w:val="center"/>
          </w:tcPr>
          <w:p>
            <w:pPr>
              <w:pStyle w:val="TableContents"/>
              <w:bidi w:val="0"/>
              <w:spacing w:before="0" w:after="0"/>
              <w:ind w:left="0" w:right="0" w:hanging="0"/>
              <w:jc w:val="left"/>
              <w:rPr/>
            </w:pPr>
            <w:r>
              <w:rPr/>
              <w:t>​</w:t>
            </w:r>
          </w:p>
        </w:tc>
      </w:tr>
      <w:tr>
        <w:trPr/>
        <w:tc>
          <w:tcPr>
            <w:tcW w:w="25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19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75-3254381</w:t>
            </w:r>
          </w:p>
        </w:tc>
      </w:tr>
      <w:tr>
        <w:trPr/>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r>
          </w:p>
        </w:tc>
        <w:tc>
          <w:tcPr>
            <w:tcW w:w="19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tc>
      </w:tr>
      <w:tr>
        <w:trPr/>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incorporation or organization)</w:t>
            </w:r>
          </w:p>
        </w:tc>
        <w:tc>
          <w:tcPr>
            <w:tcW w:w="19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identification number)</w:t>
            </w:r>
          </w:p>
        </w:tc>
      </w:tr>
    </w:tbl>
    <w:p>
      <w:pPr>
        <w:pStyle w:val="TextBody"/>
        <w:bidi w:val="0"/>
        <w:spacing w:before="0" w:after="20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825 Industrial Road, Suite 400, San Carlos, CA</w:t>
      </w:r>
      <w:r>
        <w:rPr>
          <w:rFonts w:ascii="Times New Roman;Times;serif" w:hAnsi="Times New Roman;Times;serif"/>
          <w:sz w:val="20"/>
        </w:rPr>
        <w:t xml:space="preserve"> </w:t>
      </w:r>
      <w:r>
        <w:rPr>
          <w:rFonts w:ascii="Times New Roman;Times;serif" w:hAnsi="Times New Roman;Times;serif"/>
          <w:b/>
          <w:sz w:val="20"/>
        </w:rPr>
        <w:t>94070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 and zip code)</w:t>
      </w:r>
    </w:p>
    <w:p>
      <w:pPr>
        <w:pStyle w:val="TextBody"/>
        <w:bidi w:val="0"/>
        <w:spacing w:before="0" w:after="20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(650) 260-7120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200"/>
        <w:ind w:left="0" w:right="0" w:hanging="0"/>
        <w:jc w:val="center"/>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20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2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tbl>
      <w:tblPr>
        <w:tblW w:w="4772" w:type="dxa"/>
        <w:jc w:val="left"/>
        <w:tblInd w:w="0" w:type="dxa"/>
        <w:tblLayout w:type="fixed"/>
        <w:tblCellMar>
          <w:top w:w="0" w:type="dxa"/>
          <w:left w:w="0" w:type="dxa"/>
          <w:bottom w:w="0" w:type="dxa"/>
          <w:right w:w="0" w:type="dxa"/>
        </w:tblCellMar>
      </w:tblPr>
      <w:tblGrid>
        <w:gridCol w:w="2191"/>
        <w:gridCol w:w="2581"/>
      </w:tblGrid>
      <w:tr>
        <w:trPr/>
        <w:tc>
          <w:tcPr>
            <w:tcW w:w="2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  ☑</w:t>
            </w:r>
          </w:p>
        </w:tc>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 ☐</w:t>
            </w:r>
          </w:p>
        </w:tc>
      </w:tr>
      <w:tr>
        <w:trPr/>
        <w:tc>
          <w:tcPr>
            <w:tcW w:w="2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   ☐</w:t>
            </w:r>
          </w:p>
        </w:tc>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 ☐</w:t>
            </w:r>
          </w:p>
        </w:tc>
      </w:tr>
      <w:tr>
        <w:trPr/>
        <w:tc>
          <w:tcPr>
            <w:tcW w:w="2191" w:type="dxa"/>
            <w:tcBorders/>
            <w:vAlign w:val="center"/>
          </w:tcPr>
          <w:p>
            <w:pPr>
              <w:pStyle w:val="TableContents"/>
              <w:bidi w:val="0"/>
              <w:spacing w:before="0" w:after="0"/>
              <w:ind w:left="0" w:right="0" w:hanging="0"/>
              <w:jc w:val="left"/>
              <w:rPr/>
            </w:pPr>
            <w:r>
              <w:rPr/>
              <w:t> </w:t>
            </w:r>
          </w:p>
        </w:tc>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200"/>
        <w:ind w:left="0" w:right="0" w:firstLine="720"/>
        <w:jc w:val="left"/>
        <w:rPr/>
      </w:pPr>
      <w:r>
        <w:rPr/>
        <w:t>​</w:t>
      </w:r>
    </w:p>
    <w:p>
      <w:pPr>
        <w:pStyle w:val="TextBody"/>
        <w:bidi w:val="0"/>
        <w:spacing w:before="0" w:after="0"/>
        <w:ind w:left="0" w:right="0" w:firstLine="720"/>
        <w:jc w:val="center"/>
        <w:rPr>
          <w:rFonts w:ascii="Times New Roman;Times;serif" w:hAnsi="Times New Roman;Times;serif"/>
          <w:b/>
          <w:sz w:val="20"/>
        </w:rPr>
      </w:pPr>
      <w:r>
        <w:rPr>
          <w:rFonts w:ascii="Times New Roman;Times;serif" w:hAnsi="Times New Roman;Times;serif"/>
          <w:b/>
          <w:sz w:val="20"/>
        </w:rPr>
        <w:t>Securities registered pursuant to Section 12(b) of the Act:</w:t>
      </w:r>
    </w:p>
    <w:p>
      <w:pPr>
        <w:pStyle w:val="TextBody"/>
        <w:bidi w:val="0"/>
        <w:spacing w:before="0" w:after="200"/>
        <w:ind w:left="0" w:right="0" w:firstLine="720"/>
        <w:jc w:val="left"/>
        <w:rPr/>
      </w:pPr>
      <w:r>
        <w:rPr/>
        <w:t>​</w:t>
      </w:r>
    </w:p>
    <w:p>
      <w:pPr>
        <w:pStyle w:val="Normal"/>
        <w:bidi w:val="0"/>
        <w:spacing w:before="0" w:after="0"/>
        <w:jc w:val="left"/>
        <w:rPr>
          <w:sz w:val="4"/>
          <w:szCs w:val="4"/>
        </w:rPr>
      </w:pPr>
      <w:r>
        <w:rPr>
          <w:sz w:val="4"/>
          <w:szCs w:val="4"/>
        </w:rPr>
      </w:r>
      <w:bookmarkStart w:id="13" w:name="Tc_pagepUnudUqO73za2XZ51A_1_4"/>
      <w:bookmarkStart w:id="14" w:name="Tc_QxpVzLg06kiDVgtljxlr8g_0_4"/>
      <w:bookmarkStart w:id="15" w:name="Tc_AYDaAT0wx0mHICMl02ez8w_0_2"/>
      <w:bookmarkStart w:id="16" w:name="Tc_6aYi0q-R-EmVawIdkXzHWw_0_0"/>
      <w:bookmarkStart w:id="17" w:name="_08b9b54f_cc70_4f2a_8240_a990b4fa2a68"/>
      <w:bookmarkStart w:id="18" w:name="Tc_pagepUnudUqO73za2XZ51A_1_4"/>
      <w:bookmarkStart w:id="19" w:name="Tc_QxpVzLg06kiDVgtljxlr8g_0_4"/>
      <w:bookmarkStart w:id="20" w:name="Tc_AYDaAT0wx0mHICMl02ez8w_0_2"/>
      <w:bookmarkStart w:id="21" w:name="Tc_6aYi0q-R-EmVawIdkXzHWw_0_0"/>
      <w:bookmarkStart w:id="22" w:name="_08b9b54f_cc70_4f2a_8240_a990b4fa2a68"/>
      <w:bookmarkEnd w:id="18"/>
      <w:bookmarkEnd w:id="19"/>
      <w:bookmarkEnd w:id="20"/>
      <w:bookmarkEnd w:id="21"/>
      <w:bookmarkEnd w:id="22"/>
    </w:p>
    <w:tbl>
      <w:tblPr>
        <w:tblW w:w="9520" w:type="dxa"/>
        <w:jc w:val="left"/>
        <w:tblInd w:w="0" w:type="dxa"/>
        <w:tblLayout w:type="fixed"/>
        <w:tblCellMar>
          <w:top w:w="0" w:type="dxa"/>
          <w:left w:w="0" w:type="dxa"/>
          <w:bottom w:w="28" w:type="dxa"/>
          <w:right w:w="0" w:type="dxa"/>
        </w:tblCellMar>
      </w:tblPr>
      <w:tblGrid>
        <w:gridCol w:w="3466"/>
        <w:gridCol w:w="266"/>
        <w:gridCol w:w="1696"/>
        <w:gridCol w:w="266"/>
        <w:gridCol w:w="3826"/>
      </w:tblGrid>
      <w:tr>
        <w:trPr/>
        <w:tc>
          <w:tcPr>
            <w:tcW w:w="3466"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266" w:type="dxa"/>
            <w:tcBorders/>
            <w:tcMar>
              <w:bottom w:w="0" w:type="dxa"/>
            </w:tcMar>
            <w:vAlign w:val="center"/>
          </w:tcPr>
          <w:p>
            <w:pPr>
              <w:pStyle w:val="TableContents"/>
              <w:bidi w:val="0"/>
              <w:spacing w:before="0" w:after="0"/>
              <w:ind w:left="0" w:right="0" w:hanging="0"/>
              <w:jc w:val="left"/>
              <w:rPr/>
            </w:pPr>
            <w:r>
              <w:rPr/>
              <w:t>   </w:t>
            </w:r>
          </w:p>
        </w:tc>
        <w:tc>
          <w:tcPr>
            <w:tcW w:w="1696"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266" w:type="dxa"/>
            <w:tcBorders/>
            <w:tcMar>
              <w:bottom w:w="0" w:type="dxa"/>
            </w:tcMar>
            <w:vAlign w:val="center"/>
          </w:tcPr>
          <w:p>
            <w:pPr>
              <w:pStyle w:val="TableContents"/>
              <w:bidi w:val="0"/>
              <w:spacing w:before="0" w:after="0"/>
              <w:ind w:left="0" w:right="0" w:hanging="0"/>
              <w:jc w:val="left"/>
              <w:rPr/>
            </w:pPr>
            <w:r>
              <w:rPr/>
              <w:t>   </w:t>
            </w:r>
          </w:p>
        </w:tc>
        <w:tc>
          <w:tcPr>
            <w:tcW w:w="3826"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46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$0.000041666</w:t>
            </w:r>
          </w:p>
        </w:tc>
        <w:tc>
          <w:tcPr>
            <w:tcW w:w="266" w:type="dxa"/>
            <w:tcBorders/>
            <w:tcMar>
              <w:bottom w:w="0" w:type="dxa"/>
            </w:tcMar>
            <w:vAlign w:val="center"/>
          </w:tcPr>
          <w:p>
            <w:pPr>
              <w:pStyle w:val="TableContents"/>
              <w:bidi w:val="0"/>
              <w:spacing w:before="0" w:after="0"/>
              <w:ind w:left="0" w:right="0" w:hanging="0"/>
              <w:jc w:val="left"/>
              <w:rPr/>
            </w:pPr>
            <w:r>
              <w:rPr/>
              <w:t> </w:t>
            </w:r>
          </w:p>
        </w:tc>
        <w:tc>
          <w:tcPr>
            <w:tcW w:w="169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IOVA</w:t>
            </w:r>
          </w:p>
        </w:tc>
        <w:tc>
          <w:tcPr>
            <w:tcW w:w="266" w:type="dxa"/>
            <w:tcBorders/>
            <w:tcMar>
              <w:bottom w:w="0" w:type="dxa"/>
            </w:tcMar>
            <w:vAlign w:val="center"/>
          </w:tcPr>
          <w:p>
            <w:pPr>
              <w:pStyle w:val="TableContents"/>
              <w:bidi w:val="0"/>
              <w:spacing w:before="0" w:after="0"/>
              <w:ind w:left="0" w:right="0" w:hanging="0"/>
              <w:jc w:val="left"/>
              <w:rPr/>
            </w:pPr>
            <w:r>
              <w:rPr/>
              <w:t> </w:t>
            </w:r>
          </w:p>
        </w:tc>
        <w:tc>
          <w:tcPr>
            <w:tcW w:w="382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Global Market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At August 3, 2023, the issuer had 247,776,653 shares of common stock, par value $0.000041666 per share, outstanding.</w:t>
      </w:r>
    </w:p>
    <w:p>
      <w:pPr>
        <w:pStyle w:val="TextBody"/>
        <w:bidi w:val="0"/>
        <w:spacing w:before="0" w:after="200"/>
        <w:ind w:left="0" w:right="0" w:firstLine="720"/>
        <w:jc w:val="left"/>
        <w:rPr/>
      </w:pPr>
      <w:r>
        <w:rPr/>
        <w:t>​</w:t>
      </w:r>
    </w:p>
    <w:p>
      <w:pPr>
        <w:pStyle w:val="TextBody"/>
        <w:pBdr>
          <w:top w:val="single" w:sz="8" w:space="1" w:color="000000"/>
          <w:bottom w:val="single" w:sz="24" w:space="1" w:color="000000"/>
        </w:pBdr>
        <w:bidi w:val="0"/>
        <w:spacing w:before="0" w:after="200"/>
        <w:ind w:left="0" w:right="0" w:firstLine="720"/>
        <w:jc w:val="left"/>
        <w:rPr/>
      </w:pPr>
      <w:r>
        <w:rPr/>
        <w:t>​</w:t>
      </w:r>
    </w:p>
    <w:p>
      <w:pPr>
        <w:pStyle w:val="TextBody"/>
        <w:bidi w:val="0"/>
        <w:spacing w:before="0" w:after="20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3" w:name="_4970deb4_eade_4c35_8ba8_190d9d041df6"/>
      <w:bookmarkEnd w:id="23"/>
      <w:r>
        <w:rPr>
          <w:rFonts w:ascii="Times New Roman;Times;serif" w:hAnsi="Times New Roman;Times;serif"/>
          <w:b/>
          <w:sz w:val="20"/>
        </w:rPr>
        <w:t>IOVANCE BIOTHERAPEUTICS,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 Ended June 30, 2023</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24" w:name="TOC"/>
      <w:bookmarkEnd w:id="24"/>
      <w:r>
        <w:rPr>
          <w:rFonts w:ascii="Times New Roman;Times;serif" w:hAnsi="Times New Roman;Times;serif"/>
          <w:b/>
          <w:sz w:val="20"/>
        </w:rPr>
        <w:t>Table of Contents</w:t>
      </w:r>
    </w:p>
    <w:p>
      <w:pPr>
        <w:pStyle w:val="TextBody"/>
        <w:bidi w:val="0"/>
        <w:spacing w:before="0" w:after="0"/>
        <w:ind w:left="0" w:right="0" w:hanging="0"/>
        <w:jc w:val="center"/>
        <w:rPr/>
      </w:pPr>
      <w:r>
        <w:rPr/>
        <w:t> </w:t>
      </w:r>
    </w:p>
    <w:tbl>
      <w:tblPr>
        <w:tblW w:w="8688" w:type="dxa"/>
        <w:jc w:val="left"/>
        <w:tblInd w:w="0" w:type="dxa"/>
        <w:tblLayout w:type="fixed"/>
        <w:tblCellMar>
          <w:top w:w="0" w:type="dxa"/>
          <w:left w:w="0" w:type="dxa"/>
          <w:bottom w:w="0" w:type="dxa"/>
          <w:right w:w="0" w:type="dxa"/>
        </w:tblCellMar>
      </w:tblPr>
      <w:tblGrid>
        <w:gridCol w:w="811"/>
        <w:gridCol w:w="7366"/>
        <w:gridCol w:w="511"/>
      </w:tblGrid>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283"/>
              <w:ind w:left="0" w:right="0" w:hanging="0"/>
              <w:jc w:val="left"/>
              <w:rPr>
                <w:sz w:val="4"/>
                <w:szCs w:val="4"/>
              </w:rPr>
            </w:pPr>
            <w:r>
              <w:rPr>
                <w:sz w:val="4"/>
                <w:szCs w:val="4"/>
              </w:rPr>
            </w:r>
          </w:p>
        </w:tc>
      </w:tr>
      <w:tr>
        <w:trPr/>
        <w:tc>
          <w:tcPr>
            <w:tcW w:w="8177" w:type="dxa"/>
            <w:gridSpan w:val="2"/>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8177" w:type="dxa"/>
            <w:gridSpan w:val="2"/>
            <w:tcBorders/>
            <w:shd w:fill="CCEEFF" w:val="clear"/>
            <w:vAlign w:val="center"/>
          </w:tcPr>
          <w:p>
            <w:pPr>
              <w:pStyle w:val="TableContents"/>
              <w:bidi w:val="0"/>
              <w:spacing w:before="0" w:after="0"/>
              <w:ind w:left="0" w:right="0" w:hanging="0"/>
              <w:jc w:val="left"/>
              <w:rPr/>
            </w:pPr>
            <w:hyperlink w:anchor="PARTIFINANCIALINFORMATION_717357">
              <w:r>
                <w:rPr>
                  <w:rStyle w:val="InternetLink"/>
                  <w:rFonts w:ascii="Times New Roman;Times;serif" w:hAnsi="Times New Roman;Times;serif"/>
                  <w:b w:val="false"/>
                  <w:i w:val="false"/>
                  <w:caps w:val="false"/>
                  <w:smallCaps w:val="false"/>
                  <w:sz w:val="20"/>
                </w:rPr>
                <w:t>PART I FINANCIAL INFORMATION</w:t>
              </w:r>
            </w:hyperlink>
          </w:p>
        </w:tc>
        <w:tc>
          <w:tcPr>
            <w:tcW w:w="511" w:type="dxa"/>
            <w:tcBorders/>
            <w:shd w:fill="CCEEFF" w:val="clear"/>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1CondensedConsolidatedFinancialState">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CondensedConsolidatedFinancialState">
              <w:r>
                <w:rPr>
                  <w:rStyle w:val="InternetLink"/>
                  <w:rFonts w:ascii="Times New Roman;Times;serif" w:hAnsi="Times New Roman;Times;serif"/>
                  <w:b w:val="false"/>
                  <w:i w:val="false"/>
                  <w:caps w:val="false"/>
                  <w:smallCaps w:val="false"/>
                  <w:sz w:val="20"/>
                </w:rPr>
                <w:t>Condensed Consolidated Financial Statements (Unaudited)</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11" w:type="dxa"/>
            <w:tcBorders/>
            <w:shd w:fill="CCEEFF" w:val="clear"/>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7366" w:type="dxa"/>
            <w:tcBorders/>
            <w:shd w:fill="CCEEFF" w:val="clear"/>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811"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811" w:type="dxa"/>
            <w:tcBorders/>
            <w:shd w:fill="CCEEFF" w:val="clear"/>
            <w:vAlign w:val="center"/>
          </w:tcPr>
          <w:p>
            <w:pPr>
              <w:pStyle w:val="TableContents"/>
              <w:bidi w:val="0"/>
              <w:spacing w:before="0" w:after="0"/>
              <w:ind w:left="0" w:right="0" w:hanging="0"/>
              <w:jc w:val="left"/>
              <w:rPr/>
            </w:pPr>
            <w:hyperlink w:anchor="Item4ControlsandProcedures_270789">
              <w:r>
                <w:rPr>
                  <w:rStyle w:val="InternetLink"/>
                  <w:rFonts w:ascii="Times New Roman;Times;serif" w:hAnsi="Times New Roman;Times;serif"/>
                  <w:b w:val="false"/>
                  <w:i w:val="false"/>
                  <w:caps w:val="false"/>
                  <w:smallCaps w:val="false"/>
                  <w:sz w:val="20"/>
                </w:rPr>
                <w:t>Item 4.</w:t>
              </w:r>
            </w:hyperlink>
          </w:p>
        </w:tc>
        <w:tc>
          <w:tcPr>
            <w:tcW w:w="7366" w:type="dxa"/>
            <w:tcBorders/>
            <w:shd w:fill="CCEEFF" w:val="clear"/>
            <w:vAlign w:val="center"/>
          </w:tcPr>
          <w:p>
            <w:pPr>
              <w:pStyle w:val="TableContents"/>
              <w:bidi w:val="0"/>
              <w:spacing w:before="0" w:after="0"/>
              <w:ind w:left="0" w:right="0" w:hanging="0"/>
              <w:jc w:val="left"/>
              <w:rPr/>
            </w:pPr>
            <w:hyperlink w:anchor="Item4ControlsandProcedures_270789">
              <w:r>
                <w:rPr>
                  <w:rStyle w:val="InternetLink"/>
                  <w:rFonts w:ascii="Times New Roman;Times;serif" w:hAnsi="Times New Roman;Times;serif"/>
                  <w:b w:val="false"/>
                  <w:i w:val="false"/>
                  <w:caps w:val="false"/>
                  <w:smallCaps w:val="false"/>
                  <w:sz w:val="20"/>
                </w:rPr>
                <w:t>Controls and Procedures</w:t>
              </w:r>
            </w:hyperlink>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8177" w:type="dxa"/>
            <w:gridSpan w:val="2"/>
            <w:tcBorders/>
            <w:vAlign w:val="center"/>
          </w:tcPr>
          <w:p>
            <w:pPr>
              <w:pStyle w:val="TableContents"/>
              <w:bidi w:val="0"/>
              <w:spacing w:before="0" w:after="0"/>
              <w:ind w:left="0" w:right="0" w:hanging="0"/>
              <w:jc w:val="left"/>
              <w:rPr/>
            </w:pPr>
            <w:hyperlink w:anchor="PARTIIOTHERINFORMATION_407750">
              <w:r>
                <w:rPr>
                  <w:rStyle w:val="InternetLink"/>
                  <w:rFonts w:ascii="Times New Roman;Times;serif" w:hAnsi="Times New Roman;Times;serif"/>
                  <w:b w:val="false"/>
                  <w:i w:val="false"/>
                  <w:caps w:val="false"/>
                  <w:smallCaps w:val="false"/>
                  <w:sz w:val="20"/>
                </w:rPr>
                <w:t>PART II OTHER INFORMATION</w:t>
              </w:r>
            </w:hyperlink>
          </w:p>
        </w:tc>
        <w:tc>
          <w:tcPr>
            <w:tcW w:w="511" w:type="dxa"/>
            <w:tcBorders/>
            <w:vAlign w:val="center"/>
          </w:tcPr>
          <w:p>
            <w:pPr>
              <w:pStyle w:val="TableContents"/>
              <w:bidi w:val="0"/>
              <w:spacing w:before="0" w:after="0"/>
              <w:ind w:left="0" w:right="0" w:hanging="0"/>
              <w:jc w:val="right"/>
              <w:rPr/>
            </w:pPr>
            <w:r>
              <w:rPr/>
              <w:t>​</w:t>
            </w:r>
          </w:p>
        </w:tc>
      </w:tr>
      <w:tr>
        <w:trPr/>
        <w:tc>
          <w:tcPr>
            <w:tcW w:w="811" w:type="dxa"/>
            <w:tcBorders/>
            <w:shd w:fill="CCEEFF" w:val="clear"/>
            <w:vAlign w:val="center"/>
          </w:tcPr>
          <w:p>
            <w:pPr>
              <w:pStyle w:val="TableContents"/>
              <w:bidi w:val="0"/>
              <w:spacing w:before="0" w:after="0"/>
              <w:ind w:left="0" w:right="0" w:hanging="0"/>
              <w:jc w:val="left"/>
              <w:rPr/>
            </w:pPr>
            <w:hyperlink w:anchor="Item1LegalProceedings_444925">
              <w:r>
                <w:rPr>
                  <w:rStyle w:val="InternetLink"/>
                  <w:rFonts w:ascii="Times New Roman;Times;serif" w:hAnsi="Times New Roman;Times;serif"/>
                  <w:b w:val="false"/>
                  <w:i w:val="false"/>
                  <w:caps w:val="false"/>
                  <w:smallCaps w:val="false"/>
                  <w:sz w:val="20"/>
                </w:rPr>
                <w:t>Item 1.</w:t>
              </w:r>
            </w:hyperlink>
          </w:p>
        </w:tc>
        <w:tc>
          <w:tcPr>
            <w:tcW w:w="7366" w:type="dxa"/>
            <w:tcBorders/>
            <w:shd w:fill="CCEEFF" w:val="clear"/>
            <w:vAlign w:val="center"/>
          </w:tcPr>
          <w:p>
            <w:pPr>
              <w:pStyle w:val="TableContents"/>
              <w:bidi w:val="0"/>
              <w:spacing w:before="0" w:after="0"/>
              <w:ind w:left="0" w:right="0" w:hanging="0"/>
              <w:jc w:val="left"/>
              <w:rPr/>
            </w:pPr>
            <w:hyperlink w:anchor="Item1LegalProceedings_444925">
              <w:r>
                <w:rPr>
                  <w:rStyle w:val="InternetLink"/>
                  <w:rFonts w:ascii="Times New Roman;Times;serif" w:hAnsi="Times New Roman;Times;serif"/>
                  <w:b w:val="false"/>
                  <w:i w:val="false"/>
                  <w:caps w:val="false"/>
                  <w:smallCaps w:val="false"/>
                  <w:sz w:val="20"/>
                </w:rPr>
                <w:t>Legal Proceedings</w:t>
              </w:r>
            </w:hyperlink>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811" w:type="dxa"/>
            <w:tcBorders/>
            <w:vAlign w:val="center"/>
          </w:tcPr>
          <w:p>
            <w:pPr>
              <w:pStyle w:val="TableContents"/>
              <w:bidi w:val="0"/>
              <w:spacing w:before="0" w:after="0"/>
              <w:ind w:left="0" w:right="0" w:hanging="0"/>
              <w:jc w:val="left"/>
              <w:rPr/>
            </w:pPr>
            <w:hyperlink w:anchor="Item1ARiskFactors_493740">
              <w:r>
                <w:rPr>
                  <w:rStyle w:val="InternetLink"/>
                  <w:rFonts w:ascii="Times New Roman;Times;serif" w:hAnsi="Times New Roman;Times;serif"/>
                  <w:b w:val="false"/>
                  <w:i w:val="false"/>
                  <w:caps w:val="false"/>
                  <w:smallCaps w:val="false"/>
                  <w:sz w:val="20"/>
                </w:rPr>
                <w:t>Item 1A.</w:t>
              </w:r>
            </w:hyperlink>
          </w:p>
        </w:tc>
        <w:tc>
          <w:tcPr>
            <w:tcW w:w="7366" w:type="dxa"/>
            <w:tcBorders/>
            <w:vAlign w:val="center"/>
          </w:tcPr>
          <w:p>
            <w:pPr>
              <w:pStyle w:val="TableContents"/>
              <w:bidi w:val="0"/>
              <w:spacing w:before="0" w:after="0"/>
              <w:ind w:left="0" w:right="0" w:hanging="0"/>
              <w:jc w:val="left"/>
              <w:rPr/>
            </w:pPr>
            <w:hyperlink w:anchor="Item1ARiskFactors_493740">
              <w:r>
                <w:rPr>
                  <w:rStyle w:val="InternetLink"/>
                  <w:rFonts w:ascii="Times New Roman;Times;serif" w:hAnsi="Times New Roman;Times;serif"/>
                  <w:b w:val="false"/>
                  <w:i w:val="false"/>
                  <w:caps w:val="false"/>
                  <w:smallCaps w:val="false"/>
                  <w:sz w:val="20"/>
                </w:rPr>
                <w:t>Risk Factors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811" w:type="dxa"/>
            <w:tcBorders/>
            <w:shd w:fill="CCEEFF" w:val="clear"/>
            <w:vAlign w:val="center"/>
          </w:tcPr>
          <w:p>
            <w:pPr>
              <w:pStyle w:val="TableContents"/>
              <w:bidi w:val="0"/>
              <w:spacing w:before="0" w:after="0"/>
              <w:ind w:left="0" w:right="0" w:hanging="0"/>
              <w:jc w:val="left"/>
              <w:rPr/>
            </w:pPr>
            <w:hyperlink w:anchor="Item2UnregisteredSalesofSecuritiesandUse">
              <w:r>
                <w:rPr>
                  <w:rStyle w:val="InternetLink"/>
                  <w:rFonts w:ascii="Times New Roman;Times;serif" w:hAnsi="Times New Roman;Times;serif"/>
                  <w:b w:val="false"/>
                  <w:i w:val="false"/>
                  <w:caps w:val="false"/>
                  <w:smallCaps w:val="false"/>
                  <w:sz w:val="20"/>
                </w:rPr>
                <w:t>Item 2.</w:t>
              </w:r>
            </w:hyperlink>
          </w:p>
        </w:tc>
        <w:tc>
          <w:tcPr>
            <w:tcW w:w="7366" w:type="dxa"/>
            <w:tcBorders/>
            <w:shd w:fill="CCEEFF" w:val="clear"/>
            <w:vAlign w:val="center"/>
          </w:tcPr>
          <w:p>
            <w:pPr>
              <w:pStyle w:val="TableContents"/>
              <w:bidi w:val="0"/>
              <w:spacing w:before="0" w:after="0"/>
              <w:ind w:left="0" w:right="0" w:hanging="0"/>
              <w:jc w:val="left"/>
              <w:rPr/>
            </w:pPr>
            <w:hyperlink w:anchor="Item2UnregisteredSalesofSecuritiesandUse">
              <w:r>
                <w:rPr>
                  <w:rStyle w:val="InternetLink"/>
                  <w:rFonts w:ascii="Times New Roman;Times;serif" w:hAnsi="Times New Roman;Times;serif"/>
                  <w:b w:val="false"/>
                  <w:i w:val="false"/>
                  <w:caps w:val="false"/>
                  <w:smallCaps w:val="false"/>
                  <w:sz w:val="20"/>
                </w:rPr>
                <w:t>Unregistered Sales of Securities and Use of Proceeds</w:t>
              </w:r>
            </w:hyperlink>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r>
      <w:tr>
        <w:trPr/>
        <w:tc>
          <w:tcPr>
            <w:tcW w:w="811" w:type="dxa"/>
            <w:tcBorders/>
            <w:vAlign w:val="center"/>
          </w:tcPr>
          <w:p>
            <w:pPr>
              <w:pStyle w:val="TableContents"/>
              <w:bidi w:val="0"/>
              <w:spacing w:before="0" w:after="0"/>
              <w:ind w:left="0" w:right="0" w:hanging="0"/>
              <w:jc w:val="left"/>
              <w:rPr/>
            </w:pPr>
            <w:hyperlink w:anchor="Item3DefaultsUponSeniorSecurities_597206">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DefaultsUponSeniorSecurities_597206">
              <w:r>
                <w:rPr>
                  <w:rStyle w:val="InternetLink"/>
                  <w:rFonts w:ascii="Times New Roman;Times;serif" w:hAnsi="Times New Roman;Times;serif"/>
                  <w:b w:val="false"/>
                  <w:i w:val="false"/>
                  <w:caps w:val="false"/>
                  <w:smallCaps w:val="false"/>
                  <w:sz w:val="20"/>
                </w:rPr>
                <w:t>Defaults Upon Senior Securities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r>
      <w:tr>
        <w:trPr/>
        <w:tc>
          <w:tcPr>
            <w:tcW w:w="811" w:type="dxa"/>
            <w:tcBorders/>
            <w:shd w:fill="CCEEFF" w:val="clear"/>
            <w:vAlign w:val="center"/>
          </w:tcPr>
          <w:p>
            <w:pPr>
              <w:pStyle w:val="TableContents"/>
              <w:bidi w:val="0"/>
              <w:spacing w:before="0" w:after="0"/>
              <w:ind w:left="0" w:right="0" w:hanging="0"/>
              <w:jc w:val="left"/>
              <w:rPr/>
            </w:pPr>
            <w:hyperlink w:anchor="Item4MineSafetyDisclosures_35877">
              <w:r>
                <w:rPr>
                  <w:rStyle w:val="InternetLink"/>
                  <w:rFonts w:ascii="Times New Roman;Times;serif" w:hAnsi="Times New Roman;Times;serif"/>
                  <w:b w:val="false"/>
                  <w:i w:val="false"/>
                  <w:caps w:val="false"/>
                  <w:smallCaps w:val="false"/>
                  <w:sz w:val="20"/>
                </w:rPr>
                <w:t>Item 4.</w:t>
              </w:r>
            </w:hyperlink>
          </w:p>
        </w:tc>
        <w:tc>
          <w:tcPr>
            <w:tcW w:w="7366" w:type="dxa"/>
            <w:tcBorders/>
            <w:shd w:fill="CCEEFF" w:val="clear"/>
            <w:vAlign w:val="center"/>
          </w:tcPr>
          <w:p>
            <w:pPr>
              <w:pStyle w:val="TableContents"/>
              <w:bidi w:val="0"/>
              <w:spacing w:before="0" w:after="0"/>
              <w:ind w:left="0" w:right="0" w:hanging="0"/>
              <w:jc w:val="left"/>
              <w:rPr/>
            </w:pPr>
            <w:hyperlink w:anchor="Item4MineSafetyDisclosures_35877">
              <w:r>
                <w:rPr>
                  <w:rStyle w:val="InternetLink"/>
                  <w:rFonts w:ascii="Times New Roman;Times;serif" w:hAnsi="Times New Roman;Times;serif"/>
                  <w:b w:val="false"/>
                  <w:i w:val="false"/>
                  <w:caps w:val="false"/>
                  <w:smallCaps w:val="false"/>
                  <w:sz w:val="20"/>
                </w:rPr>
                <w:t>Mine Safety Disclosure</w:t>
              </w:r>
            </w:hyperlink>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r>
      <w:tr>
        <w:trPr/>
        <w:tc>
          <w:tcPr>
            <w:tcW w:w="811" w:type="dxa"/>
            <w:tcBorders/>
            <w:vAlign w:val="center"/>
          </w:tcPr>
          <w:p>
            <w:pPr>
              <w:pStyle w:val="TableContents"/>
              <w:bidi w:val="0"/>
              <w:spacing w:before="0" w:after="0"/>
              <w:ind w:left="0" w:right="0" w:hanging="0"/>
              <w:jc w:val="left"/>
              <w:rPr/>
            </w:pPr>
            <w:hyperlink w:anchor="Item5OtherInformation_291306">
              <w:r>
                <w:rPr>
                  <w:rStyle w:val="InternetLink"/>
                  <w:rFonts w:ascii="Times New Roman;Times;serif" w:hAnsi="Times New Roman;Times;serif"/>
                  <w:b w:val="false"/>
                  <w:i w:val="false"/>
                  <w:caps w:val="false"/>
                  <w:smallCaps w:val="false"/>
                  <w:sz w:val="20"/>
                </w:rPr>
                <w:t>Item 5.</w:t>
              </w:r>
            </w:hyperlink>
          </w:p>
        </w:tc>
        <w:tc>
          <w:tcPr>
            <w:tcW w:w="7366" w:type="dxa"/>
            <w:tcBorders/>
            <w:vAlign w:val="center"/>
          </w:tcPr>
          <w:p>
            <w:pPr>
              <w:pStyle w:val="TableContents"/>
              <w:bidi w:val="0"/>
              <w:spacing w:before="0" w:after="0"/>
              <w:ind w:left="0" w:right="0" w:hanging="0"/>
              <w:jc w:val="left"/>
              <w:rPr/>
            </w:pPr>
            <w:hyperlink w:anchor="Item5OtherInformation_291306">
              <w:r>
                <w:rPr>
                  <w:rStyle w:val="InternetLink"/>
                  <w:rFonts w:ascii="Times New Roman;Times;serif" w:hAnsi="Times New Roman;Times;serif"/>
                  <w:b w:val="false"/>
                  <w:i w:val="false"/>
                  <w:caps w:val="false"/>
                  <w:smallCaps w:val="false"/>
                  <w:sz w:val="20"/>
                </w:rPr>
                <w:t>Other Information</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r>
      <w:tr>
        <w:trPr/>
        <w:tc>
          <w:tcPr>
            <w:tcW w:w="811" w:type="dxa"/>
            <w:tcBorders/>
            <w:shd w:fill="CCEEFF" w:val="clear"/>
            <w:vAlign w:val="center"/>
          </w:tcPr>
          <w:p>
            <w:pPr>
              <w:pStyle w:val="TableContents"/>
              <w:bidi w:val="0"/>
              <w:spacing w:before="0" w:after="0"/>
              <w:ind w:left="0" w:right="0" w:hanging="0"/>
              <w:jc w:val="left"/>
              <w:rPr/>
            </w:pPr>
            <w:hyperlink w:anchor="Item6Exhibits_580240">
              <w:r>
                <w:rPr>
                  <w:rStyle w:val="InternetLink"/>
                  <w:rFonts w:ascii="Times New Roman;Times;serif" w:hAnsi="Times New Roman;Times;serif"/>
                  <w:b w:val="false"/>
                  <w:i w:val="false"/>
                  <w:caps w:val="false"/>
                  <w:smallCaps w:val="false"/>
                  <w:sz w:val="20"/>
                </w:rPr>
                <w:t>Item 6.</w:t>
              </w:r>
            </w:hyperlink>
          </w:p>
        </w:tc>
        <w:tc>
          <w:tcPr>
            <w:tcW w:w="7366" w:type="dxa"/>
            <w:tcBorders/>
            <w:shd w:fill="CCEEFF" w:val="clear"/>
            <w:vAlign w:val="center"/>
          </w:tcPr>
          <w:p>
            <w:pPr>
              <w:pStyle w:val="TableContents"/>
              <w:bidi w:val="0"/>
              <w:spacing w:before="0" w:after="0"/>
              <w:ind w:left="0" w:right="0" w:hanging="0"/>
              <w:jc w:val="left"/>
              <w:rPr/>
            </w:pPr>
            <w:hyperlink w:anchor="Item6Exhibits_580240">
              <w:r>
                <w:rPr>
                  <w:rStyle w:val="InternetLink"/>
                  <w:rFonts w:ascii="Times New Roman;Times;serif" w:hAnsi="Times New Roman;Times;serif"/>
                  <w:b w:val="false"/>
                  <w:i w:val="false"/>
                  <w:caps w:val="false"/>
                  <w:smallCaps w:val="false"/>
                  <w:sz w:val="20"/>
                </w:rPr>
                <w:t>Exhibits</w:t>
              </w:r>
            </w:hyperlink>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r>
      <w:tr>
        <w:trPr/>
        <w:tc>
          <w:tcPr>
            <w:tcW w:w="8177" w:type="dxa"/>
            <w:gridSpan w:val="2"/>
            <w:tcBorders/>
            <w:vAlign w:val="center"/>
          </w:tcPr>
          <w:p>
            <w:pPr>
              <w:pStyle w:val="TableContents"/>
              <w:bidi w:val="0"/>
              <w:spacing w:before="0" w:after="0"/>
              <w:ind w:left="0" w:right="0" w:hanging="0"/>
              <w:jc w:val="left"/>
              <w:rPr/>
            </w:pPr>
            <w:hyperlink w:anchor="SIGNATURES_241896">
              <w:r>
                <w:rPr>
                  <w:rStyle w:val="InternetLink"/>
                  <w:rFonts w:ascii="Times New Roman;Times;serif" w:hAnsi="Times New Roman;Times;serif"/>
                  <w:b w:val="false"/>
                  <w:i w:val="false"/>
                  <w:caps w:val="false"/>
                  <w:smallCaps w:val="false"/>
                  <w:sz w:val="20"/>
                </w:rPr>
                <w:t>SIGNATURES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Forward-Looking Statements and Market Data</w:t>
      </w:r>
    </w:p>
    <w:p>
      <w:pPr>
        <w:pStyle w:val="TextBody"/>
        <w:bidi w:val="0"/>
        <w:spacing w:before="0" w:after="240"/>
        <w:ind w:left="0" w:right="0" w:firstLine="547"/>
        <w:jc w:val="left"/>
        <w:rPr>
          <w:rFonts w:ascii="Times New Roman;Times;serif" w:hAnsi="Times New Roman;Times;serif"/>
          <w:sz w:val="20"/>
        </w:rPr>
      </w:pPr>
      <w:r>
        <w:rPr>
          <w:rFonts w:ascii="Times New Roman;Times;serif" w:hAnsi="Times New Roman;Times;serif"/>
          <w:sz w:val="20"/>
        </w:rPr>
        <w:t>This Quarterly Report on Form 10-Q contains forward-looking statements that are based on management’s beliefs and assumptions and on information currently available to management. All statements other than statements of historical facts contained in this report are forward-looking statements. In some cases, you can identify forward-looking statements by the following words: “may,” “will,” “might,” “could,” “would,” “should,” “expect,” “intend,” “plan,” “anticipate,” “believe,” “estimate,” “predict,” “project,” “aim,” “potential,” “continue,” “ongoing,” “goal,” “forecast,” “guidance,” “outlook,” or the negative of these terms or other similar expressions, although not all forward-looking statements contain these words.</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These statements involve risks, uncertainties and other factors that may cause actual results, levels of activity, performance or achievements to be materially different from the information expressed or implied by these forward-looking statements. Although we believe that we have a reasonable basis for each forward-looking statement contained in this report, we caution you that these statements are based on a combination of facts and factors currently known by us and our projections of the future, about which we cannot be certain. Forward-looking statements in this Quarterly Report on Form 10-Q include, but are not limited to, statements about:</w:t>
      </w:r>
    </w:p>
    <w:p>
      <w:pPr>
        <w:pStyle w:val="TextBody"/>
        <w:bidi w:val="0"/>
        <w:spacing w:before="0" w:after="0"/>
        <w:ind w:left="0" w:right="0" w:hanging="0"/>
        <w:jc w:val="left"/>
        <w:rPr/>
      </w:pPr>
      <w:r>
        <w:rPr/>
        <w:t>​</w:t>
      </w:r>
    </w:p>
    <w:tbl>
      <w:tblPr>
        <w:tblW w:w="5496" w:type="dxa"/>
        <w:jc w:val="left"/>
        <w:tblInd w:w="0" w:type="dxa"/>
        <w:tblLayout w:type="fixed"/>
        <w:tblCellMar>
          <w:top w:w="28" w:type="dxa"/>
          <w:left w:w="28" w:type="dxa"/>
          <w:bottom w:w="28" w:type="dxa"/>
          <w:right w:w="28" w:type="dxa"/>
        </w:tblCellMar>
      </w:tblPr>
      <w:tblGrid>
        <w:gridCol w:w="124"/>
        <w:gridCol w:w="256"/>
        <w:gridCol w:w="5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cost, enrollment, and timing of our clinical trials;</w:t>
            </w:r>
          </w:p>
        </w:tc>
      </w:tr>
    </w:tbl>
    <w:tbl>
      <w:tblPr>
        <w:tblW w:w="5946" w:type="dxa"/>
        <w:jc w:val="left"/>
        <w:tblInd w:w="0" w:type="dxa"/>
        <w:tblLayout w:type="fixed"/>
        <w:tblCellMar>
          <w:top w:w="28" w:type="dxa"/>
          <w:left w:w="28" w:type="dxa"/>
          <w:bottom w:w="28" w:type="dxa"/>
          <w:right w:w="28" w:type="dxa"/>
        </w:tblCellMar>
      </w:tblPr>
      <w:tblGrid>
        <w:gridCol w:w="124"/>
        <w:gridCol w:w="256"/>
        <w:gridCol w:w="55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cost and timing of our product development activities;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us or our third-party contract manufacturers to continue to manufacture tumor infiltrating lymphocytes, or TIL, in accordance with our selected process;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design, construct and staff our own manufacturing facility on a timely basis and within the estimated expenses;</w:t>
            </w:r>
          </w:p>
        </w:tc>
      </w:tr>
    </w:tbl>
    <w:tbl>
      <w:tblPr>
        <w:tblW w:w="6111" w:type="dxa"/>
        <w:jc w:val="left"/>
        <w:tblInd w:w="0" w:type="dxa"/>
        <w:tblLayout w:type="fixed"/>
        <w:tblCellMar>
          <w:top w:w="28" w:type="dxa"/>
          <w:left w:w="28" w:type="dxa"/>
          <w:bottom w:w="28" w:type="dxa"/>
          <w:right w:w="28" w:type="dxa"/>
        </w:tblCellMar>
      </w:tblPr>
      <w:tblGrid>
        <w:gridCol w:w="124"/>
        <w:gridCol w:w="256"/>
        <w:gridCol w:w="57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competing therapies that are or may become available;</w:t>
            </w:r>
          </w:p>
        </w:tc>
      </w:tr>
    </w:tbl>
    <w:tbl>
      <w:tblPr>
        <w:tblW w:w="7626" w:type="dxa"/>
        <w:jc w:val="left"/>
        <w:tblInd w:w="0" w:type="dxa"/>
        <w:tblLayout w:type="fixed"/>
        <w:tblCellMar>
          <w:top w:w="28" w:type="dxa"/>
          <w:left w:w="28" w:type="dxa"/>
          <w:bottom w:w="28" w:type="dxa"/>
          <w:right w:w="28" w:type="dxa"/>
        </w:tblCellMar>
      </w:tblPr>
      <w:tblGrid>
        <w:gridCol w:w="124"/>
        <w:gridCol w:w="256"/>
        <w:gridCol w:w="7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developments in the United States of America, or U.S., and foreign countries;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and our ability to obtain and maintain U.S. Food and Drug Administration, or the FDA, or other regulatory authority approval of, or other action with respect to, our product candidates, including with respect to the approval of the Biologics License Application (BLA) for lifileucel for patients with advanced melanoma;</w:t>
            </w:r>
          </w:p>
        </w:tc>
      </w:tr>
    </w:tbl>
    <w:tbl>
      <w:tblPr>
        <w:tblW w:w="6336" w:type="dxa"/>
        <w:jc w:val="left"/>
        <w:tblInd w:w="0" w:type="dxa"/>
        <w:tblLayout w:type="fixed"/>
        <w:tblCellMar>
          <w:top w:w="28" w:type="dxa"/>
          <w:left w:w="28" w:type="dxa"/>
          <w:bottom w:w="28" w:type="dxa"/>
          <w:right w:w="28" w:type="dxa"/>
        </w:tblCellMar>
      </w:tblPr>
      <w:tblGrid>
        <w:gridCol w:w="124"/>
        <w:gridCol w:w="256"/>
        <w:gridCol w:w="59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and retain key scientific or management personnel;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accuracy of our estimates regarding expenses, future revenue, capital requirements and needs for additional financing;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funding for our operations, including funding necessary to complete further development and commercialization of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commercialize Proleukin® and any other product candidates for which we obtain FDA or other regulatory approvals;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and willingness of our third-party research institution collaborators to continue research and development activities relating to our product candidates;</w:t>
            </w:r>
          </w:p>
        </w:tc>
      </w:tr>
    </w:tbl>
    <w:tbl>
      <w:tblPr>
        <w:tblW w:w="7071" w:type="dxa"/>
        <w:jc w:val="left"/>
        <w:tblInd w:w="0" w:type="dxa"/>
        <w:tblLayout w:type="fixed"/>
        <w:tblCellMar>
          <w:top w:w="28" w:type="dxa"/>
          <w:left w:w="28" w:type="dxa"/>
          <w:bottom w:w="28" w:type="dxa"/>
          <w:right w:w="28" w:type="dxa"/>
        </w:tblCellMar>
      </w:tblPr>
      <w:tblGrid>
        <w:gridCol w:w="124"/>
        <w:gridCol w:w="256"/>
        <w:gridCol w:w="6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of our other research and development and strategic collaborations;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our ability to obtain and maintain intellectual property protection for our manufacturing methods and product candidates;</w:t>
            </w:r>
          </w:p>
        </w:tc>
      </w:tr>
    </w:tbl>
    <w:tbl>
      <w:tblPr>
        <w:tblW w:w="6486" w:type="dxa"/>
        <w:jc w:val="left"/>
        <w:tblInd w:w="0" w:type="dxa"/>
        <w:tblLayout w:type="fixed"/>
        <w:tblCellMar>
          <w:top w:w="28" w:type="dxa"/>
          <w:left w:w="28" w:type="dxa"/>
          <w:bottom w:w="28" w:type="dxa"/>
          <w:right w:w="28" w:type="dxa"/>
        </w:tblCellMar>
      </w:tblPr>
      <w:tblGrid>
        <w:gridCol w:w="124"/>
        <w:gridCol w:w="256"/>
        <w:gridCol w:w="6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to research, develop and commercialize our product candidates;</w:t>
            </w:r>
          </w:p>
        </w:tc>
      </w:tr>
    </w:tbl>
    <w:tbl>
      <w:tblPr>
        <w:tblW w:w="9426" w:type="dxa"/>
        <w:jc w:val="left"/>
        <w:tblInd w:w="0" w:type="dxa"/>
        <w:tblLayout w:type="fixed"/>
        <w:tblCellMar>
          <w:top w:w="28" w:type="dxa"/>
          <w:left w:w="28" w:type="dxa"/>
          <w:bottom w:w="28" w:type="dxa"/>
          <w:right w:w="28" w:type="dxa"/>
        </w:tblCellMar>
      </w:tblPr>
      <w:tblGrid>
        <w:gridCol w:w="124"/>
        <w:gridCol w:w="256"/>
        <w:gridCol w:w="9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and growth potential of the markets for our product candidates, and our ability to serve those markets;</w:t>
            </w:r>
          </w:p>
        </w:tc>
      </w:tr>
    </w:tbl>
    <w:tbl>
      <w:tblPr>
        <w:tblW w:w="9171" w:type="dxa"/>
        <w:jc w:val="left"/>
        <w:tblInd w:w="0" w:type="dxa"/>
        <w:tblLayout w:type="fixed"/>
        <w:tblCellMar>
          <w:top w:w="28" w:type="dxa"/>
          <w:left w:w="28" w:type="dxa"/>
          <w:bottom w:w="28" w:type="dxa"/>
          <w:right w:w="28" w:type="dxa"/>
        </w:tblCellMar>
      </w:tblPr>
      <w:tblGrid>
        <w:gridCol w:w="124"/>
        <w:gridCol w:w="256"/>
        <w:gridCol w:w="8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contract with third-party suppliers and manufacturers and their ability to perform adequately;</w:t>
            </w:r>
          </w:p>
        </w:tc>
      </w:tr>
    </w:tbl>
    <w:tbl>
      <w:tblPr>
        <w:tblW w:w="5256" w:type="dxa"/>
        <w:jc w:val="left"/>
        <w:tblInd w:w="0" w:type="dxa"/>
        <w:tblLayout w:type="fixed"/>
        <w:tblCellMar>
          <w:top w:w="28" w:type="dxa"/>
          <w:left w:w="28" w:type="dxa"/>
          <w:bottom w:w="28" w:type="dxa"/>
          <w:right w:w="28" w:type="dxa"/>
        </w:tblCellMar>
      </w:tblPr>
      <w:tblGrid>
        <w:gridCol w:w="124"/>
        <w:gridCol w:w="256"/>
        <w:gridCol w:w="4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the trading price of our common stock; and</w:t>
            </w:r>
          </w:p>
        </w:tc>
      </w:tr>
    </w:tbl>
    <w:tbl>
      <w:tblPr>
        <w:tblW w:w="3381" w:type="dxa"/>
        <w:jc w:val="left"/>
        <w:tblInd w:w="0" w:type="dxa"/>
        <w:tblLayout w:type="fixed"/>
        <w:tblCellMar>
          <w:top w:w="28" w:type="dxa"/>
          <w:left w:w="28" w:type="dxa"/>
          <w:bottom w:w="28" w:type="dxa"/>
          <w:right w:w="28" w:type="dxa"/>
        </w:tblCellMar>
      </w:tblPr>
      <w:tblGrid>
        <w:gridCol w:w="124"/>
        <w:gridCol w:w="256"/>
        <w:gridCol w:w="3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use of cash and other resources.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Actual results may differ from those set forth in this Quarterly Report on Form 10-Q due to the risks and uncertainties inherent in our business, including, without limitation: the FDA may not agree with our interpretation of the results of its clinical trials; later developments with the FDA that may be inconsistent with already completed FDA meetings; the preliminary clinical results, including efficacy and safety results, from ongoing Phase 2 and Phase 3 trials may not be reflected in the final analyses of these trials including new cohorts within these trials; the results obtained in our ongoing clinical trials, such as the studies and trials referred to in this Quarterly Report on Form 10-Q, may not be indicative of results obtained in future clinical trials or supportive of product approval; regulatory authorities may potentially delay the timing of FDA or other regulatory authority approval of, or other action with respect to, our product candidates, specifically, our description of FDA interactions are subject to FDA’s interpretation, as well as FDA’s authority to request new or additional information; we may not be able to obtain or maintain FDA or other regulatory authority approval of its product candidates; our ability to address FDA or other regulatory authority requirements relating to our clinical programs and registrational plans, such requirements including, but not limited to, clinical and safety requirements as well as manufacturing and control requirements; risks related to our accelerated FDA review designations; our ability to obtain and maintain intellectual property rights relating to our product pipeline; and the acceptance by the market of our product candidates and their potential reimbursement by payors, if approved.</w:t>
      </w:r>
    </w:p>
    <w:p>
      <w:pPr>
        <w:pStyle w:val="TextBody"/>
        <w:bidi w:val="0"/>
        <w:spacing w:before="0" w:after="0"/>
        <w:ind w:left="0" w:right="0" w:hanging="0"/>
        <w:jc w:val="left"/>
        <w:rPr/>
      </w:pPr>
      <w: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We caution you that the risks, uncertainties and other factors referenced above may not contain all the risks, uncertainties and other factors that are important to you. In addition, we cannot guarantee future results, level of activity, performance or achievements. Any forward-looking statement made by us in this Quarterly Report on Form 10-Q speaks only as of the date of this Quarterly Report on Form 10-Q or as of the date on which it is made. Except as required by law, we undertake no obligation to publicly update any forward-looking statements, whether because of new information, future events or otherwise, after the date of this Quarterly Report on Form 10-Q.</w:t>
      </w:r>
    </w:p>
    <w:p>
      <w:pPr>
        <w:pStyle w:val="TextBody"/>
        <w:bidi w:val="0"/>
        <w:spacing w:before="0" w:after="0"/>
        <w:ind w:left="0" w:right="0" w:hanging="0"/>
        <w:jc w:val="left"/>
        <w:rPr/>
      </w:pPr>
      <w: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Unless the context requires otherwise, in this report the terms “Iovance,” the “Company,” “we,” “us” and “our” refer to Iovance Biotherapeutics, Inc.</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bookmarkStart w:id="25" w:name="PARTIFINANCIALINFORMATION_717357"/>
      <w:bookmarkStart w:id="26" w:name="_c51c062f_6680_42c3_982e_565a207c5364"/>
      <w:bookmarkEnd w:id="25"/>
      <w:bookmarkEnd w:id="26"/>
      <w:r>
        <w:rPr>
          <w:rFonts w:ascii="Times New Roman;Times;serif" w:hAnsi="Times New Roman;Times;serif"/>
          <w:b/>
          <w:sz w:val="20"/>
        </w:rPr>
        <w:t>PART I. FINANCIAL INFORMATION</w:t>
      </w:r>
    </w:p>
    <w:p>
      <w:pPr>
        <w:pStyle w:val="Normal"/>
        <w:bidi w:val="0"/>
        <w:spacing w:before="0" w:after="0"/>
        <w:jc w:val="left"/>
        <w:rPr>
          <w:sz w:val="4"/>
          <w:szCs w:val="4"/>
        </w:rPr>
      </w:pPr>
      <w:r>
        <w:rPr>
          <w:sz w:val="4"/>
          <w:szCs w:val="4"/>
        </w:rPr>
      </w:r>
      <w:bookmarkStart w:id="27" w:name="Item1CondensedConsolidatedFinancialState"/>
      <w:bookmarkStart w:id="28" w:name="Item1CondensedConsolidatedFinancialState"/>
      <w:bookmarkEnd w:id="28"/>
    </w:p>
    <w:tbl>
      <w:tblPr>
        <w:tblW w:w="5777" w:type="dxa"/>
        <w:jc w:val="left"/>
        <w:tblInd w:w="0" w:type="dxa"/>
        <w:tblLayout w:type="fixed"/>
        <w:tblCellMar>
          <w:top w:w="0" w:type="dxa"/>
          <w:left w:w="0" w:type="dxa"/>
          <w:bottom w:w="0" w:type="dxa"/>
          <w:right w:w="0" w:type="dxa"/>
        </w:tblCellMar>
      </w:tblPr>
      <w:tblGrid>
        <w:gridCol w:w="706"/>
        <w:gridCol w:w="5071"/>
      </w:tblGrid>
      <w:tr>
        <w:trPr/>
        <w:tc>
          <w:tcPr>
            <w:tcW w:w="70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Item 1.</w:t>
            </w:r>
          </w:p>
        </w:tc>
        <w:tc>
          <w:tcPr>
            <w:tcW w:w="507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b/>
                <w:sz w:val="20"/>
              </w:rPr>
              <w:t>Condensed Consolidated</w:t>
            </w:r>
            <w:r>
              <w:rPr>
                <w:rFonts w:ascii="Times New Roman;Times;serif" w:hAnsi="Times New Roman;Times;serif"/>
                <w:sz w:val="20"/>
              </w:rPr>
              <w:t xml:space="preserve"> </w:t>
            </w:r>
            <w:r>
              <w:rPr>
                <w:rFonts w:ascii="Times New Roman;Times;serif" w:hAnsi="Times New Roman;Times;serif"/>
                <w:b/>
                <w:sz w:val="20"/>
              </w:rPr>
              <w:t>Financial Statements</w:t>
            </w:r>
            <w:r>
              <w:rPr>
                <w:rFonts w:ascii="Times New Roman;Times;serif" w:hAnsi="Times New Roman;Times;serif"/>
                <w:sz w:val="20"/>
              </w:rPr>
              <w:t xml:space="preserve"> </w:t>
            </w:r>
            <w:r>
              <w:rPr>
                <w:rFonts w:ascii="Times New Roman;Times;serif" w:hAnsi="Times New Roman;Times;serif"/>
                <w:b/>
                <w:sz w:val="20"/>
              </w:rPr>
              <w:t>(Unaudited)</w:t>
            </w:r>
          </w:p>
        </w:tc>
      </w:tr>
    </w:tbl>
    <w:p>
      <w:pPr>
        <w:pStyle w:val="TextBody"/>
        <w:bidi w:val="0"/>
        <w:spacing w:before="0" w:after="20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IOVANCE BIOTHERAPEUTICS,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share and per share information)</w:t>
      </w:r>
    </w:p>
    <w:p>
      <w:pPr>
        <w:pStyle w:val="TextBody"/>
        <w:bidi w:val="0"/>
        <w:spacing w:before="0" w:after="200"/>
        <w:ind w:left="0" w:right="0" w:hanging="0"/>
        <w:jc w:val="center"/>
        <w:rPr/>
      </w:pPr>
      <w:r>
        <w:rPr/>
        <w:t>​</w:t>
      </w:r>
    </w:p>
    <w:p>
      <w:pPr>
        <w:pStyle w:val="Normal"/>
        <w:bidi w:val="0"/>
        <w:spacing w:before="0" w:after="0"/>
        <w:jc w:val="left"/>
        <w:rPr>
          <w:sz w:val="4"/>
          <w:szCs w:val="4"/>
        </w:rPr>
      </w:pPr>
      <w:r>
        <w:rPr>
          <w:sz w:val="4"/>
          <w:szCs w:val="4"/>
        </w:rPr>
      </w:r>
      <w:bookmarkStart w:id="29" w:name="Tc_enlJgluJMkWaD3XA48_-9g_45_5"/>
      <w:bookmarkStart w:id="30" w:name="Tc_zF0aQ1k9LkCz69axX5-l4Q_45_2"/>
      <w:bookmarkStart w:id="31" w:name="Tc_75-nP2INGEimCQ9BQH3Uog_45_0"/>
      <w:bookmarkStart w:id="32" w:name="Tc_mTBNJ3-H0k6Mj_Oju9830Q_44_0"/>
      <w:bookmarkStart w:id="33" w:name="Tc_iWsxnAgY2kWRKwbXtl7hng_43_0"/>
      <w:bookmarkStart w:id="34" w:name="Tc_CmFJsBBBi0OS85HbyaUHag_42_0"/>
      <w:bookmarkStart w:id="35" w:name="Tc_914wRc74Z0-11JLWZTc34g_41_0"/>
      <w:bookmarkStart w:id="36" w:name="Tc_00qfOu8ffUCWtoucqZJW9A_40_0"/>
      <w:bookmarkStart w:id="37" w:name="_9aff726d_310e_4a10_bacf_302e863a4ea1_3"/>
      <w:bookmarkStart w:id="38" w:name="_9aff726d_310e_4a10_bacf_302e863a4ea1_2"/>
      <w:bookmarkStart w:id="39" w:name="_9aff726d_310e_4a10_bacf_302e863a4ea1"/>
      <w:bookmarkStart w:id="40" w:name="Tc_qFvirVm2_kunZG8SSRn66g_39_0"/>
      <w:bookmarkStart w:id="41" w:name="_032e502d_cfbc_4679_8bab_e085e2515768_3"/>
      <w:bookmarkStart w:id="42" w:name="_032e502d_cfbc_4679_8bab_e085e2515768_2"/>
      <w:bookmarkStart w:id="43" w:name="_032e502d_cfbc_4679_8bab_e085e2515768"/>
      <w:bookmarkStart w:id="44" w:name="Tc_dUtse2SXskWTnlwqvkgl2Q_38_0"/>
      <w:bookmarkStart w:id="45" w:name="Tc_wGu-br-xOE2ngNiQSLvONQ_37_0"/>
      <w:bookmarkStart w:id="46" w:name="Tc_x30Ia8MAl0263OFBnuySCQ_35_0"/>
      <w:bookmarkStart w:id="47" w:name="Tc_bcrSEb99U02v8I7Pq4lAMg_33_0"/>
      <w:bookmarkStart w:id="48" w:name="Tc_8eBCsbzXn0m_5IjiQ74b7w_32_0"/>
      <w:bookmarkStart w:id="49" w:name="Tc_eenPPf4-TUSWVf6M7CgJ7Q_31_0"/>
      <w:bookmarkStart w:id="50" w:name="Tc_M5yNarRYvUSqgDEI9XMRlQ_30_6"/>
      <w:bookmarkStart w:id="51" w:name="Tc_ZmpbPcT0xUSQmtayQEFDeg_30_0"/>
      <w:bookmarkStart w:id="52" w:name="Tc_zkhUs5ehGUKYKc5D3dbHkA_29_0"/>
      <w:bookmarkStart w:id="53" w:name="Tc_M2-aRruDLEKhl26nsmooBA_28_0"/>
      <w:bookmarkStart w:id="54" w:name="Tc_aLCXrn_05E6UkrYS8Uivbw_26_0"/>
      <w:bookmarkStart w:id="55" w:name="Tc_Z3-nV09PrEud3SVUaSMi7A_25_0"/>
      <w:bookmarkStart w:id="56" w:name="Tc_ZYw5QaSe1UCC1iJT63PViQ_24_0"/>
      <w:bookmarkStart w:id="57" w:name="Tc_mC_PV0spf0mooGEyW0o0Cw_23_5"/>
      <w:bookmarkStart w:id="58" w:name="Tc_W2CYseY67UGb3ckgdJ4Y7A_23_2"/>
      <w:bookmarkStart w:id="59" w:name="Tc_QdFE0wZka0SmnEPPMUwhnA_23_0"/>
      <w:bookmarkStart w:id="60" w:name="Tc_6USlTuaBpUa38bWoLxt-zw_22_0"/>
      <w:bookmarkStart w:id="61" w:name="Tc_ZFd3BjYUDEm8ARUXzlqyMg_20_0"/>
      <w:bookmarkStart w:id="62" w:name="Tc_bCY__4m1EUW42GMtdYQR0g_18_5"/>
      <w:bookmarkStart w:id="63" w:name="Tc_OVjy7T8cR0afUnVVRpc5pA_18_2"/>
      <w:bookmarkStart w:id="64" w:name="Tc__-DHhnHbBE6eMdqPFU722Q_18_0"/>
      <w:bookmarkStart w:id="65" w:name="Tc_ndaOq4dlH0OBFcCtWnQfvg_17_0"/>
      <w:bookmarkStart w:id="66" w:name="Tc_hMn28SAGTEySoh9CHoGlpg_16_0"/>
      <w:bookmarkStart w:id="67" w:name="Tc_YDConraCTkqsjzNXK2hZhA_15_0"/>
      <w:bookmarkStart w:id="68" w:name="Tc_2BA7WN3qfkaqX39YY7r7hg_14_6"/>
      <w:bookmarkStart w:id="69" w:name="Tc_AVMf5qdoGUyjZd8Fl8ksTw_14_0"/>
      <w:bookmarkStart w:id="70" w:name="Tc_YJ-7cPZlkkuJiaAgX9Ra2Q_13_0"/>
      <w:bookmarkStart w:id="71" w:name="Tc_p3iRUJ3fWEK5qomf4JT_1Q_11_0"/>
      <w:bookmarkStart w:id="72" w:name="Tc_1fXzm2eZC0GjNw2vHQp5Ww_10_0"/>
      <w:bookmarkStart w:id="73" w:name="Tc_W3RdS_CyKEy4arwCTETh2w_9_6"/>
      <w:bookmarkStart w:id="74" w:name="Tc_z5qmMK0I6k2xNrgfK26mwA_9_0"/>
      <w:bookmarkStart w:id="75" w:name="Tc_WDIjzZfTmkyzKiX0ezOveg_8_0"/>
      <w:bookmarkStart w:id="76" w:name="Tc_YCWQbxgf_UaMU_T53uyDZw_7_6"/>
      <w:bookmarkStart w:id="77" w:name="Tc_i1wN-tAMFUCsXoLqe4F9Kw_7_0"/>
      <w:bookmarkStart w:id="78" w:name="Tc_Iwj8jN1YzU6CqLoYK9uIhw_6_5"/>
      <w:bookmarkStart w:id="79" w:name="Tc_gI6aU7U7zUGoCvmzQWBoXw_6_2"/>
      <w:bookmarkStart w:id="80" w:name="Tc_O6_SMloh5UaakyCusx541w_6_0"/>
      <w:bookmarkStart w:id="81" w:name="Tc_5SwFfxUlx0aGsS4WZlur_A_5_0"/>
      <w:bookmarkStart w:id="82" w:name="Tc_3EwBswYh8Ui4Ot6KUsDvOQ_3_0"/>
      <w:bookmarkStart w:id="83" w:name="Tc_-QCypwA6NECsFhd5qr4qQw_2_5"/>
      <w:bookmarkStart w:id="84" w:name="Tc_CX3LBqEMF0KmytCDEvN-mw_2_2"/>
      <w:bookmarkStart w:id="85" w:name="Tc_IMJGVNDZwUqz151VMrsUoQ_1_5"/>
      <w:bookmarkStart w:id="86" w:name="Tc_QXlHbmKUXkaXvXQnTux_lg_1_2"/>
      <w:bookmarkStart w:id="87" w:name="_29170042_afa2_41d3_9361_9f1458ef445a"/>
      <w:bookmarkStart w:id="88" w:name="Tc_enlJgluJMkWaD3XA48_-9g_45_5"/>
      <w:bookmarkStart w:id="89" w:name="Tc_zF0aQ1k9LkCz69axX5-l4Q_45_2"/>
      <w:bookmarkStart w:id="90" w:name="Tc_75-nP2INGEimCQ9BQH3Uog_45_0"/>
      <w:bookmarkStart w:id="91" w:name="Tc_mTBNJ3-H0k6Mj_Oju9830Q_44_0"/>
      <w:bookmarkStart w:id="92" w:name="Tc_iWsxnAgY2kWRKwbXtl7hng_43_0"/>
      <w:bookmarkStart w:id="93" w:name="Tc_CmFJsBBBi0OS85HbyaUHag_42_0"/>
      <w:bookmarkStart w:id="94" w:name="Tc_914wRc74Z0-11JLWZTc34g_41_0"/>
      <w:bookmarkStart w:id="95" w:name="Tc_00qfOu8ffUCWtoucqZJW9A_40_0"/>
      <w:bookmarkStart w:id="96" w:name="_9aff726d_310e_4a10_bacf_302e863a4ea1_3"/>
      <w:bookmarkStart w:id="97" w:name="_9aff726d_310e_4a10_bacf_302e863a4ea1_2"/>
      <w:bookmarkStart w:id="98" w:name="_9aff726d_310e_4a10_bacf_302e863a4ea1"/>
      <w:bookmarkStart w:id="99" w:name="Tc_qFvirVm2_kunZG8SSRn66g_39_0"/>
      <w:bookmarkStart w:id="100" w:name="_032e502d_cfbc_4679_8bab_e085e2515768_3"/>
      <w:bookmarkStart w:id="101" w:name="_032e502d_cfbc_4679_8bab_e085e2515768_2"/>
      <w:bookmarkStart w:id="102" w:name="_032e502d_cfbc_4679_8bab_e085e2515768"/>
      <w:bookmarkStart w:id="103" w:name="Tc_dUtse2SXskWTnlwqvkgl2Q_38_0"/>
      <w:bookmarkStart w:id="104" w:name="Tc_wGu-br-xOE2ngNiQSLvONQ_37_0"/>
      <w:bookmarkStart w:id="105" w:name="Tc_x30Ia8MAl0263OFBnuySCQ_35_0"/>
      <w:bookmarkStart w:id="106" w:name="Tc_bcrSEb99U02v8I7Pq4lAMg_33_0"/>
      <w:bookmarkStart w:id="107" w:name="Tc_8eBCsbzXn0m_5IjiQ74b7w_32_0"/>
      <w:bookmarkStart w:id="108" w:name="Tc_eenPPf4-TUSWVf6M7CgJ7Q_31_0"/>
      <w:bookmarkStart w:id="109" w:name="Tc_M5yNarRYvUSqgDEI9XMRlQ_30_6"/>
      <w:bookmarkStart w:id="110" w:name="Tc_ZmpbPcT0xUSQmtayQEFDeg_30_0"/>
      <w:bookmarkStart w:id="111" w:name="Tc_zkhUs5ehGUKYKc5D3dbHkA_29_0"/>
      <w:bookmarkStart w:id="112" w:name="Tc_M2-aRruDLEKhl26nsmooBA_28_0"/>
      <w:bookmarkStart w:id="113" w:name="Tc_aLCXrn_05E6UkrYS8Uivbw_26_0"/>
      <w:bookmarkStart w:id="114" w:name="Tc_Z3-nV09PrEud3SVUaSMi7A_25_0"/>
      <w:bookmarkStart w:id="115" w:name="Tc_ZYw5QaSe1UCC1iJT63PViQ_24_0"/>
      <w:bookmarkStart w:id="116" w:name="Tc_mC_PV0spf0mooGEyW0o0Cw_23_5"/>
      <w:bookmarkStart w:id="117" w:name="Tc_W2CYseY67UGb3ckgdJ4Y7A_23_2"/>
      <w:bookmarkStart w:id="118" w:name="Tc_QdFE0wZka0SmnEPPMUwhnA_23_0"/>
      <w:bookmarkStart w:id="119" w:name="Tc_6USlTuaBpUa38bWoLxt-zw_22_0"/>
      <w:bookmarkStart w:id="120" w:name="Tc_ZFd3BjYUDEm8ARUXzlqyMg_20_0"/>
      <w:bookmarkStart w:id="121" w:name="Tc_bCY__4m1EUW42GMtdYQR0g_18_5"/>
      <w:bookmarkStart w:id="122" w:name="Tc_OVjy7T8cR0afUnVVRpc5pA_18_2"/>
      <w:bookmarkStart w:id="123" w:name="Tc__-DHhnHbBE6eMdqPFU722Q_18_0"/>
      <w:bookmarkStart w:id="124" w:name="Tc_ndaOq4dlH0OBFcCtWnQfvg_17_0"/>
      <w:bookmarkStart w:id="125" w:name="Tc_hMn28SAGTEySoh9CHoGlpg_16_0"/>
      <w:bookmarkStart w:id="126" w:name="Tc_YDConraCTkqsjzNXK2hZhA_15_0"/>
      <w:bookmarkStart w:id="127" w:name="Tc_2BA7WN3qfkaqX39YY7r7hg_14_6"/>
      <w:bookmarkStart w:id="128" w:name="Tc_AVMf5qdoGUyjZd8Fl8ksTw_14_0"/>
      <w:bookmarkStart w:id="129" w:name="Tc_YJ-7cPZlkkuJiaAgX9Ra2Q_13_0"/>
      <w:bookmarkStart w:id="130" w:name="Tc_p3iRUJ3fWEK5qomf4JT_1Q_11_0"/>
      <w:bookmarkStart w:id="131" w:name="Tc_1fXzm2eZC0GjNw2vHQp5Ww_10_0"/>
      <w:bookmarkStart w:id="132" w:name="Tc_W3RdS_CyKEy4arwCTETh2w_9_6"/>
      <w:bookmarkStart w:id="133" w:name="Tc_z5qmMK0I6k2xNrgfK26mwA_9_0"/>
      <w:bookmarkStart w:id="134" w:name="Tc_WDIjzZfTmkyzKiX0ezOveg_8_0"/>
      <w:bookmarkStart w:id="135" w:name="Tc_YCWQbxgf_UaMU_T53uyDZw_7_6"/>
      <w:bookmarkStart w:id="136" w:name="Tc_i1wN-tAMFUCsXoLqe4F9Kw_7_0"/>
      <w:bookmarkStart w:id="137" w:name="Tc_Iwj8jN1YzU6CqLoYK9uIhw_6_5"/>
      <w:bookmarkStart w:id="138" w:name="Tc_gI6aU7U7zUGoCvmzQWBoXw_6_2"/>
      <w:bookmarkStart w:id="139" w:name="Tc_O6_SMloh5UaakyCusx541w_6_0"/>
      <w:bookmarkStart w:id="140" w:name="Tc_5SwFfxUlx0aGsS4WZlur_A_5_0"/>
      <w:bookmarkStart w:id="141" w:name="Tc_3EwBswYh8Ui4Ot6KUsDvOQ_3_0"/>
      <w:bookmarkStart w:id="142" w:name="Tc_-QCypwA6NECsFhd5qr4qQw_2_5"/>
      <w:bookmarkStart w:id="143" w:name="Tc_CX3LBqEMF0KmytCDEvN-mw_2_2"/>
      <w:bookmarkStart w:id="144" w:name="Tc_IMJGVNDZwUqz151VMrsUoQ_1_5"/>
      <w:bookmarkStart w:id="145" w:name="Tc_QXlHbmKUXkaXvXQnTux_lg_1_2"/>
      <w:bookmarkStart w:id="146" w:name="_29170042_afa2_41d3_9361_9f1458ef445a"/>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tbl>
      <w:tblPr>
        <w:tblW w:w="10205" w:type="dxa"/>
        <w:jc w:val="left"/>
        <w:tblInd w:w="0" w:type="dxa"/>
        <w:tblLayout w:type="fixed"/>
        <w:tblCellMar>
          <w:top w:w="0" w:type="dxa"/>
          <w:left w:w="0" w:type="dxa"/>
          <w:bottom w:w="0" w:type="dxa"/>
          <w:right w:w="0" w:type="dxa"/>
        </w:tblCellMar>
      </w:tblPr>
      <w:tblGrid>
        <w:gridCol w:w="7261"/>
        <w:gridCol w:w="326"/>
        <w:gridCol w:w="196"/>
        <w:gridCol w:w="913"/>
        <w:gridCol w:w="326"/>
        <w:gridCol w:w="199"/>
        <w:gridCol w:w="984"/>
      </w:tblGrid>
      <w:tr>
        <w:trPr/>
        <w:tc>
          <w:tcPr>
            <w:tcW w:w="7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4610735" cy="175260"/>
                      <wp:effectExtent l="0" t="0" r="0" b="0"/>
                      <wp:wrapNone/>
                      <wp:docPr id="1" name="Frame1"/>
                      <a:graphic xmlns:a="http://schemas.openxmlformats.org/drawingml/2006/main">
                        <a:graphicData uri="http://schemas.microsoft.com/office/word/2010/wordprocessingShape">
                          <wps:wsp>
                            <wps:cNvSpPr txBox="1"/>
                            <wps:spPr>
                              <a:xfrm>
                                <a:off x="0" y="0"/>
                                <a:ext cx="4610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07010" cy="175260"/>
                      <wp:effectExtent l="0" t="0" r="0" b="0"/>
                      <wp:wrapNone/>
                      <wp:docPr id="2" name="Frame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24460" cy="175260"/>
                      <wp:effectExtent l="0" t="0" r="0" b="0"/>
                      <wp:wrapNone/>
                      <wp:docPr id="3" name="Frame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579755" cy="175260"/>
                      <wp:effectExtent l="0" t="0" r="0" b="0"/>
                      <wp:wrapNone/>
                      <wp:docPr id="4" name="Frame4"/>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26365" cy="175260"/>
                      <wp:effectExtent l="0" t="0" r="0" b="0"/>
                      <wp:wrapNone/>
                      <wp:docPr id="6" name="Frame6"/>
                      <a:graphic xmlns:a="http://schemas.openxmlformats.org/drawingml/2006/main">
                        <a:graphicData uri="http://schemas.microsoft.com/office/word/2010/wordprocessingShape">
                          <wps:wsp>
                            <wps:cNvSpPr txBox="1"/>
                            <wps:spPr>
                              <a:xfrm>
                                <a:off x="0" y="0"/>
                                <a:ext cx="1263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24840" cy="175260"/>
                      <wp:effectExtent l="0" t="0" r="0" b="0"/>
                      <wp:wrapNone/>
                      <wp:docPr id="7" name="Frame7"/>
                      <a:graphic xmlns:a="http://schemas.openxmlformats.org/drawingml/2006/main">
                        <a:graphicData uri="http://schemas.microsoft.com/office/word/2010/wordprocessingShape">
                          <wps:wsp>
                            <wps:cNvSpPr txBox="1"/>
                            <wps:spPr>
                              <a:xfrm>
                                <a:off x="0" y="0"/>
                                <a:ext cx="624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2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09"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w:t>
            </w:r>
          </w:p>
        </w:tc>
        <w:tc>
          <w:tcPr>
            <w:tcW w:w="326" w:type="dxa"/>
            <w:tcBorders/>
            <w:vAlign w:val="center"/>
          </w:tcPr>
          <w:p>
            <w:pPr>
              <w:pStyle w:val="TableContents"/>
              <w:bidi w:val="0"/>
              <w:spacing w:before="0" w:after="1"/>
              <w:ind w:left="0" w:right="0" w:hanging="0"/>
              <w:jc w:val="left"/>
              <w:rPr/>
            </w:pPr>
            <w:r>
              <w:rPr/>
              <w:t>​</w:t>
            </w:r>
          </w:p>
        </w:tc>
        <w:tc>
          <w:tcPr>
            <w:tcW w:w="1183"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31, </w:t>
            </w:r>
          </w:p>
        </w:tc>
      </w:tr>
      <w:tr>
        <w:trPr/>
        <w:tc>
          <w:tcPr>
            <w:tcW w:w="72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0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vAlign w:val="center"/>
          </w:tcPr>
          <w:p>
            <w:pPr>
              <w:pStyle w:val="TableContents"/>
              <w:bidi w:val="0"/>
              <w:spacing w:before="0" w:after="1"/>
              <w:ind w:left="0" w:right="0" w:hanging="0"/>
              <w:jc w:val="left"/>
              <w:rPr/>
            </w:pPr>
            <w:r>
              <w:rPr/>
              <w:t>    </w:t>
            </w:r>
          </w:p>
        </w:tc>
        <w:tc>
          <w:tcPr>
            <w:tcW w:w="118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2022</w:t>
            </w:r>
          </w:p>
        </w:tc>
      </w:tr>
      <w:tr>
        <w:trPr/>
        <w:tc>
          <w:tcPr>
            <w:tcW w:w="726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99" w:type="dxa"/>
            <w:tcBorders/>
            <w:shd w:fill="CCEEFF" w:val="clear"/>
            <w:vAlign w:val="center"/>
          </w:tcPr>
          <w:p>
            <w:pPr>
              <w:pStyle w:val="TableContents"/>
              <w:bidi w:val="0"/>
              <w:spacing w:before="0" w:after="1"/>
              <w:ind w:left="0" w:right="0" w:hanging="0"/>
              <w:jc w:val="left"/>
              <w:rPr/>
            </w:pPr>
            <w:r>
              <w:rPr/>
              <w:t>​</w:t>
            </w:r>
          </w:p>
        </w:tc>
        <w:tc>
          <w:tcPr>
            <w:tcW w:w="984" w:type="dxa"/>
            <w:tcBorders/>
            <w:shd w:fill="CCEEFF" w:val="clear"/>
            <w:vAlign w:val="center"/>
          </w:tcPr>
          <w:p>
            <w:pPr>
              <w:pStyle w:val="TableContents"/>
              <w:bidi w:val="0"/>
              <w:spacing w:before="0" w:after="1"/>
              <w:ind w:left="0" w:right="0" w:hanging="0"/>
              <w:jc w:val="right"/>
              <w:rPr/>
            </w:pPr>
            <w:r>
              <w:rPr/>
              <w:t>  </w:t>
            </w:r>
          </w:p>
        </w:tc>
      </w:tr>
      <w:tr>
        <w:trPr/>
        <w:tc>
          <w:tcPr>
            <w:tcW w:w="72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199" w:type="dxa"/>
            <w:tcBorders/>
            <w:vAlign w:val="center"/>
          </w:tcPr>
          <w:p>
            <w:pPr>
              <w:pStyle w:val="TableContents"/>
              <w:bidi w:val="0"/>
              <w:spacing w:before="0" w:after="1"/>
              <w:ind w:left="0" w:right="0" w:hanging="0"/>
              <w:jc w:val="left"/>
              <w:rPr/>
            </w:pPr>
            <w:r>
              <w:rPr/>
              <w:t>​</w:t>
            </w:r>
          </w:p>
        </w:tc>
        <w:tc>
          <w:tcPr>
            <w:tcW w:w="984" w:type="dxa"/>
            <w:tcBorders/>
            <w:vAlign w:val="center"/>
          </w:tcPr>
          <w:p>
            <w:pPr>
              <w:pStyle w:val="TableContents"/>
              <w:bidi w:val="0"/>
              <w:spacing w:before="0" w:after="1"/>
              <w:ind w:left="0" w:right="0" w:hanging="0"/>
              <w:jc w:val="right"/>
              <w:rPr/>
            </w:pPr>
            <w:r>
              <w:rPr/>
              <w:t>  </w:t>
            </w:r>
          </w:p>
        </w:tc>
      </w:tr>
      <w:tr>
        <w:trPr/>
        <w:tc>
          <w:tcPr>
            <w:tcW w:w="726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color w:val="FF0000"/>
              </w:rPr>
            </w:pPr>
            <w:r>
              <w:rPr>
                <w:color w:val="FF0000"/>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99" w:type="dxa"/>
            <w:tcBorders/>
            <w:shd w:fill="CCEEFF" w:val="clear"/>
            <w:vAlign w:val="center"/>
          </w:tcPr>
          <w:p>
            <w:pPr>
              <w:pStyle w:val="TableContents"/>
              <w:bidi w:val="0"/>
              <w:spacing w:before="0" w:after="1"/>
              <w:ind w:left="0" w:right="0" w:hanging="0"/>
              <w:jc w:val="left"/>
              <w:rPr/>
            </w:pPr>
            <w:r>
              <w:rPr/>
              <w:t>​</w:t>
            </w:r>
          </w:p>
        </w:tc>
        <w:tc>
          <w:tcPr>
            <w:tcW w:w="984" w:type="dxa"/>
            <w:tcBorders/>
            <w:shd w:fill="CCEEFF" w:val="clear"/>
            <w:vAlign w:val="center"/>
          </w:tcPr>
          <w:p>
            <w:pPr>
              <w:pStyle w:val="TableContents"/>
              <w:bidi w:val="0"/>
              <w:spacing w:before="0" w:after="1"/>
              <w:ind w:left="0" w:right="0" w:hanging="0"/>
              <w:jc w:val="right"/>
              <w:rPr/>
            </w:pPr>
            <w:r>
              <w:rPr/>
              <w:t>  </w:t>
            </w:r>
          </w:p>
        </w:tc>
      </w:tr>
      <w:tr>
        <w:trPr/>
        <w:tc>
          <w:tcPr>
            <w:tcW w:w="726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230,010</w:t>
            </w:r>
          </w:p>
        </w:tc>
        <w:tc>
          <w:tcPr>
            <w:tcW w:w="32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8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231,731</w:t>
            </w:r>
          </w:p>
        </w:tc>
      </w:tr>
      <w:tr>
        <w:trPr/>
        <w:tc>
          <w:tcPr>
            <w:tcW w:w="726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Trade accounts receivable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w:t>
            </w:r>
          </w:p>
        </w:tc>
        <w:tc>
          <w:tcPr>
            <w:tcW w:w="984" w:type="dxa"/>
            <w:tcBorders/>
            <w:shd w:fill="CCEEFF" w:val="clear"/>
            <w:vAlign w:val="center"/>
          </w:tcPr>
          <w:p>
            <w:pPr>
              <w:pStyle w:val="TableContents"/>
              <w:bidi w:val="0"/>
              <w:spacing w:before="0" w:after="1"/>
              <w:ind w:left="0" w:right="0" w:hanging="0"/>
              <w:jc w:val="right"/>
              <w:rPr/>
            </w:pPr>
            <w:r>
              <w:rPr/>
              <w:t>—</w:t>
            </w:r>
          </w:p>
        </w:tc>
      </w:tr>
      <w:tr>
        <w:trPr/>
        <w:tc>
          <w:tcPr>
            <w:tcW w:w="726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Short-term investments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20,884</w:t>
            </w:r>
          </w:p>
        </w:tc>
        <w:tc>
          <w:tcPr>
            <w:tcW w:w="32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 </w:t>
            </w:r>
          </w:p>
        </w:tc>
        <w:tc>
          <w:tcPr>
            <w:tcW w:w="98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240,114</w:t>
            </w:r>
          </w:p>
        </w:tc>
      </w:tr>
      <w:tr>
        <w:trPr/>
        <w:tc>
          <w:tcPr>
            <w:tcW w:w="726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Inventory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9,720</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w:t>
            </w:r>
          </w:p>
        </w:tc>
        <w:tc>
          <w:tcPr>
            <w:tcW w:w="984" w:type="dxa"/>
            <w:tcBorders/>
            <w:shd w:fill="CCEEFF" w:val="clear"/>
            <w:vAlign w:val="center"/>
          </w:tcPr>
          <w:p>
            <w:pPr>
              <w:pStyle w:val="TableContents"/>
              <w:bidi w:val="0"/>
              <w:spacing w:before="0" w:after="1"/>
              <w:ind w:left="0" w:right="0" w:hanging="0"/>
              <w:jc w:val="right"/>
              <w:rPr/>
            </w:pPr>
            <w:r>
              <w:rPr/>
              <w:t>—</w:t>
            </w:r>
          </w:p>
        </w:tc>
      </w:tr>
      <w:tr>
        <w:trPr/>
        <w:tc>
          <w:tcPr>
            <w:tcW w:w="726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Prepaid expenses and other assets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14,231</w:t>
            </w:r>
          </w:p>
        </w:tc>
        <w:tc>
          <w:tcPr>
            <w:tcW w:w="326" w:type="dxa"/>
            <w:tcBorders/>
            <w:vAlign w:val="center"/>
          </w:tcPr>
          <w:p>
            <w:pPr>
              <w:pStyle w:val="TableContents"/>
              <w:bidi w:val="0"/>
              <w:spacing w:before="0" w:after="1"/>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7,271</w:t>
            </w:r>
          </w:p>
        </w:tc>
      </w:tr>
      <w:tr>
        <w:trPr/>
        <w:tc>
          <w:tcPr>
            <w:tcW w:w="726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274,878</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 </w:t>
            </w:r>
          </w:p>
        </w:tc>
        <w:tc>
          <w:tcPr>
            <w:tcW w:w="98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479,116</w:t>
            </w:r>
          </w:p>
        </w:tc>
      </w:tr>
      <w:tr>
        <w:trPr/>
        <w:tc>
          <w:tcPr>
            <w:tcW w:w="72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3"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 </w:t>
            </w:r>
          </w:p>
        </w:tc>
        <w:tc>
          <w:tcPr>
            <w:tcW w:w="984" w:type="dxa"/>
            <w:tcBorders/>
            <w:vAlign w:val="center"/>
          </w:tcPr>
          <w:p>
            <w:pPr>
              <w:pStyle w:val="TableContents"/>
              <w:bidi w:val="0"/>
              <w:spacing w:before="0" w:after="1"/>
              <w:ind w:left="0" w:right="0" w:hanging="0"/>
              <w:jc w:val="right"/>
              <w:rPr/>
            </w:pPr>
            <w:r>
              <w:rPr/>
              <w:t>  </w:t>
            </w:r>
          </w:p>
        </w:tc>
      </w:tr>
      <w:tr>
        <w:trPr/>
        <w:tc>
          <w:tcPr>
            <w:tcW w:w="726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Property and equipment, net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112,549</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w:t>
            </w:r>
          </w:p>
        </w:tc>
        <w:tc>
          <w:tcPr>
            <w:tcW w:w="98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105,232</w:t>
            </w:r>
          </w:p>
        </w:tc>
      </w:tr>
      <w:tr>
        <w:trPr/>
        <w:tc>
          <w:tcPr>
            <w:tcW w:w="726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Intangible assets, net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235,511</w:t>
            </w:r>
          </w:p>
        </w:tc>
        <w:tc>
          <w:tcPr>
            <w:tcW w:w="32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w:t>
            </w:r>
          </w:p>
        </w:tc>
        <w:tc>
          <w:tcPr>
            <w:tcW w:w="984" w:type="dxa"/>
            <w:tcBorders/>
            <w:vAlign w:val="center"/>
          </w:tcPr>
          <w:p>
            <w:pPr>
              <w:pStyle w:val="TableContents"/>
              <w:bidi w:val="0"/>
              <w:spacing w:before="0" w:after="1"/>
              <w:ind w:left="0" w:right="0" w:hanging="0"/>
              <w:jc w:val="right"/>
              <w:rPr/>
            </w:pPr>
            <w:r>
              <w:rPr/>
              <w:t>—</w:t>
            </w:r>
          </w:p>
        </w:tc>
      </w:tr>
      <w:tr>
        <w:trPr/>
        <w:tc>
          <w:tcPr>
            <w:tcW w:w="726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right-of-use 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67,631</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w:t>
            </w:r>
          </w:p>
        </w:tc>
        <w:tc>
          <w:tcPr>
            <w:tcW w:w="98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73,015</w:t>
            </w:r>
          </w:p>
        </w:tc>
      </w:tr>
      <w:tr>
        <w:trPr/>
        <w:tc>
          <w:tcPr>
            <w:tcW w:w="726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Restricted cash</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66,430</w:t>
            </w:r>
          </w:p>
        </w:tc>
        <w:tc>
          <w:tcPr>
            <w:tcW w:w="32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w:t>
            </w:r>
          </w:p>
        </w:tc>
        <w:tc>
          <w:tcPr>
            <w:tcW w:w="98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6,430</w:t>
            </w:r>
          </w:p>
        </w:tc>
      </w:tr>
      <w:tr>
        <w:trPr/>
        <w:tc>
          <w:tcPr>
            <w:tcW w:w="726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Long-term 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294</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189</w:t>
            </w:r>
          </w:p>
        </w:tc>
      </w:tr>
      <w:tr>
        <w:trPr/>
        <w:tc>
          <w:tcPr>
            <w:tcW w:w="7261"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Assets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757,293</w:t>
            </w:r>
          </w:p>
        </w:tc>
        <w:tc>
          <w:tcPr>
            <w:tcW w:w="326" w:type="dxa"/>
            <w:tcBorders/>
            <w:vAlign w:val="center"/>
          </w:tcPr>
          <w:p>
            <w:pPr>
              <w:pStyle w:val="TableContents"/>
              <w:bidi w:val="0"/>
              <w:spacing w:before="0" w:after="1"/>
              <w:ind w:left="0" w:right="0" w:hanging="0"/>
              <w:jc w:val="left"/>
              <w:rPr/>
            </w:pPr>
            <w:r>
              <w:rPr/>
              <w:t>​</w:t>
            </w:r>
          </w:p>
        </w:tc>
        <w:tc>
          <w:tcPr>
            <w:tcW w:w="19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8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663,982</w:t>
            </w:r>
          </w:p>
        </w:tc>
      </w:tr>
      <w:tr>
        <w:trPr/>
        <w:tc>
          <w:tcPr>
            <w:tcW w:w="726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3"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 </w:t>
            </w:r>
          </w:p>
        </w:tc>
        <w:tc>
          <w:tcPr>
            <w:tcW w:w="984" w:type="dxa"/>
            <w:tcBorders/>
            <w:shd w:fill="CCEEFF" w:val="clear"/>
            <w:vAlign w:val="center"/>
          </w:tcPr>
          <w:p>
            <w:pPr>
              <w:pStyle w:val="TableContents"/>
              <w:bidi w:val="0"/>
              <w:spacing w:before="0" w:after="1"/>
              <w:ind w:left="0" w:right="0" w:hanging="0"/>
              <w:jc w:val="right"/>
              <w:rPr/>
            </w:pPr>
            <w:r>
              <w:rPr/>
              <w:t>  </w:t>
            </w:r>
          </w:p>
        </w:tc>
      </w:tr>
      <w:tr>
        <w:trPr/>
        <w:tc>
          <w:tcPr>
            <w:tcW w:w="7261"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LIABILITIES AND STOCKHOLDERS’ EQUITY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3"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 </w:t>
            </w:r>
          </w:p>
        </w:tc>
        <w:tc>
          <w:tcPr>
            <w:tcW w:w="984" w:type="dxa"/>
            <w:tcBorders/>
            <w:vAlign w:val="center"/>
          </w:tcPr>
          <w:p>
            <w:pPr>
              <w:pStyle w:val="TableContents"/>
              <w:bidi w:val="0"/>
              <w:spacing w:before="0" w:after="1"/>
              <w:ind w:left="0" w:right="0" w:hanging="0"/>
              <w:jc w:val="right"/>
              <w:rPr/>
            </w:pPr>
            <w:r>
              <w:rPr/>
              <w:t>  </w:t>
            </w:r>
          </w:p>
        </w:tc>
      </w:tr>
      <w:tr>
        <w:trPr/>
        <w:tc>
          <w:tcPr>
            <w:tcW w:w="726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3"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 </w:t>
            </w:r>
          </w:p>
        </w:tc>
        <w:tc>
          <w:tcPr>
            <w:tcW w:w="984" w:type="dxa"/>
            <w:tcBorders/>
            <w:shd w:fill="CCEEFF" w:val="clear"/>
            <w:vAlign w:val="center"/>
          </w:tcPr>
          <w:p>
            <w:pPr>
              <w:pStyle w:val="TableContents"/>
              <w:bidi w:val="0"/>
              <w:spacing w:before="0" w:after="1"/>
              <w:ind w:left="0" w:right="0" w:hanging="0"/>
              <w:jc w:val="right"/>
              <w:rPr/>
            </w:pPr>
            <w:r>
              <w:rPr/>
              <w:t>  </w:t>
            </w:r>
          </w:p>
        </w:tc>
      </w:tr>
      <w:tr>
        <w:trPr/>
        <w:tc>
          <w:tcPr>
            <w:tcW w:w="7261"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Current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3"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 </w:t>
            </w:r>
          </w:p>
        </w:tc>
        <w:tc>
          <w:tcPr>
            <w:tcW w:w="984" w:type="dxa"/>
            <w:tcBorders/>
            <w:vAlign w:val="center"/>
          </w:tcPr>
          <w:p>
            <w:pPr>
              <w:pStyle w:val="TableContents"/>
              <w:bidi w:val="0"/>
              <w:spacing w:before="0" w:after="1"/>
              <w:ind w:left="0" w:right="0" w:hanging="0"/>
              <w:jc w:val="right"/>
              <w:rPr/>
            </w:pPr>
            <w:r>
              <w:rPr/>
              <w:t>  </w:t>
            </w:r>
          </w:p>
        </w:tc>
      </w:tr>
      <w:tr>
        <w:trPr/>
        <w:tc>
          <w:tcPr>
            <w:tcW w:w="726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31,157</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8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26,603</w:t>
            </w:r>
          </w:p>
        </w:tc>
      </w:tr>
      <w:tr>
        <w:trPr/>
        <w:tc>
          <w:tcPr>
            <w:tcW w:w="726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expenses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46,620</w:t>
            </w:r>
          </w:p>
        </w:tc>
        <w:tc>
          <w:tcPr>
            <w:tcW w:w="32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 </w:t>
            </w:r>
          </w:p>
        </w:tc>
        <w:tc>
          <w:tcPr>
            <w:tcW w:w="98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52,295</w:t>
            </w:r>
          </w:p>
        </w:tc>
      </w:tr>
      <w:tr>
        <w:trPr/>
        <w:tc>
          <w:tcPr>
            <w:tcW w:w="726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10,866</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12,587</w:t>
            </w:r>
          </w:p>
        </w:tc>
      </w:tr>
      <w:tr>
        <w:trPr/>
        <w:tc>
          <w:tcPr>
            <w:tcW w:w="7261"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Current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88,643</w:t>
            </w:r>
          </w:p>
        </w:tc>
        <w:tc>
          <w:tcPr>
            <w:tcW w:w="326" w:type="dxa"/>
            <w:tcBorders/>
            <w:vAlign w:val="center"/>
          </w:tcPr>
          <w:p>
            <w:pPr>
              <w:pStyle w:val="TableContents"/>
              <w:bidi w:val="0"/>
              <w:spacing w:before="0" w:after="1"/>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91,485</w:t>
            </w:r>
          </w:p>
        </w:tc>
      </w:tr>
      <w:tr>
        <w:trPr/>
        <w:tc>
          <w:tcPr>
            <w:tcW w:w="726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3"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 </w:t>
            </w:r>
          </w:p>
        </w:tc>
        <w:tc>
          <w:tcPr>
            <w:tcW w:w="984" w:type="dxa"/>
            <w:tcBorders/>
            <w:shd w:fill="CCEEFF" w:val="clear"/>
            <w:vAlign w:val="center"/>
          </w:tcPr>
          <w:p>
            <w:pPr>
              <w:pStyle w:val="TableContents"/>
              <w:bidi w:val="0"/>
              <w:spacing w:before="0" w:after="1"/>
              <w:ind w:left="0" w:right="0" w:hanging="0"/>
              <w:jc w:val="right"/>
              <w:rPr/>
            </w:pPr>
            <w:r>
              <w:rPr/>
              <w:t>  </w:t>
            </w:r>
          </w:p>
        </w:tc>
      </w:tr>
      <w:tr>
        <w:trPr/>
        <w:tc>
          <w:tcPr>
            <w:tcW w:w="7261"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Non-Current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3"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 </w:t>
            </w:r>
          </w:p>
        </w:tc>
        <w:tc>
          <w:tcPr>
            <w:tcW w:w="984" w:type="dxa"/>
            <w:tcBorders/>
            <w:vAlign w:val="center"/>
          </w:tcPr>
          <w:p>
            <w:pPr>
              <w:pStyle w:val="TableContents"/>
              <w:bidi w:val="0"/>
              <w:spacing w:before="0" w:after="1"/>
              <w:ind w:left="0" w:right="0" w:hanging="0"/>
              <w:jc w:val="right"/>
              <w:rPr/>
            </w:pPr>
            <w:r>
              <w:rPr/>
              <w:t>  </w:t>
            </w:r>
          </w:p>
        </w:tc>
      </w:tr>
      <w:tr>
        <w:trPr/>
        <w:tc>
          <w:tcPr>
            <w:tcW w:w="726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liabilities – non-current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68,844</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 </w:t>
            </w:r>
          </w:p>
        </w:tc>
        <w:tc>
          <w:tcPr>
            <w:tcW w:w="98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71,859</w:t>
            </w:r>
          </w:p>
        </w:tc>
      </w:tr>
      <w:tr>
        <w:trPr/>
        <w:tc>
          <w:tcPr>
            <w:tcW w:w="726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tax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20,237</w:t>
            </w:r>
          </w:p>
        </w:tc>
        <w:tc>
          <w:tcPr>
            <w:tcW w:w="32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w:t>
            </w:r>
          </w:p>
        </w:tc>
        <w:tc>
          <w:tcPr>
            <w:tcW w:w="984" w:type="dxa"/>
            <w:tcBorders/>
            <w:vAlign w:val="center"/>
          </w:tcPr>
          <w:p>
            <w:pPr>
              <w:pStyle w:val="TableContents"/>
              <w:bidi w:val="0"/>
              <w:spacing w:before="0" w:after="1"/>
              <w:ind w:left="0" w:right="0" w:hanging="0"/>
              <w:jc w:val="right"/>
              <w:rPr/>
            </w:pPr>
            <w:r>
              <w:rPr/>
              <w:t>—</w:t>
            </w:r>
          </w:p>
        </w:tc>
      </w:tr>
      <w:tr>
        <w:trPr/>
        <w:tc>
          <w:tcPr>
            <w:tcW w:w="726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Long-term note payable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1,000</w:t>
            </w:r>
          </w:p>
        </w:tc>
      </w:tr>
      <w:tr>
        <w:trPr/>
        <w:tc>
          <w:tcPr>
            <w:tcW w:w="7261"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Non-Current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90,081</w:t>
            </w:r>
          </w:p>
        </w:tc>
        <w:tc>
          <w:tcPr>
            <w:tcW w:w="326" w:type="dxa"/>
            <w:tcBorders/>
            <w:vAlign w:val="center"/>
          </w:tcPr>
          <w:p>
            <w:pPr>
              <w:pStyle w:val="TableContents"/>
              <w:bidi w:val="0"/>
              <w:spacing w:before="0" w:after="1"/>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72,859</w:t>
            </w:r>
          </w:p>
        </w:tc>
      </w:tr>
      <w:tr>
        <w:trPr/>
        <w:tc>
          <w:tcPr>
            <w:tcW w:w="726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178,724</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164,344</w:t>
            </w:r>
          </w:p>
        </w:tc>
      </w:tr>
      <w:tr>
        <w:trPr/>
        <w:tc>
          <w:tcPr>
            <w:tcW w:w="72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3"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 </w:t>
            </w:r>
          </w:p>
        </w:tc>
        <w:tc>
          <w:tcPr>
            <w:tcW w:w="984" w:type="dxa"/>
            <w:tcBorders/>
            <w:vAlign w:val="center"/>
          </w:tcPr>
          <w:p>
            <w:pPr>
              <w:pStyle w:val="TableContents"/>
              <w:bidi w:val="0"/>
              <w:spacing w:before="0" w:after="1"/>
              <w:ind w:left="0" w:right="0" w:hanging="0"/>
              <w:jc w:val="right"/>
              <w:rPr/>
            </w:pPr>
            <w:r>
              <w:rPr/>
              <w:t>  </w:t>
            </w:r>
          </w:p>
        </w:tc>
      </w:tr>
      <w:tr>
        <w:trPr/>
        <w:tc>
          <w:tcPr>
            <w:tcW w:w="726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 xml:space="preserve">Commitments and contingencies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3"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 </w:t>
            </w:r>
          </w:p>
        </w:tc>
        <w:tc>
          <w:tcPr>
            <w:tcW w:w="984" w:type="dxa"/>
            <w:tcBorders/>
            <w:shd w:fill="CCEEFF" w:val="clear"/>
            <w:vAlign w:val="center"/>
          </w:tcPr>
          <w:p>
            <w:pPr>
              <w:pStyle w:val="TableContents"/>
              <w:bidi w:val="0"/>
              <w:spacing w:before="0" w:after="1"/>
              <w:ind w:left="0" w:right="0" w:hanging="0"/>
              <w:jc w:val="right"/>
              <w:rPr/>
            </w:pPr>
            <w:r>
              <w:rPr/>
              <w:t>  </w:t>
            </w:r>
          </w:p>
        </w:tc>
      </w:tr>
      <w:tr>
        <w:trPr/>
        <w:tc>
          <w:tcPr>
            <w:tcW w:w="72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3"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 </w:t>
            </w:r>
          </w:p>
        </w:tc>
        <w:tc>
          <w:tcPr>
            <w:tcW w:w="984" w:type="dxa"/>
            <w:tcBorders/>
            <w:vAlign w:val="center"/>
          </w:tcPr>
          <w:p>
            <w:pPr>
              <w:pStyle w:val="TableContents"/>
              <w:bidi w:val="0"/>
              <w:spacing w:before="0" w:after="1"/>
              <w:ind w:left="0" w:right="0" w:hanging="0"/>
              <w:jc w:val="right"/>
              <w:rPr/>
            </w:pPr>
            <w:r>
              <w:rPr/>
              <w:t>  </w:t>
            </w:r>
          </w:p>
        </w:tc>
      </w:tr>
      <w:tr>
        <w:trPr/>
        <w:tc>
          <w:tcPr>
            <w:tcW w:w="726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3"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 </w:t>
            </w:r>
          </w:p>
        </w:tc>
        <w:tc>
          <w:tcPr>
            <w:tcW w:w="984" w:type="dxa"/>
            <w:tcBorders/>
            <w:shd w:fill="CCEEFF" w:val="clear"/>
            <w:vAlign w:val="center"/>
          </w:tcPr>
          <w:p>
            <w:pPr>
              <w:pStyle w:val="TableContents"/>
              <w:bidi w:val="0"/>
              <w:spacing w:before="0" w:after="1"/>
              <w:ind w:left="0" w:right="0" w:hanging="0"/>
              <w:jc w:val="right"/>
              <w:rPr/>
            </w:pPr>
            <w:r>
              <w:rPr/>
              <w:t>  </w:t>
            </w:r>
          </w:p>
        </w:tc>
      </w:tr>
      <w:tr>
        <w:trPr/>
        <w:tc>
          <w:tcPr>
            <w:tcW w:w="726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Series A Convertible Preferred stock, $0.001 par value; 17,000 shares designated, 194 shares issued and outstanding as of June 30, 2023 and December 31, 2022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 </w:t>
            </w:r>
          </w:p>
        </w:tc>
        <w:tc>
          <w:tcPr>
            <w:tcW w:w="984" w:type="dxa"/>
            <w:tcBorders/>
            <w:vAlign w:val="center"/>
          </w:tcPr>
          <w:p>
            <w:pPr>
              <w:pStyle w:val="TableContents"/>
              <w:bidi w:val="0"/>
              <w:spacing w:before="0" w:after="1"/>
              <w:ind w:left="0" w:right="0" w:hanging="0"/>
              <w:jc w:val="right"/>
              <w:rPr/>
            </w:pPr>
            <w:r>
              <w:rPr/>
              <w:t>—</w:t>
            </w:r>
          </w:p>
        </w:tc>
      </w:tr>
      <w:tr>
        <w:trPr/>
        <w:tc>
          <w:tcPr>
            <w:tcW w:w="726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Series B Convertible Preferred stock, $0.001 par value; 11,500,000 shares designated, 2,842,158 shares issued and outstanding as of June 30, 2023 and December 31, 2022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 </w:t>
            </w:r>
          </w:p>
        </w:tc>
        <w:tc>
          <w:tcPr>
            <w:tcW w:w="98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w:t>
            </w:r>
          </w:p>
        </w:tc>
      </w:tr>
      <w:tr>
        <w:trPr/>
        <w:tc>
          <w:tcPr>
            <w:tcW w:w="7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18"/>
              </w:rPr>
              <w:t>Common stock, $0.000041666</w:t>
            </w:r>
            <w:r>
              <w:rPr>
                <w:rFonts w:ascii="Times New Roman;Times;serif" w:hAnsi="Times New Roman;Times;serif"/>
                <w:sz w:val="20"/>
              </w:rPr>
              <w:t xml:space="preserve"> </w:t>
            </w:r>
            <w:r>
              <w:rPr>
                <w:rFonts w:ascii="Times New Roman;Times;serif" w:hAnsi="Times New Roman;Times;serif"/>
                <w:sz w:val="18"/>
              </w:rPr>
              <w:t>par value; 500,000,000</w:t>
            </w:r>
            <w:r>
              <w:rPr>
                <w:rFonts w:ascii="Times New Roman;Times;serif" w:hAnsi="Times New Roman;Times;serif"/>
                <w:sz w:val="20"/>
              </w:rPr>
              <w:t xml:space="preserve"> </w:t>
            </w:r>
            <w:r>
              <w:rPr>
                <w:rFonts w:ascii="Times New Roman;Times;serif" w:hAnsi="Times New Roman;Times;serif"/>
                <w:sz w:val="18"/>
              </w:rPr>
              <w:t>shares authorized, 224,688,434</w:t>
            </w:r>
            <w:r>
              <w:rPr>
                <w:rFonts w:ascii="Times New Roman;Times;serif" w:hAnsi="Times New Roman;Times;serif"/>
                <w:sz w:val="20"/>
              </w:rPr>
              <w:t xml:space="preserve"> </w:t>
            </w:r>
            <w:r>
              <w:rPr>
                <w:rFonts w:ascii="Times New Roman;Times;serif" w:hAnsi="Times New Roman;Times;serif"/>
                <w:sz w:val="18"/>
              </w:rPr>
              <w:t>and 187,812,072</w:t>
            </w:r>
            <w:r>
              <w:rPr>
                <w:rFonts w:ascii="Times New Roman;Times;serif" w:hAnsi="Times New Roman;Times;serif"/>
                <w:sz w:val="20"/>
              </w:rPr>
              <w:t xml:space="preserve"> </w:t>
            </w:r>
            <w:r>
              <w:rPr>
                <w:rFonts w:ascii="Times New Roman;Times;serif" w:hAnsi="Times New Roman;Times;serif"/>
                <w:sz w:val="18"/>
              </w:rPr>
              <w:t xml:space="preserve">shares </w:t>
            </w:r>
            <w:r>
              <w:rPr>
                <w:rFonts w:ascii="Times New Roman;Times;serif" w:hAnsi="Times New Roman;Times;serif"/>
                <w:b w:val="false"/>
                <w:i w:val="false"/>
                <w:caps w:val="false"/>
                <w:smallCaps w:val="false"/>
                <w:sz w:val="18"/>
              </w:rPr>
              <w:t>issued</w:t>
            </w:r>
            <w:r>
              <w:rPr>
                <w:rFonts w:ascii="Times New Roman;Times;serif" w:hAnsi="Times New Roman;Times;serif"/>
                <w:sz w:val="20"/>
              </w:rPr>
              <w:t xml:space="preserve"> </w:t>
            </w:r>
            <w:r>
              <w:rPr>
                <w:rFonts w:ascii="Times New Roman;Times;serif" w:hAnsi="Times New Roman;Times;serif"/>
                <w:sz w:val="18"/>
              </w:rPr>
              <w:t xml:space="preserve">and </w:t>
            </w:r>
            <w:r>
              <w:rPr>
                <w:rFonts w:ascii="Times New Roman;Times;serif" w:hAnsi="Times New Roman;Times;serif"/>
                <w:b w:val="false"/>
                <w:i w:val="false"/>
                <w:caps w:val="false"/>
                <w:smallCaps w:val="false"/>
                <w:sz w:val="18"/>
              </w:rPr>
              <w:t>outstanding</w:t>
            </w:r>
            <w:r>
              <w:rPr>
                <w:rFonts w:ascii="Times New Roman;Times;serif" w:hAnsi="Times New Roman;Times;serif"/>
                <w:sz w:val="20"/>
              </w:rPr>
              <w:t xml:space="preserve"> </w:t>
            </w:r>
            <w:r>
              <w:rPr>
                <w:rFonts w:ascii="Times New Roman;Times;serif" w:hAnsi="Times New Roman;Times;serif"/>
                <w:sz w:val="18"/>
              </w:rPr>
              <w:t>as of June 30, 2023 and December 31, 2022, respectively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w:t>
            </w:r>
          </w:p>
        </w:tc>
        <w:tc>
          <w:tcPr>
            <w:tcW w:w="32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 </w:t>
            </w:r>
          </w:p>
        </w:tc>
        <w:tc>
          <w:tcPr>
            <w:tcW w:w="98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w:t>
            </w:r>
          </w:p>
        </w:tc>
      </w:tr>
      <w:tr>
        <w:trPr/>
        <w:tc>
          <w:tcPr>
            <w:tcW w:w="726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Accumulated other comprehensive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325</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 </w:t>
            </w:r>
          </w:p>
        </w:tc>
        <w:tc>
          <w:tcPr>
            <w:tcW w:w="98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(902)</w:t>
            </w:r>
          </w:p>
        </w:tc>
      </w:tr>
      <w:tr>
        <w:trPr/>
        <w:tc>
          <w:tcPr>
            <w:tcW w:w="726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2,360,468</w:t>
            </w:r>
          </w:p>
        </w:tc>
        <w:tc>
          <w:tcPr>
            <w:tcW w:w="32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 </w:t>
            </w:r>
          </w:p>
        </w:tc>
        <w:tc>
          <w:tcPr>
            <w:tcW w:w="98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2,068,867</w:t>
            </w:r>
          </w:p>
        </w:tc>
      </w:tr>
      <w:tr>
        <w:trPr/>
        <w:tc>
          <w:tcPr>
            <w:tcW w:w="726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Accumulated deficit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(1,782,236)</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(1,568,338)</w:t>
            </w:r>
          </w:p>
        </w:tc>
      </w:tr>
      <w:tr>
        <w:trPr/>
        <w:tc>
          <w:tcPr>
            <w:tcW w:w="7261"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Stockholders’ Equity</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578,569</w:t>
            </w:r>
          </w:p>
        </w:tc>
        <w:tc>
          <w:tcPr>
            <w:tcW w:w="326" w:type="dxa"/>
            <w:tcBorders/>
            <w:vAlign w:val="center"/>
          </w:tcPr>
          <w:p>
            <w:pPr>
              <w:pStyle w:val="TableContents"/>
              <w:bidi w:val="0"/>
              <w:spacing w:before="0" w:after="1"/>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499,638</w:t>
            </w:r>
          </w:p>
        </w:tc>
      </w:tr>
      <w:tr>
        <w:trPr/>
        <w:tc>
          <w:tcPr>
            <w:tcW w:w="726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Liabilities and 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757,293</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84"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663,982</w:t>
            </w:r>
          </w:p>
        </w:tc>
      </w:tr>
    </w:tbl>
    <w:p>
      <w:pPr>
        <w:pStyle w:val="TextBody"/>
        <w:bidi w:val="0"/>
        <w:spacing w:before="0" w:after="200"/>
        <w:ind w:left="0" w:right="0" w:hanging="0"/>
        <w:jc w:val="left"/>
        <w:rPr/>
      </w:pPr>
      <w:r>
        <w:rPr/>
        <w:t>​</w:t>
      </w:r>
    </w:p>
    <w:p>
      <w:pPr>
        <w:pStyle w:val="TextBody"/>
        <w:bidi w:val="0"/>
        <w:spacing w:before="0" w:after="200"/>
        <w:ind w:left="0" w:right="0" w:firstLine="547"/>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47" w:name="_cb0b84ef_ca01_4181_931a_4914b11d0d4a"/>
      <w:bookmarkEnd w:id="147"/>
      <w:r>
        <w:rPr>
          <w:rFonts w:ascii="Times New Roman;Times;serif" w:hAnsi="Times New Roman;Times;serif"/>
          <w:b/>
          <w:sz w:val="20"/>
        </w:rPr>
        <w:t>IOVANCE BIOTHERAPEUTICS,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per share information)</w:t>
      </w:r>
    </w:p>
    <w:p>
      <w:pPr>
        <w:pStyle w:val="TextBody"/>
        <w:bidi w:val="0"/>
        <w:spacing w:before="0" w:after="200"/>
        <w:ind w:left="0" w:right="0" w:hanging="0"/>
        <w:jc w:val="center"/>
        <w:rPr/>
      </w:pPr>
      <w:r>
        <w:rPr/>
        <w:t>​</w:t>
      </w:r>
    </w:p>
    <w:p>
      <w:pPr>
        <w:pStyle w:val="Normal"/>
        <w:bidi w:val="0"/>
        <w:spacing w:before="0" w:after="0"/>
        <w:jc w:val="left"/>
        <w:rPr>
          <w:sz w:val="4"/>
          <w:szCs w:val="4"/>
        </w:rPr>
      </w:pPr>
      <w:r>
        <w:rPr>
          <w:sz w:val="4"/>
          <w:szCs w:val="4"/>
        </w:rPr>
      </w:r>
      <w:bookmarkStart w:id="148" w:name="Tc_uWWuS7gVZEifH6OBjmesYw_22_0"/>
      <w:bookmarkStart w:id="149" w:name="Tc_5_7KH9-KxESMDZ73_-CsVg_21_11"/>
      <w:bookmarkStart w:id="150" w:name="Tc_ykWzOMFvH0ey4jUujqsHeQ_21_8"/>
      <w:bookmarkStart w:id="151" w:name="Tc_iz-Yaxf1XkaffzZVXpphcg_21_5"/>
      <w:bookmarkStart w:id="152" w:name="Tc_Kl9VnTFCTUSJdA8CdEyHlw_21_2"/>
      <w:bookmarkStart w:id="153" w:name="Tc_wOulQA5ah0CKSHvR6xcsCg_21_0"/>
      <w:bookmarkStart w:id="154" w:name="Tc_KuLmsdKhS0q_Liza9ucfzA_20_11"/>
      <w:bookmarkStart w:id="155" w:name="Tc_vHN4--4-2UqF2nxDyYrpEg_20_8"/>
      <w:bookmarkStart w:id="156" w:name="Tc_45gvfSQea0W9_NCZtcsQhQ_20_5"/>
      <w:bookmarkStart w:id="157" w:name="Tc_2d-faChTBkubendDDzV21w_20_2"/>
      <w:bookmarkStart w:id="158" w:name="Tc_n3LQ-ySdlE2bt7uB8f9Cwg_20_0"/>
      <w:bookmarkStart w:id="159" w:name="Tc_y9J2lEe3cU-hmkcrxJ207w_19_12"/>
      <w:bookmarkStart w:id="160" w:name="Tc_Hwh93xBoqk-1z0puITqsgQ_19_6"/>
      <w:bookmarkStart w:id="161" w:name="Tc_LiKwrt7MUEC2q2sjDzB0fA_19_0"/>
      <w:bookmarkStart w:id="162" w:name="Tc_ptC3FeU3HEmUwq8wUwrM9Q_18_11"/>
      <w:bookmarkStart w:id="163" w:name="Tc_tMj4jfOKX02uHublEIn_gA_18_8"/>
      <w:bookmarkStart w:id="164" w:name="Tc_4ksvizEcwk23YT1Vs0awJg_18_5"/>
      <w:bookmarkStart w:id="165" w:name="Tc_rEz4JAta60SCi0QSwLQ2uA_18_2"/>
      <w:bookmarkStart w:id="166" w:name="Tc_qnfvVI8z5EySgglYEQoDdQ_18_0"/>
      <w:bookmarkStart w:id="167" w:name="Tc_z73dYZ5zVUCCMM5aP1WWSg_17_0"/>
      <w:bookmarkStart w:id="168" w:name="Tc_Y4vEGiOBqEmL6MPm2XoUmA_16_0"/>
      <w:bookmarkStart w:id="169" w:name="Tc_6QaJrpgYfEil2eZfaQa6WA_15_0"/>
      <w:bookmarkStart w:id="170" w:name="Tc_7D-DlFTQwE-Au5BaA_wqew_13_0"/>
      <w:bookmarkStart w:id="171" w:name="Tc_Kfp2l84UpU6e2mZEyGtDSg_12_0"/>
      <w:bookmarkStart w:id="172" w:name="Tc_n5oNwmDpXkWwAtQMLbkkwg_11_0"/>
      <w:bookmarkStart w:id="173" w:name="Tc_7fCTDYciWU-_g6XQAk3E3w_10_12"/>
      <w:bookmarkStart w:id="174" w:name="Tc_j0im0dCztUWziiUvRh2Y1A_10_11"/>
      <w:bookmarkStart w:id="175" w:name="Tc_JTGWDoGXZ0GdmXl8fhuGJg_10_8"/>
      <w:bookmarkStart w:id="176" w:name="Tc_7jV_Nu5rAU2YU5_QEHDTYw_10_6"/>
      <w:bookmarkStart w:id="177" w:name="Tc_ACi8ojhQrk6Q7j55C0YJuw_10_5"/>
      <w:bookmarkStart w:id="178" w:name="Tc_dp-AIFJnwE-RQaUkD35SMg_10_2"/>
      <w:bookmarkStart w:id="179" w:name="Tc_9yYjeSu0zE-4ad-rCOG09g_10_0"/>
      <w:bookmarkStart w:id="180" w:name="Tc_vScf23piS06uRlPTvan-zQ_9_0"/>
      <w:bookmarkStart w:id="181" w:name="Tc_6PN-2ooDPEyIi1jSkRJOuw_7_12"/>
      <w:bookmarkStart w:id="182" w:name="Tc_vObQIoeW2EexVrjA6C8QMA_7_6"/>
      <w:bookmarkStart w:id="183" w:name="Tc_qAFpwuYgMUifNJYSLjmWag_7_0"/>
      <w:bookmarkStart w:id="184" w:name="Tc_e1Qlm5cxu0uMr8oQ0ZWxrg_6_12"/>
      <w:bookmarkStart w:id="185" w:name="Tc_5E0i2jWo8EGn_BlFSQL7jA_6_11"/>
      <w:bookmarkStart w:id="186" w:name="Tc_61Q87zJNVUKisedTPPJxyA_6_8"/>
      <w:bookmarkStart w:id="187" w:name="Tc_eQYu7Lai8ESdtQw9vsKe0g_6_6"/>
      <w:bookmarkStart w:id="188" w:name="Tc_0bB7HYBU30Of7gwXFLOGYQ_6_5"/>
      <w:bookmarkStart w:id="189" w:name="Tc_4NvJ5KQ_4EGdUH5Oz_WdEA_6_2"/>
      <w:bookmarkStart w:id="190" w:name="Tc_KyHUdPrhFkKncHG73TOMGA_5_0"/>
      <w:bookmarkStart w:id="191" w:name="Tc_uUYLlU1s-EKCAJwr1Xx6QQ_3_11"/>
      <w:bookmarkStart w:id="192" w:name="Tc_oQqzIgB0VEmV9HDhipy7xw_3_8"/>
      <w:bookmarkStart w:id="193" w:name="Tc_1yerJgU9ikKhpRCuhdrMaQ_3_5"/>
      <w:bookmarkStart w:id="194" w:name="Tc_xM6IKHpgRkalGzmiL_6Uqg_3_2"/>
      <w:bookmarkStart w:id="195" w:name="Tc_I2Q6UAgcIUmEZ0uGeK61yw_2_8"/>
      <w:bookmarkStart w:id="196" w:name="Tc_OIBrvkHczEqnUHSwlAMCzA_2_2"/>
      <w:bookmarkStart w:id="197" w:name="Tc_XFUg5zNY-0ej7mjBa9tYfw_1_8"/>
      <w:bookmarkStart w:id="198" w:name="Tc_z5QFQc1U1ESQWUq6hdZsFw_1_2"/>
      <w:bookmarkStart w:id="199" w:name="_d4781a8d_9dfc_4fe7_bba2_bf327f2315d5"/>
      <w:bookmarkStart w:id="200" w:name="_6f65ba26_e2d8_4cf5_995d_02cf0e124f9c"/>
      <w:bookmarkStart w:id="201" w:name="Tc_uWWuS7gVZEifH6OBjmesYw_22_0"/>
      <w:bookmarkStart w:id="202" w:name="Tc_5_7KH9-KxESMDZ73_-CsVg_21_11"/>
      <w:bookmarkStart w:id="203" w:name="Tc_ykWzOMFvH0ey4jUujqsHeQ_21_8"/>
      <w:bookmarkStart w:id="204" w:name="Tc_iz-Yaxf1XkaffzZVXpphcg_21_5"/>
      <w:bookmarkStart w:id="205" w:name="Tc_Kl9VnTFCTUSJdA8CdEyHlw_21_2"/>
      <w:bookmarkStart w:id="206" w:name="Tc_wOulQA5ah0CKSHvR6xcsCg_21_0"/>
      <w:bookmarkStart w:id="207" w:name="Tc_KuLmsdKhS0q_Liza9ucfzA_20_11"/>
      <w:bookmarkStart w:id="208" w:name="Tc_vHN4--4-2UqF2nxDyYrpEg_20_8"/>
      <w:bookmarkStart w:id="209" w:name="Tc_45gvfSQea0W9_NCZtcsQhQ_20_5"/>
      <w:bookmarkStart w:id="210" w:name="Tc_2d-faChTBkubendDDzV21w_20_2"/>
      <w:bookmarkStart w:id="211" w:name="Tc_n3LQ-ySdlE2bt7uB8f9Cwg_20_0"/>
      <w:bookmarkStart w:id="212" w:name="Tc_y9J2lEe3cU-hmkcrxJ207w_19_12"/>
      <w:bookmarkStart w:id="213" w:name="Tc_Hwh93xBoqk-1z0puITqsgQ_19_6"/>
      <w:bookmarkStart w:id="214" w:name="Tc_LiKwrt7MUEC2q2sjDzB0fA_19_0"/>
      <w:bookmarkStart w:id="215" w:name="Tc_ptC3FeU3HEmUwq8wUwrM9Q_18_11"/>
      <w:bookmarkStart w:id="216" w:name="Tc_tMj4jfOKX02uHublEIn_gA_18_8"/>
      <w:bookmarkStart w:id="217" w:name="Tc_4ksvizEcwk23YT1Vs0awJg_18_5"/>
      <w:bookmarkStart w:id="218" w:name="Tc_rEz4JAta60SCi0QSwLQ2uA_18_2"/>
      <w:bookmarkStart w:id="219" w:name="Tc_qnfvVI8z5EySgglYEQoDdQ_18_0"/>
      <w:bookmarkStart w:id="220" w:name="Tc_z73dYZ5zVUCCMM5aP1WWSg_17_0"/>
      <w:bookmarkStart w:id="221" w:name="Tc_Y4vEGiOBqEmL6MPm2XoUmA_16_0"/>
      <w:bookmarkStart w:id="222" w:name="Tc_6QaJrpgYfEil2eZfaQa6WA_15_0"/>
      <w:bookmarkStart w:id="223" w:name="Tc_7D-DlFTQwE-Au5BaA_wqew_13_0"/>
      <w:bookmarkStart w:id="224" w:name="Tc_Kfp2l84UpU6e2mZEyGtDSg_12_0"/>
      <w:bookmarkStart w:id="225" w:name="Tc_n5oNwmDpXkWwAtQMLbkkwg_11_0"/>
      <w:bookmarkStart w:id="226" w:name="Tc_7fCTDYciWU-_g6XQAk3E3w_10_12"/>
      <w:bookmarkStart w:id="227" w:name="Tc_j0im0dCztUWziiUvRh2Y1A_10_11"/>
      <w:bookmarkStart w:id="228" w:name="Tc_JTGWDoGXZ0GdmXl8fhuGJg_10_8"/>
      <w:bookmarkStart w:id="229" w:name="Tc_7jV_Nu5rAU2YU5_QEHDTYw_10_6"/>
      <w:bookmarkStart w:id="230" w:name="Tc_ACi8ojhQrk6Q7j55C0YJuw_10_5"/>
      <w:bookmarkStart w:id="231" w:name="Tc_dp-AIFJnwE-RQaUkD35SMg_10_2"/>
      <w:bookmarkStart w:id="232" w:name="Tc_9yYjeSu0zE-4ad-rCOG09g_10_0"/>
      <w:bookmarkStart w:id="233" w:name="Tc_vScf23piS06uRlPTvan-zQ_9_0"/>
      <w:bookmarkStart w:id="234" w:name="Tc_6PN-2ooDPEyIi1jSkRJOuw_7_12"/>
      <w:bookmarkStart w:id="235" w:name="Tc_vObQIoeW2EexVrjA6C8QMA_7_6"/>
      <w:bookmarkStart w:id="236" w:name="Tc_qAFpwuYgMUifNJYSLjmWag_7_0"/>
      <w:bookmarkStart w:id="237" w:name="Tc_e1Qlm5cxu0uMr8oQ0ZWxrg_6_12"/>
      <w:bookmarkStart w:id="238" w:name="Tc_5E0i2jWo8EGn_BlFSQL7jA_6_11"/>
      <w:bookmarkStart w:id="239" w:name="Tc_61Q87zJNVUKisedTPPJxyA_6_8"/>
      <w:bookmarkStart w:id="240" w:name="Tc_eQYu7Lai8ESdtQw9vsKe0g_6_6"/>
      <w:bookmarkStart w:id="241" w:name="Tc_0bB7HYBU30Of7gwXFLOGYQ_6_5"/>
      <w:bookmarkStart w:id="242" w:name="Tc_4NvJ5KQ_4EGdUH5Oz_WdEA_6_2"/>
      <w:bookmarkStart w:id="243" w:name="Tc_KyHUdPrhFkKncHG73TOMGA_5_0"/>
      <w:bookmarkStart w:id="244" w:name="Tc_uUYLlU1s-EKCAJwr1Xx6QQ_3_11"/>
      <w:bookmarkStart w:id="245" w:name="Tc_oQqzIgB0VEmV9HDhipy7xw_3_8"/>
      <w:bookmarkStart w:id="246" w:name="Tc_1yerJgU9ikKhpRCuhdrMaQ_3_5"/>
      <w:bookmarkStart w:id="247" w:name="Tc_xM6IKHpgRkalGzmiL_6Uqg_3_2"/>
      <w:bookmarkStart w:id="248" w:name="Tc_I2Q6UAgcIUmEZ0uGeK61yw_2_8"/>
      <w:bookmarkStart w:id="249" w:name="Tc_OIBrvkHczEqnUHSwlAMCzA_2_2"/>
      <w:bookmarkStart w:id="250" w:name="Tc_XFUg5zNY-0ej7mjBa9tYfw_1_8"/>
      <w:bookmarkStart w:id="251" w:name="Tc_z5QFQc1U1ESQWUq6hdZsFw_1_2"/>
      <w:bookmarkStart w:id="252" w:name="_d4781a8d_9dfc_4fe7_bba2_bf327f2315d5"/>
      <w:bookmarkStart w:id="253" w:name="_6f65ba26_e2d8_4cf5_995d_02cf0e124f9c"/>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p>
    <w:tbl>
      <w:tblPr>
        <w:tblW w:w="10205" w:type="dxa"/>
        <w:jc w:val="left"/>
        <w:tblInd w:w="0" w:type="dxa"/>
        <w:tblLayout w:type="fixed"/>
        <w:tblCellMar>
          <w:top w:w="0" w:type="dxa"/>
          <w:left w:w="0" w:type="dxa"/>
          <w:bottom w:w="0" w:type="dxa"/>
          <w:right w:w="0" w:type="dxa"/>
        </w:tblCellMar>
      </w:tblPr>
      <w:tblGrid>
        <w:gridCol w:w="4790"/>
        <w:gridCol w:w="109"/>
        <w:gridCol w:w="211"/>
        <w:gridCol w:w="881"/>
        <w:gridCol w:w="326"/>
        <w:gridCol w:w="211"/>
        <w:gridCol w:w="791"/>
        <w:gridCol w:w="326"/>
        <w:gridCol w:w="211"/>
        <w:gridCol w:w="881"/>
        <w:gridCol w:w="326"/>
        <w:gridCol w:w="211"/>
        <w:gridCol w:w="931"/>
      </w:tblGrid>
      <w:tr>
        <w:trPr/>
        <w:tc>
          <w:tcPr>
            <w:tcW w:w="4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3041650" cy="175260"/>
                      <wp:effectExtent l="0" t="0" r="0" b="0"/>
                      <wp:wrapNone/>
                      <wp:docPr id="8" name="Frame8"/>
                      <a:graphic xmlns:a="http://schemas.openxmlformats.org/drawingml/2006/main">
                        <a:graphicData uri="http://schemas.microsoft.com/office/word/2010/wordprocessingShape">
                          <wps:wsp>
                            <wps:cNvSpPr txBox="1"/>
                            <wps:spPr>
                              <a:xfrm>
                                <a:off x="0" y="0"/>
                                <a:ext cx="3041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9215" cy="175260"/>
                      <wp:effectExtent l="0" t="0" r="0" b="0"/>
                      <wp:wrapNone/>
                      <wp:docPr id="9" name="Frame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3985" cy="175260"/>
                      <wp:effectExtent l="0" t="0" r="0" b="0"/>
                      <wp:wrapNone/>
                      <wp:docPr id="10" name="Frame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559435" cy="175260"/>
                      <wp:effectExtent l="0" t="0" r="0" b="0"/>
                      <wp:wrapNone/>
                      <wp:docPr id="11" name="Frame11"/>
                      <a:graphic xmlns:a="http://schemas.openxmlformats.org/drawingml/2006/main">
                        <a:graphicData uri="http://schemas.microsoft.com/office/word/2010/wordprocessingShape">
                          <wps:wsp>
                            <wps:cNvSpPr txBox="1"/>
                            <wps:spPr>
                              <a:xfrm>
                                <a:off x="0" y="0"/>
                                <a:ext cx="559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12"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3"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02285" cy="175260"/>
                      <wp:effectExtent l="0" t="0" r="0" b="0"/>
                      <wp:wrapNone/>
                      <wp:docPr id="14" name="Frame14"/>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559435" cy="175260"/>
                      <wp:effectExtent l="0" t="0" r="0" b="0"/>
                      <wp:wrapNone/>
                      <wp:docPr id="17" name="Frame17"/>
                      <a:graphic xmlns:a="http://schemas.openxmlformats.org/drawingml/2006/main">
                        <a:graphicData uri="http://schemas.microsoft.com/office/word/2010/wordprocessingShape">
                          <wps:wsp>
                            <wps:cNvSpPr txBox="1"/>
                            <wps:spPr>
                              <a:xfrm>
                                <a:off x="0" y="0"/>
                                <a:ext cx="559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8"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19"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591185" cy="175260"/>
                      <wp:effectExtent l="0" t="0" r="0" b="0"/>
                      <wp:wrapNone/>
                      <wp:docPr id="20" name="Frame2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9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2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1"/>
              <w:ind w:left="0" w:right="0" w:hanging="0"/>
              <w:jc w:val="left"/>
              <w:rPr/>
            </w:pPr>
            <w:r>
              <w:rPr/>
              <w:t>​</w:t>
            </w:r>
          </w:p>
        </w:tc>
        <w:tc>
          <w:tcPr>
            <w:tcW w:w="256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79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left"/>
              <w:rPr/>
            </w:pPr>
            <w:r>
              <w:rPr/>
              <w:t>​</w:t>
            </w:r>
          </w:p>
        </w:tc>
        <w:tc>
          <w:tcPr>
            <w:tcW w:w="256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79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0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10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79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r>
      <w:tr>
        <w:trPr/>
        <w:tc>
          <w:tcPr>
            <w:tcW w:w="479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r>
      <w:tr>
        <w:trPr/>
        <w:tc>
          <w:tcPr>
            <w:tcW w:w="4790"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revenue</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47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79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r>
      <w:tr>
        <w:trPr/>
        <w:tc>
          <w:tcPr>
            <w:tcW w:w="479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Costs and expenses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1" w:type="dxa"/>
            <w:tcBorders/>
            <w:shd w:fill="CCEEFF" w:val="clear"/>
            <w:vAlign w:val="center"/>
          </w:tcPr>
          <w:p>
            <w:pPr>
              <w:pStyle w:val="TableContents"/>
              <w:bidi w:val="0"/>
              <w:spacing w:before="0" w:after="1"/>
              <w:ind w:left="0" w:right="0" w:hanging="0"/>
              <w:jc w:val="right"/>
              <w:rPr>
                <w:color w:val="FF0000"/>
              </w:rPr>
            </w:pPr>
            <w:r>
              <w:rPr>
                <w:color w:val="FF0000"/>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r>
      <w:tr>
        <w:trPr/>
        <w:tc>
          <w:tcPr>
            <w:tcW w:w="47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pPr>
            <w:r>
              <w:rPr/>
              <w:t>—</w:t>
            </w:r>
          </w:p>
        </w:tc>
      </w:tr>
      <w:tr>
        <w:trPr/>
        <w:tc>
          <w:tcPr>
            <w:tcW w:w="47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Research and development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86,347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73,406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169,081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141,706</w:t>
            </w:r>
          </w:p>
        </w:tc>
      </w:tr>
      <w:tr>
        <w:trPr/>
        <w:tc>
          <w:tcPr>
            <w:tcW w:w="47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Selling, general and administrative </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21,927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26,328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50,049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49,741</w:t>
            </w:r>
          </w:p>
        </w:tc>
      </w:tr>
      <w:tr>
        <w:trPr/>
        <w:tc>
          <w:tcPr>
            <w:tcW w:w="47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costs and expenses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110,324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99,734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221,180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191,447</w:t>
            </w:r>
          </w:p>
        </w:tc>
      </w:tr>
      <w:tr>
        <w:trPr/>
        <w:tc>
          <w:tcPr>
            <w:tcW w:w="479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1" w:type="dxa"/>
            <w:tcBorders/>
            <w:vAlign w:val="center"/>
          </w:tcPr>
          <w:p>
            <w:pPr>
              <w:pStyle w:val="TableContents"/>
              <w:bidi w:val="0"/>
              <w:spacing w:before="0" w:after="1"/>
              <w:ind w:left="0" w:right="0" w:hanging="0"/>
              <w:jc w:val="right"/>
              <w:rPr>
                <w:color w:val="FF0000"/>
              </w:rPr>
            </w:pPr>
            <w:r>
              <w:rPr>
                <w:color w:val="FF0000"/>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  </w:t>
            </w:r>
          </w:p>
        </w:tc>
      </w:tr>
      <w:tr>
        <w:trPr/>
        <w:tc>
          <w:tcPr>
            <w:tcW w:w="479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Loss from operations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(110,086)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(99,734)</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(220,942)</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(191,447)</w:t>
            </w:r>
          </w:p>
        </w:tc>
      </w:tr>
      <w:tr>
        <w:trPr/>
        <w:tc>
          <w:tcPr>
            <w:tcW w:w="479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income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  </w:t>
            </w:r>
          </w:p>
        </w:tc>
      </w:tr>
      <w:tr>
        <w:trPr/>
        <w:tc>
          <w:tcPr>
            <w:tcW w:w="47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net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6,567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491</w:t>
            </w:r>
          </w:p>
        </w:tc>
      </w:tr>
      <w:tr>
        <w:trPr/>
        <w:tc>
          <w:tcPr>
            <w:tcW w:w="479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 before income taxes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(107,005)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(99,349)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(214,375)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(190,956)</w:t>
            </w:r>
          </w:p>
        </w:tc>
      </w:tr>
      <w:tr>
        <w:trPr/>
        <w:tc>
          <w:tcPr>
            <w:tcW w:w="47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benefit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79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Net Loss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(106,528)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(99,349)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(213,898)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(190,956)</w:t>
            </w:r>
          </w:p>
        </w:tc>
      </w:tr>
      <w:tr>
        <w:trPr/>
        <w:tc>
          <w:tcPr>
            <w:tcW w:w="479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 Per Share of Common Stock, Basic and Diluted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w:t>
            </w:r>
          </w:p>
        </w:tc>
      </w:tr>
      <w:tr>
        <w:trPr/>
        <w:tc>
          <w:tcPr>
            <w:tcW w:w="479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Weighted Average Shares of Common Stock Outstanding, Basic and Diluted</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8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224,481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7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157,274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8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219,117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157,194</w:t>
            </w:r>
          </w:p>
        </w:tc>
      </w:tr>
    </w:tbl>
    <w:p>
      <w:pPr>
        <w:pStyle w:val="TextBody"/>
        <w:bidi w:val="0"/>
        <w:spacing w:before="0" w:after="200"/>
        <w:ind w:left="0" w:right="0" w:hanging="0"/>
        <w:jc w:val="left"/>
        <w:rPr/>
      </w:pPr>
      <w:r>
        <w:rPr/>
        <w:t>​</w:t>
      </w:r>
    </w:p>
    <w:p>
      <w:pPr>
        <w:pStyle w:val="TextBody"/>
        <w:bidi w:val="0"/>
        <w:spacing w:before="0" w:after="200"/>
        <w:ind w:left="0" w:right="0" w:firstLine="547"/>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54" w:name="_bf82c1ee_f02a_482b_8dff_e278c2ecfe0e"/>
      <w:bookmarkEnd w:id="254"/>
      <w:r>
        <w:rPr>
          <w:rFonts w:ascii="Times New Roman;Times;serif" w:hAnsi="Times New Roman;Times;serif"/>
          <w:b/>
          <w:sz w:val="20"/>
        </w:rPr>
        <w:t>IOVANCE BIOTHERAPEUTICS,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Comprehensive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TextBody"/>
        <w:bidi w:val="0"/>
        <w:spacing w:before="0" w:after="200"/>
        <w:ind w:left="0" w:right="0" w:hanging="0"/>
        <w:jc w:val="center"/>
        <w:rPr/>
      </w:pPr>
      <w:r>
        <w:rPr/>
        <w:t>​</w:t>
      </w:r>
    </w:p>
    <w:p>
      <w:pPr>
        <w:pStyle w:val="Normal"/>
        <w:bidi w:val="0"/>
        <w:spacing w:before="0" w:after="0"/>
        <w:jc w:val="left"/>
        <w:rPr>
          <w:sz w:val="4"/>
          <w:szCs w:val="4"/>
        </w:rPr>
      </w:pPr>
      <w:r>
        <w:rPr>
          <w:sz w:val="4"/>
          <w:szCs w:val="4"/>
        </w:rPr>
      </w:r>
      <w:bookmarkStart w:id="255" w:name="Tc_bZMAfuHcmUeqBI2pA1KTwQ_8_11"/>
      <w:bookmarkStart w:id="256" w:name="Tc_DISG2_omW0CF378TtprnEQ_8_8"/>
      <w:bookmarkStart w:id="257" w:name="Tc_NixMD9Fp2k-31L7gbegeiw_8_5"/>
      <w:bookmarkStart w:id="258" w:name="Tc_3IZDKZM-okGDv91abjY0RA_8_2"/>
      <w:bookmarkStart w:id="259" w:name="Tc_z60NiCdl0Ee2Qi5cIGeVtA_8_0"/>
      <w:bookmarkStart w:id="260" w:name="Tc_1GdnZqWnTUyRFq79CFIvNA_7_12"/>
      <w:bookmarkStart w:id="261" w:name="Tc_fWk60olyfUWLG8l40Bn5Xg_7_6"/>
      <w:bookmarkStart w:id="262" w:name="Tc_p22AoHp760e79wJ2psPNJA_7_0"/>
      <w:bookmarkStart w:id="263" w:name="Tc_FVMlewoG1UCAz_oNCxLddQ_6_0"/>
      <w:bookmarkStart w:id="264" w:name="Tc_Z3xUsg_8qUypvsB_SoT-eA_5_0"/>
      <w:bookmarkStart w:id="265" w:name="Tc_1OaafnVQSEypB8TKwKDsUg_4_11"/>
      <w:bookmarkStart w:id="266" w:name="Tc_TaNj9Nl7UUe_8deE2cN0YQ_4_8"/>
      <w:bookmarkStart w:id="267" w:name="Tc_50KxDzxpZUahbwTYVCit4A_4_5"/>
      <w:bookmarkStart w:id="268" w:name="Tc_iK0TGFJ4a0ucwt02h7O6dg_4_2"/>
      <w:bookmarkStart w:id="269" w:name="Tc__3B52_u_bkWhHMrjciHb2w_4_0"/>
      <w:bookmarkStart w:id="270" w:name="Tc_MOSaT8hX40CkfHb5M6ywyQ_3_11"/>
      <w:bookmarkStart w:id="271" w:name="Tc_CPq5l2i9EEamuplGjj4d7w_3_8"/>
      <w:bookmarkStart w:id="272" w:name="Tc_hCV8WTAd80KsDqIaDt0Qvw_3_5"/>
      <w:bookmarkStart w:id="273" w:name="Tc_41iOnGDbaUm2CfERwPoq0g_3_2"/>
      <w:bookmarkStart w:id="274" w:name="Tc_O0OgnQCq90a8z6AE4PNsNw_2_8"/>
      <w:bookmarkStart w:id="275" w:name="Tc_pexMNbSl7UScKE45q9hbOQ_2_2"/>
      <w:bookmarkStart w:id="276" w:name="Tc_ckWttNChBU2gU192qBjm4w_1_8"/>
      <w:bookmarkStart w:id="277" w:name="Tc_MMEfVMixoUaSjVA9mShgqQ_1_2"/>
      <w:bookmarkStart w:id="278" w:name="_37566bda_f13a_4695_981c_30558b3ab3d2"/>
      <w:bookmarkStart w:id="279" w:name="Tc_bZMAfuHcmUeqBI2pA1KTwQ_8_11"/>
      <w:bookmarkStart w:id="280" w:name="Tc_DISG2_omW0CF378TtprnEQ_8_8"/>
      <w:bookmarkStart w:id="281" w:name="Tc_NixMD9Fp2k-31L7gbegeiw_8_5"/>
      <w:bookmarkStart w:id="282" w:name="Tc_3IZDKZM-okGDv91abjY0RA_8_2"/>
      <w:bookmarkStart w:id="283" w:name="Tc_z60NiCdl0Ee2Qi5cIGeVtA_8_0"/>
      <w:bookmarkStart w:id="284" w:name="Tc_1GdnZqWnTUyRFq79CFIvNA_7_12"/>
      <w:bookmarkStart w:id="285" w:name="Tc_fWk60olyfUWLG8l40Bn5Xg_7_6"/>
      <w:bookmarkStart w:id="286" w:name="Tc_p22AoHp760e79wJ2psPNJA_7_0"/>
      <w:bookmarkStart w:id="287" w:name="Tc_FVMlewoG1UCAz_oNCxLddQ_6_0"/>
      <w:bookmarkStart w:id="288" w:name="Tc_Z3xUsg_8qUypvsB_SoT-eA_5_0"/>
      <w:bookmarkStart w:id="289" w:name="Tc_1OaafnVQSEypB8TKwKDsUg_4_11"/>
      <w:bookmarkStart w:id="290" w:name="Tc_TaNj9Nl7UUe_8deE2cN0YQ_4_8"/>
      <w:bookmarkStart w:id="291" w:name="Tc_50KxDzxpZUahbwTYVCit4A_4_5"/>
      <w:bookmarkStart w:id="292" w:name="Tc_iK0TGFJ4a0ucwt02h7O6dg_4_2"/>
      <w:bookmarkStart w:id="293" w:name="Tc__3B52_u_bkWhHMrjciHb2w_4_0"/>
      <w:bookmarkStart w:id="294" w:name="Tc_MOSaT8hX40CkfHb5M6ywyQ_3_11"/>
      <w:bookmarkStart w:id="295" w:name="Tc_CPq5l2i9EEamuplGjj4d7w_3_8"/>
      <w:bookmarkStart w:id="296" w:name="Tc_hCV8WTAd80KsDqIaDt0Qvw_3_5"/>
      <w:bookmarkStart w:id="297" w:name="Tc_41iOnGDbaUm2CfERwPoq0g_3_2"/>
      <w:bookmarkStart w:id="298" w:name="Tc_O0OgnQCq90a8z6AE4PNsNw_2_8"/>
      <w:bookmarkStart w:id="299" w:name="Tc_pexMNbSl7UScKE45q9hbOQ_2_2"/>
      <w:bookmarkStart w:id="300" w:name="Tc_ckWttNChBU2gU192qBjm4w_1_8"/>
      <w:bookmarkStart w:id="301" w:name="Tc_MMEfVMixoUaSjVA9mShgqQ_1_2"/>
      <w:bookmarkStart w:id="302" w:name="_37566bda_f13a_4695_981c_30558b3ab3d2"/>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tbl>
      <w:tblPr>
        <w:tblW w:w="8836" w:type="dxa"/>
        <w:jc w:val="left"/>
        <w:tblInd w:w="0" w:type="dxa"/>
        <w:tblLayout w:type="fixed"/>
        <w:tblCellMar>
          <w:top w:w="0" w:type="dxa"/>
          <w:left w:w="0" w:type="dxa"/>
          <w:bottom w:w="0" w:type="dxa"/>
          <w:right w:w="0" w:type="dxa"/>
        </w:tblCellMar>
      </w:tblPr>
      <w:tblGrid>
        <w:gridCol w:w="3361"/>
        <w:gridCol w:w="109"/>
        <w:gridCol w:w="211"/>
        <w:gridCol w:w="901"/>
        <w:gridCol w:w="326"/>
        <w:gridCol w:w="211"/>
        <w:gridCol w:w="796"/>
        <w:gridCol w:w="326"/>
        <w:gridCol w:w="211"/>
        <w:gridCol w:w="901"/>
        <w:gridCol w:w="326"/>
        <w:gridCol w:w="211"/>
        <w:gridCol w:w="946"/>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34235" cy="175260"/>
                      <wp:effectExtent l="0" t="0" r="0" b="0"/>
                      <wp:wrapNone/>
                      <wp:docPr id="21" name="Frame21"/>
                      <a:graphic xmlns:a="http://schemas.openxmlformats.org/drawingml/2006/main">
                        <a:graphicData uri="http://schemas.microsoft.com/office/word/2010/wordprocessingShape">
                          <wps:wsp>
                            <wps:cNvSpPr txBox="1"/>
                            <wps:spPr>
                              <a:xfrm>
                                <a:off x="0" y="0"/>
                                <a:ext cx="2134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9215" cy="175260"/>
                      <wp:effectExtent l="0" t="0" r="0" b="0"/>
                      <wp:wrapNone/>
                      <wp:docPr id="22" name="Frame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33985" cy="175260"/>
                      <wp:effectExtent l="0" t="0" r="0" b="0"/>
                      <wp:wrapNone/>
                      <wp:docPr id="23"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572135" cy="175260"/>
                      <wp:effectExtent l="0" t="0" r="0" b="0"/>
                      <wp:wrapNone/>
                      <wp:docPr id="24" name="Frame2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5" name="Frame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33985" cy="175260"/>
                      <wp:effectExtent l="0" t="0" r="0" b="0"/>
                      <wp:wrapNone/>
                      <wp:docPr id="26" name="Frame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505460" cy="175260"/>
                      <wp:effectExtent l="0" t="0" r="0" b="0"/>
                      <wp:wrapNone/>
                      <wp:docPr id="27" name="Frame2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8"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33985" cy="175260"/>
                      <wp:effectExtent l="0" t="0" r="0" b="0"/>
                      <wp:wrapNone/>
                      <wp:docPr id="29" name="Frame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572135" cy="175260"/>
                      <wp:effectExtent l="0" t="0" r="0" b="0"/>
                      <wp:wrapNone/>
                      <wp:docPr id="30" name="Frame3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1" name="Frame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3985" cy="175260"/>
                      <wp:effectExtent l="0" t="0" r="0" b="0"/>
                      <wp:wrapNone/>
                      <wp:docPr id="32" name="Frame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00710" cy="175260"/>
                      <wp:effectExtent l="0" t="0" r="0" b="0"/>
                      <wp:wrapNone/>
                      <wp:docPr id="33" name="Frame33"/>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4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1"/>
              <w:ind w:left="0" w:right="0" w:hanging="0"/>
              <w:jc w:val="left"/>
              <w:rPr/>
            </w:pPr>
            <w:r>
              <w:rPr/>
              <w:t>​</w:t>
            </w:r>
          </w:p>
        </w:tc>
        <w:tc>
          <w:tcPr>
            <w:tcW w:w="259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4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left"/>
              <w:rPr/>
            </w:pPr>
            <w:r>
              <w:rPr/>
              <w:t>​</w:t>
            </w:r>
          </w:p>
        </w:tc>
        <w:tc>
          <w:tcPr>
            <w:tcW w:w="259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1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3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(106,528)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(99,349)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(213,898)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(190,956)</w:t>
            </w:r>
          </w:p>
        </w:tc>
      </w:tr>
      <w:tr>
        <w:trPr/>
        <w:tc>
          <w:tcPr>
            <w:tcW w:w="3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pPr>
            <w:r>
              <w:rPr/>
              <w:t>​</w:t>
            </w:r>
          </w:p>
        </w:tc>
      </w:tr>
      <w:tr>
        <w:trPr/>
        <w:tc>
          <w:tcPr>
            <w:tcW w:w="3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gain/(loss) on investments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(2,096)</w:t>
            </w:r>
          </w:p>
        </w:tc>
      </w:tr>
      <w:tr>
        <w:trPr/>
        <w:tc>
          <w:tcPr>
            <w:tcW w:w="3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adjustment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3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Comprehensive Loss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(106,077)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(99,703)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(212,671)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(193,052)</w:t>
            </w:r>
          </w:p>
        </w:tc>
      </w:tr>
    </w:tbl>
    <w:p>
      <w:pPr>
        <w:pStyle w:val="TextBody"/>
        <w:bidi w:val="0"/>
        <w:spacing w:before="0" w:after="200"/>
        <w:ind w:left="0" w:right="0" w:hanging="0"/>
        <w:jc w:val="left"/>
        <w:rPr/>
      </w:pPr>
      <w:r>
        <w:rPr/>
        <w:t>​</w:t>
      </w:r>
    </w:p>
    <w:p>
      <w:pPr>
        <w:pStyle w:val="TextBody"/>
        <w:bidi w:val="0"/>
        <w:spacing w:before="0" w:after="200"/>
        <w:ind w:left="0" w:right="0" w:firstLine="547"/>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lineRule="atLeast" w:line="142" w:before="0" w:after="200"/>
        <w:ind w:left="0" w:right="0" w:firstLine="547"/>
        <w:jc w:val="center"/>
        <w:rPr/>
      </w:pPr>
      <w:bookmarkStart w:id="303" w:name="_e45f383e_6c41_4574_96f7_87e15381e87c"/>
      <w:bookmarkEnd w:id="303"/>
      <w:r>
        <w:rPr/>
        <w:t>​</w:t>
      </w:r>
    </w:p>
    <w:p>
      <w:pPr>
        <w:pStyle w:val="TextBody"/>
        <w:bidi w:val="0"/>
        <w:spacing w:before="0" w:after="0"/>
        <w:ind w:left="0" w:right="0" w:firstLine="547"/>
        <w:jc w:val="center"/>
        <w:rPr>
          <w:rFonts w:ascii="Times New Roman;Times;serif" w:hAnsi="Times New Roman;Times;serif"/>
          <w:b/>
          <w:sz w:val="20"/>
        </w:rPr>
      </w:pPr>
      <w:r>
        <w:rPr>
          <w:rFonts w:ascii="Times New Roman;Times;serif" w:hAnsi="Times New Roman;Times;serif"/>
          <w:b/>
          <w:sz w:val="20"/>
        </w:rPr>
        <w:t>IOVANCE BIOTHERAPEUTICS,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Three Months Ended June 30, 2023 and 2022</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share information)</w:t>
      </w:r>
    </w:p>
    <w:p>
      <w:pPr>
        <w:pStyle w:val="TextBody"/>
        <w:bidi w:val="0"/>
        <w:spacing w:before="0" w:after="200"/>
        <w:ind w:left="0" w:right="0" w:hanging="0"/>
        <w:jc w:val="center"/>
        <w:rPr/>
      </w:pPr>
      <w:r>
        <w:rPr/>
        <w:t>​</w:t>
      </w:r>
    </w:p>
    <w:p>
      <w:pPr>
        <w:pStyle w:val="Normal"/>
        <w:bidi w:val="0"/>
        <w:spacing w:before="0" w:after="0"/>
        <w:jc w:val="left"/>
        <w:rPr>
          <w:sz w:val="4"/>
          <w:szCs w:val="4"/>
        </w:rPr>
      </w:pPr>
      <w:r>
        <w:rPr>
          <w:sz w:val="4"/>
          <w:szCs w:val="4"/>
        </w:rPr>
      </w:r>
      <w:bookmarkStart w:id="304" w:name="Tc_3ohYUgJyK0WsvubA7KCWkA_23_26"/>
      <w:bookmarkStart w:id="305" w:name="Tc_UfFV4rP8JUCwDNtwt2iQLg_23_23"/>
      <w:bookmarkStart w:id="306" w:name="Tc_XgIPfkpsJEmozFkZFgjPoA_23_20"/>
      <w:bookmarkStart w:id="307" w:name="Tc_wxcabAaOvk-GBxCK7qSxyw_23_17"/>
      <w:bookmarkStart w:id="308" w:name="Tc_PFRIUuGfcUGRB0q1_JgQ9A_23_14"/>
      <w:bookmarkStart w:id="309" w:name="Tc_LE3jBpPS6EK49Zpe7OfL2g_23_9"/>
      <w:bookmarkStart w:id="310" w:name="Tc_54yrSaD5AEmfYejIOXqBCQ_23_5"/>
      <w:bookmarkStart w:id="311" w:name="Tc_4D740K252Ee8d8uHF3NPeg_23_4"/>
      <w:bookmarkStart w:id="312" w:name="Tc_WS_te4hagE-tCx1RSCqdbg_23_0"/>
      <w:bookmarkStart w:id="313" w:name="Tc_xfzpBxdL6Eqte2xN-FjAWQ_22_21"/>
      <w:bookmarkStart w:id="314" w:name="Tc_30VO5bdIuECoh_SapNZ1OA_22_18"/>
      <w:bookmarkStart w:id="315" w:name="Tc_M21JlDHZAUmtJD-_VYuEfA_22_15"/>
      <w:bookmarkStart w:id="316" w:name="Tc_ZXkugBjKPUCaBuQYxE6ENg_22_12"/>
      <w:bookmarkStart w:id="317" w:name="Tc_1vyWxnGbFkylWevzL2Jc8g_22_10"/>
      <w:bookmarkStart w:id="318" w:name="Tc_Mg8QvyOWSESaTB8WBu8FMw_22_7"/>
      <w:bookmarkStart w:id="319" w:name="Tc_RQuHRQYPTEKgVCAazyoxSA_22_5"/>
      <w:bookmarkStart w:id="320" w:name="Tc_3iDrXLLxvUKvYiIxYSkjkA_22_2"/>
      <w:bookmarkStart w:id="321" w:name="Tc_pPo6-P3dVU6QgowkZYgfdQ_22_0"/>
      <w:bookmarkStart w:id="322" w:name="Tc__yJGgMJFWUGw9ExAgTIfLQ_21_24"/>
      <w:bookmarkStart w:id="323" w:name="Tc_nF00f11z5UKWyyfh_ko_uA_21_18"/>
      <w:bookmarkStart w:id="324" w:name="Tc_rd6rPXe-T0CUuIJ1d69qaw_21_15"/>
      <w:bookmarkStart w:id="325" w:name="Tc_Er3qLG90U0O2p7xcbmY97Q_21_12"/>
      <w:bookmarkStart w:id="326" w:name="Tc_wo6-Fivdu0ObcI2CIte7SQ_21_10"/>
      <w:bookmarkStart w:id="327" w:name="Tc_Q2TrmZxRtki4gGJmb--V6w_21_7"/>
      <w:bookmarkStart w:id="328" w:name="Tc_rsTxx1cP-02Ws16VhY38Sg_21_5"/>
      <w:bookmarkStart w:id="329" w:name="Tc_BmKmV7tE-ky_HjGozTF6iA_21_2"/>
      <w:bookmarkStart w:id="330" w:name="Tc_RgqyIfTRKkWVJtuUOj_ebg_21_0"/>
      <w:bookmarkStart w:id="331" w:name="Tc_JpKte7Q_tkqBLfx2k5O7BQ_20_24"/>
      <w:bookmarkStart w:id="332" w:name="Tc_ZP4LjAHnEUC4xEvj4LsWYA_20_21"/>
      <w:bookmarkStart w:id="333" w:name="Tc_H_lREFp0xUqQD4U9FQUTOw_20_15"/>
      <w:bookmarkStart w:id="334" w:name="Tc_-_WiRa5a602l7Wu-CAKxSg_20_10"/>
      <w:bookmarkStart w:id="335" w:name="Tc_1pOF6hcuc0KReGU5AN-x7w_20_0"/>
      <w:bookmarkStart w:id="336" w:name="Tc_wf2TL6wVMEqdaRWzVGOJ9g_19_27"/>
      <w:bookmarkStart w:id="337" w:name="Tc_wfW3H6psNEyRsG-V5w52oQ_19_24"/>
      <w:bookmarkStart w:id="338" w:name="Tc_QnLEw0pTREe23pwExuj_SA_19_21"/>
      <w:bookmarkStart w:id="339" w:name="Tc_3adzuNNmcEG86iY1zm5v0Q_19_18"/>
      <w:bookmarkStart w:id="340" w:name="Tc_BBerSn6QDkm1AULGfd9D3Q_19_15"/>
      <w:bookmarkStart w:id="341" w:name="Tc_DwZOYhJdzkK1bdoa8uUsYA_19_10"/>
      <w:bookmarkStart w:id="342" w:name="Tc_4zWgEWhxXkmPMxENuytweQ_19_7"/>
      <w:bookmarkStart w:id="343" w:name="Tc_b1XTk479cUmtir-brwJzaA_19_5"/>
      <w:bookmarkStart w:id="344" w:name="Tc_bipB9dHjQUmiq-TKscsYpA_19_2"/>
      <w:bookmarkStart w:id="345" w:name="Tc_PUUQmLNMAUGNpMlgonlhng_19_0"/>
      <w:bookmarkStart w:id="346" w:name="Tc_gBqSJWQhW0qNHKXWF_Ja_g_18_24"/>
      <w:bookmarkStart w:id="347" w:name="Tc_FGcyhHfwMkauwUiqXz96oA_18_21"/>
      <w:bookmarkStart w:id="348" w:name="Tc_jxVBaN8CLUWWo5npQkLiuQ_18_15"/>
      <w:bookmarkStart w:id="349" w:name="Tc_AKouz7Q6Rk-_XxDMilmH3Q_18_10"/>
      <w:bookmarkStart w:id="350" w:name="Tc_gSTTPlmsEk2DuuZ8c2iexw_18_7"/>
      <w:bookmarkStart w:id="351" w:name="Tc_LGZfq4H8Hkmw6rpl36GAow_18_5"/>
      <w:bookmarkStart w:id="352" w:name="Tc_uftFuLiYTkevwevHsZPKtw_18_2"/>
      <w:bookmarkStart w:id="353" w:name="Tc_LI9M_y_PgUKgD7iLDsBI0g_18_0"/>
      <w:bookmarkStart w:id="354" w:name="Tc_y4-AVu1m3U6SBDeFtY-p2A_17_24"/>
      <w:bookmarkStart w:id="355" w:name="Tc_cL7BqnVYLkW9QooJ1Qu3nA_17_21"/>
      <w:bookmarkStart w:id="356" w:name="Tc_qP4SQimIlUOgqH-ac4Jt9A_17_15"/>
      <w:bookmarkStart w:id="357" w:name="Tc_PS_P4yB97kK8xTIne9nbvg_17_12"/>
      <w:bookmarkStart w:id="358" w:name="Tc_uLeddfHz0k-rR4jCCk6NVA_17_10"/>
      <w:bookmarkStart w:id="359" w:name="Tc_1m-bCz1H00m3qzogzfwEqw_17_7"/>
      <w:bookmarkStart w:id="360" w:name="Tc_YFB3Qe2L_E6-C98yg1WzaQ_17_5"/>
      <w:bookmarkStart w:id="361" w:name="Tc_z8LotQFkzE6r1tAlJRNUnQ_17_2"/>
      <w:bookmarkStart w:id="362" w:name="Tc_qUYBjBQup0KF_xzyBIyOwQ_17_0"/>
      <w:bookmarkStart w:id="363" w:name="Tc_EGTlLW_uREmBlWzdEJba9g_16_26"/>
      <w:bookmarkStart w:id="364" w:name="Tc_imRYOU1eRUispjjyg9sFBw_16_23"/>
      <w:bookmarkStart w:id="365" w:name="Tc_yuaIiMzWXkq1WmWsK1HY3Q_16_20"/>
      <w:bookmarkStart w:id="366" w:name="Tc_XiFQPzWA-Uy6hERVcNSLng_16_17"/>
      <w:bookmarkStart w:id="367" w:name="Tc_wnM47njfa0SLJZfned_6tA_16_14"/>
      <w:bookmarkStart w:id="368" w:name="Tc_NRS-3_CffUSv1xWHHdvpGw_16_9"/>
      <w:bookmarkStart w:id="369" w:name="Tc_oOQQyB8gSUWTcEmMl7B_Iw_16_5"/>
      <w:bookmarkStart w:id="370" w:name="Tc_1vvqjxNcD02MKrdXWNOhew_16_4"/>
      <w:bookmarkStart w:id="371" w:name="Tc_EProVy9GGECPvOps5TqrNg_16_0"/>
      <w:bookmarkStart w:id="372" w:name="Tc_EWLUoHoRtEOVWF3OREIc1g_14_26"/>
      <w:bookmarkStart w:id="373" w:name="Tc_MB5pJUV8K0mrO4mLFjoO_A_14_23"/>
      <w:bookmarkStart w:id="374" w:name="Tc_HiUkp1YIdUyCOxO24G2xwA_14_20"/>
      <w:bookmarkStart w:id="375" w:name="Tc_307gkKJpL0SDitRLbtPCRg_14_17"/>
      <w:bookmarkStart w:id="376" w:name="Tc_0kDCsBuB20eyVGEXGpxWGA_14_14"/>
      <w:bookmarkStart w:id="377" w:name="Tc_sw6Op5vMa0aU-6wioGT56w_14_9"/>
      <w:bookmarkStart w:id="378" w:name="Tc_BYducoiNvUCbUDtU6a1-_g_14_5"/>
      <w:bookmarkStart w:id="379" w:name="Tc_rCA2NAOzKU6WJEMbVUSDIg_14_4"/>
      <w:bookmarkStart w:id="380" w:name="Tc_Dn9qwuPYk06xkQEvcrUfag_14_0"/>
      <w:bookmarkStart w:id="381" w:name="Tc_wckZ0w0kmkGd-76H8zBGxg_13_21"/>
      <w:bookmarkStart w:id="382" w:name="Tc_T16Q4pgZ90y0vOpdwKR5wg_13_18"/>
      <w:bookmarkStart w:id="383" w:name="Tc_HwwIol_U5kW12Amn0kTk4Q_13_15"/>
      <w:bookmarkStart w:id="384" w:name="Tc_3JLlsqp5W0OKet9deGAK0A_13_12"/>
      <w:bookmarkStart w:id="385" w:name="Tc_fA5Wurnpn0eYVmA04a88YA_13_10"/>
      <w:bookmarkStart w:id="386" w:name="Tc_1ch6H7k1CkegdyKyUJmVBQ_13_7"/>
      <w:bookmarkStart w:id="387" w:name="Tc_f0GXLHtnJ0Gst4yGR_jEuw_13_5"/>
      <w:bookmarkStart w:id="388" w:name="Tc_M9bHVwJbM0GZlRCORKWnAQ_13_2"/>
      <w:bookmarkStart w:id="389" w:name="Tc_oKaJmOndFUqdzyiIiRbDtg_13_0"/>
      <w:bookmarkStart w:id="390" w:name="Tc_bDOfIhAzKU-_4MaTc74G_Q_12_24"/>
      <w:bookmarkStart w:id="391" w:name="Tc_FoD41cBfhESkCb39DTyFwg_12_18"/>
      <w:bookmarkStart w:id="392" w:name="Tc_AcZPYe4N6k2sRYxq35ItJw_12_15"/>
      <w:bookmarkStart w:id="393" w:name="Tc_RPiVaLsxa0WzSYm_yCvTXQ_12_12"/>
      <w:bookmarkStart w:id="394" w:name="Tc_ztQfHhU3KkuGTebmMyvSCw_12_10"/>
      <w:bookmarkStart w:id="395" w:name="Tc_CGdVAPZnc0evYkBbDAzEfg_12_7"/>
      <w:bookmarkStart w:id="396" w:name="Tc_jYsD2Z7Vr0SV8D9tCSv48A_12_5"/>
      <w:bookmarkStart w:id="397" w:name="Tc_h7ETaJf8O0WrfyWiyVLt7Q_12_2"/>
      <w:bookmarkStart w:id="398" w:name="Tc_PghG7mHfpEa-DmpOTDgAHw_12_0"/>
      <w:bookmarkStart w:id="399" w:name="Tc_YBoi5R55rE21aE7JYJ5bzg_11_24"/>
      <w:bookmarkStart w:id="400" w:name="Tc_nNBgDcPGdUWDpNmbn301EA_11_18"/>
      <w:bookmarkStart w:id="401" w:name="Tc_uSXjK0LVXEGOLftDSHpFnA_11_15"/>
      <w:bookmarkStart w:id="402" w:name="Tc_TtqMlLEUE0mJPd6jS-mOKg_11_12"/>
      <w:bookmarkStart w:id="403" w:name="Tc_36KCj7WHl0C9fi9K1hBQDg_11_10"/>
      <w:bookmarkStart w:id="404" w:name="Tc_NfWzOtDjMUq-PHlnY1qKCw_11_7"/>
      <w:bookmarkStart w:id="405" w:name="Tc_ViJS53JCEUKabh433enXng_11_5"/>
      <w:bookmarkStart w:id="406" w:name="Tc_n0bkY7FlE0-VaVRuxftP3g_11_2"/>
      <w:bookmarkStart w:id="407" w:name="Tc_9CexOu-SkEuVi4lLLLUXRQ_11_0"/>
      <w:bookmarkStart w:id="408" w:name="Tc_jm-HDOhZm0aOQ5KPsKeZIg_10_24"/>
      <w:bookmarkStart w:id="409" w:name="Tc_aVybuvXguEGXbJdS-RSO9g_10_21"/>
      <w:bookmarkStart w:id="410" w:name="Tc_nZKvTA6K10-fcXx7uWKxcA_10_15"/>
      <w:bookmarkStart w:id="411" w:name="Tc_n6hAww7Rm0yz_FuMDBvvYw_10_10"/>
      <w:bookmarkStart w:id="412" w:name="Tc_XjOUK7fVlUOMdQsIDx03wA_10_7"/>
      <w:bookmarkStart w:id="413" w:name="Tc_d2OXlp1hMk-ai6ojI40uOw_10_5"/>
      <w:bookmarkStart w:id="414" w:name="Tc_jzeR1arwvUyUzMCaAMo2QA_10_2"/>
      <w:bookmarkStart w:id="415" w:name="Tc_Rd0tiev9_kmA2_G_7YnYwQ_10_0"/>
      <w:bookmarkStart w:id="416" w:name="Tc_cWZ3fQ3lLUyOt6mhn_mhLQ_9_24"/>
      <w:bookmarkStart w:id="417" w:name="Tc_6hVgb4iPwkWzrv1OBIGJQQ_9_21"/>
      <w:bookmarkStart w:id="418" w:name="Tc_3Fy0f1Gh9EqA4EmMEVNspg_9_15"/>
      <w:bookmarkStart w:id="419" w:name="Tc_gaPzkIe9LUO5c81BJg4yhg_9_10"/>
      <w:bookmarkStart w:id="420" w:name="Tc_nUnJQHStBEKgewyDMNQTZA_9_7"/>
      <w:bookmarkStart w:id="421" w:name="Tc_Gpvme5xxrEOqNCNskM1b6w_9_5"/>
      <w:bookmarkStart w:id="422" w:name="Tc_Ofy6-7QjcEOZYJDZ3nqbxQ_9_2"/>
      <w:bookmarkStart w:id="423" w:name="Tc_PTdKoq91dU-S0EVo8UlMSg_9_0"/>
      <w:bookmarkStart w:id="424" w:name="Tc_z4OidHnyYUCs0x7WkaaQ1w_8_27"/>
      <w:bookmarkStart w:id="425" w:name="Tc_ICrxkaIalkua5Bf4N_K6pA_8_24"/>
      <w:bookmarkStart w:id="426" w:name="Tc_QWThks4Wgk-Y7XFmOH7qkg_8_21"/>
      <w:bookmarkStart w:id="427" w:name="Tc_n-EDIRZvzEatyk97ttlpzw_8_18"/>
      <w:bookmarkStart w:id="428" w:name="Tc_GOJjn632i0yYLXrJQzwvQg_8_15"/>
      <w:bookmarkStart w:id="429" w:name="Tc_jYj0B0Vr0U2m-YJ-kywEEA_8_10"/>
      <w:bookmarkStart w:id="430" w:name="Tc_NR5zSsjvkE-vLx1CbVGhJQ_8_7"/>
      <w:bookmarkStart w:id="431" w:name="Tc_Qm4FOKyh1k20vpspScPVLw_8_5"/>
      <w:bookmarkStart w:id="432" w:name="Tc_I2v9IGva10Cl5vfW4DHkLw_8_2"/>
      <w:bookmarkStart w:id="433" w:name="Tc_Sz5Pi4g3U0W62RxRx6_doQ_8_0"/>
      <w:bookmarkStart w:id="434" w:name="Tc_iHOeO6ucOEqNS-qlGAWu6Q_7_24"/>
      <w:bookmarkStart w:id="435" w:name="Tc__oubdkHKgU6uInMwbLUl8w_7_21"/>
      <w:bookmarkStart w:id="436" w:name="Tc_SPSc7FHnvEOLnc5D4gu7LQ_7_15"/>
      <w:bookmarkStart w:id="437" w:name="Tc_lD6t0gJPPkyZNpdBrEsMGw_7_10"/>
      <w:bookmarkStart w:id="438" w:name="Tc_yQHjnLqzika-EWPLSSNNvw_7_7"/>
      <w:bookmarkStart w:id="439" w:name="Tc_ODoTs7bvN0SRCyz4fryTOg_7_5"/>
      <w:bookmarkStart w:id="440" w:name="Tc_LDXkwG689EerpvOvz5R3DQ_7_2"/>
      <w:bookmarkStart w:id="441" w:name="Tc__M1uQ8gktEOkA-TFpHhPuw_7_0"/>
      <w:bookmarkStart w:id="442" w:name="Tc_oVNSVfFS80O9JtnU7FL1tw_6_24"/>
      <w:bookmarkStart w:id="443" w:name="Tc_9WLbBpI98E-kcOcChtD7aw_6_21"/>
      <w:bookmarkStart w:id="444" w:name="Tc_yXeUsCfH2k2z1uU9Xkl7xQ_6_15"/>
      <w:bookmarkStart w:id="445" w:name="Tc_fiBMYI6egU2QRzlg2pDhRg_6_12"/>
      <w:bookmarkStart w:id="446" w:name="Tc_FntzNzPexkih9s4HdAcUoQ_6_10"/>
      <w:bookmarkStart w:id="447" w:name="Tc_y1muliAqA0yIAPvGNVdB3w_6_7"/>
      <w:bookmarkStart w:id="448" w:name="Tc_yQfWLkkK_ECitu4LEZ4vSQ_6_5"/>
      <w:bookmarkStart w:id="449" w:name="Tc_tw9EXQVbl0KKx0TXaKGQoA_6_2"/>
      <w:bookmarkStart w:id="450" w:name="Tc_7du_syLC6k-x2K1vqJAbSA_6_0"/>
      <w:bookmarkStart w:id="451" w:name="Tc_bnh9-JQIm0SQsdu6DUSi7A_5_26"/>
      <w:bookmarkStart w:id="452" w:name="Tc_qNydnNwn4kCR1xf5XP5n9g_5_23"/>
      <w:bookmarkStart w:id="453" w:name="Tc__Ph0T-JPy0WNUj8cuRCCdA_5_20"/>
      <w:bookmarkStart w:id="454" w:name="Tc_Oz21A7aovkeKmChbdpOmiw_5_17"/>
      <w:bookmarkStart w:id="455" w:name="Tc_N80Nfpi3-kOhmqcBbPV2vg_5_14"/>
      <w:bookmarkStart w:id="456" w:name="Tc_6NtKxyWO-0SxULmefT5Wyg_5_9"/>
      <w:bookmarkStart w:id="457" w:name="Tc_yaNNA9eoAkCrjLBzLZ4x_g_5_5"/>
      <w:bookmarkStart w:id="458" w:name="Tc_pc5yId3VxUmQeYD9OUoRLw_5_4"/>
      <w:bookmarkStart w:id="459" w:name="Tc_NQlvfuR6hUqsRWLAizl9tw_5_0"/>
      <w:bookmarkStart w:id="460" w:name="Tc_u7h5K3xaaEW84Sas0lyT5g_4_26"/>
      <w:bookmarkStart w:id="461" w:name="Tc_rxnlmTHf3ECATSRe4QUMCQ_4_23"/>
      <w:bookmarkStart w:id="462" w:name="Tc_1yv3V-evskytx55h3g0kvQ_4_20"/>
      <w:bookmarkStart w:id="463" w:name="Tc_pIHo9bn8R0-t1Wp7ZI6npQ_4_17"/>
      <w:bookmarkStart w:id="464" w:name="Tc_GvU4PjcuDEmpgrAolSWNwg_4_14"/>
      <w:bookmarkStart w:id="465" w:name="Tc_DfomOqG_AUWjpK3iKvOSeA_4_12"/>
      <w:bookmarkStart w:id="466" w:name="Tc_w963fcI94kuy_zhxxtMzBQ_4_9"/>
      <w:bookmarkStart w:id="467" w:name="Tc_HZA884mBcE6sDZS5pmwHAA_4_7"/>
      <w:bookmarkStart w:id="468" w:name="Tc_PJqogFgYXkaoWjTFHI9nsQ_4_4"/>
      <w:bookmarkStart w:id="469" w:name="Tc_8gpluyzxZESqjzlW7dZ_9g_4_2"/>
      <w:bookmarkStart w:id="470" w:name="Tc_Y5hrWXpQQEqH1t0BcZElwA_3_26"/>
      <w:bookmarkStart w:id="471" w:name="Tc_eEN28pbIOU6dOdRchTqR7A_3_23"/>
      <w:bookmarkStart w:id="472" w:name="Tc_DyCOuXwl00qVQYIs23dT9w_3_20"/>
      <w:bookmarkStart w:id="473" w:name="Tc_qbfBQHGhPUK-jVjn05b94w_3_17"/>
      <w:bookmarkStart w:id="474" w:name="Tc_3ORbAcPV3E6zT0Y3MLN3PA_3_12"/>
      <w:bookmarkStart w:id="475" w:name="Tc_QEaaHYiyxEGPg68dZW_x1w_3_7"/>
      <w:bookmarkStart w:id="476" w:name="Tc_jY6-JwnOJEGpmr1vUiS6_g_3_2"/>
      <w:bookmarkStart w:id="477" w:name="Tc_zYzA_g_pZkKCT_zyJj0o9w_2_26"/>
      <w:bookmarkStart w:id="478" w:name="Tc_gkcYs1c920a2Bgb-bcUoCw_2_20"/>
      <w:bookmarkStart w:id="479" w:name="Tc_kycaMcLZQESHZlumJ4qsQw_2_17"/>
      <w:bookmarkStart w:id="480" w:name="Tc_YlC6WGGSS0Gfk54mZJsm8Q_2_7"/>
      <w:bookmarkStart w:id="481" w:name="Tc_G5k2N04Ai0GcNNw-9HpmLg_2_2"/>
      <w:bookmarkStart w:id="482" w:name="Tc_l6h-OQJkEUe9zKDzIxinJg_1_7"/>
      <w:bookmarkStart w:id="483" w:name="Tc_SZUKEtkAgkOoXEfRlz4idA_1_2"/>
      <w:bookmarkStart w:id="484" w:name="_e77d1edd_8e44_4f5b_83c5_454be86c35c8"/>
      <w:bookmarkStart w:id="485" w:name="Tc_3ohYUgJyK0WsvubA7KCWkA_23_26"/>
      <w:bookmarkStart w:id="486" w:name="Tc_UfFV4rP8JUCwDNtwt2iQLg_23_23"/>
      <w:bookmarkStart w:id="487" w:name="Tc_XgIPfkpsJEmozFkZFgjPoA_23_20"/>
      <w:bookmarkStart w:id="488" w:name="Tc_wxcabAaOvk-GBxCK7qSxyw_23_17"/>
      <w:bookmarkStart w:id="489" w:name="Tc_PFRIUuGfcUGRB0q1_JgQ9A_23_14"/>
      <w:bookmarkStart w:id="490" w:name="Tc_LE3jBpPS6EK49Zpe7OfL2g_23_9"/>
      <w:bookmarkStart w:id="491" w:name="Tc_54yrSaD5AEmfYejIOXqBCQ_23_5"/>
      <w:bookmarkStart w:id="492" w:name="Tc_4D740K252Ee8d8uHF3NPeg_23_4"/>
      <w:bookmarkStart w:id="493" w:name="Tc_WS_te4hagE-tCx1RSCqdbg_23_0"/>
      <w:bookmarkStart w:id="494" w:name="Tc_xfzpBxdL6Eqte2xN-FjAWQ_22_21"/>
      <w:bookmarkStart w:id="495" w:name="Tc_30VO5bdIuECoh_SapNZ1OA_22_18"/>
      <w:bookmarkStart w:id="496" w:name="Tc_M21JlDHZAUmtJD-_VYuEfA_22_15"/>
      <w:bookmarkStart w:id="497" w:name="Tc_ZXkugBjKPUCaBuQYxE6ENg_22_12"/>
      <w:bookmarkStart w:id="498" w:name="Tc_1vyWxnGbFkylWevzL2Jc8g_22_10"/>
      <w:bookmarkStart w:id="499" w:name="Tc_Mg8QvyOWSESaTB8WBu8FMw_22_7"/>
      <w:bookmarkStart w:id="500" w:name="Tc_RQuHRQYPTEKgVCAazyoxSA_22_5"/>
      <w:bookmarkStart w:id="501" w:name="Tc_3iDrXLLxvUKvYiIxYSkjkA_22_2"/>
      <w:bookmarkStart w:id="502" w:name="Tc_pPo6-P3dVU6QgowkZYgfdQ_22_0"/>
      <w:bookmarkStart w:id="503" w:name="Tc__yJGgMJFWUGw9ExAgTIfLQ_21_24"/>
      <w:bookmarkStart w:id="504" w:name="Tc_nF00f11z5UKWyyfh_ko_uA_21_18"/>
      <w:bookmarkStart w:id="505" w:name="Tc_rd6rPXe-T0CUuIJ1d69qaw_21_15"/>
      <w:bookmarkStart w:id="506" w:name="Tc_Er3qLG90U0O2p7xcbmY97Q_21_12"/>
      <w:bookmarkStart w:id="507" w:name="Tc_wo6-Fivdu0ObcI2CIte7SQ_21_10"/>
      <w:bookmarkStart w:id="508" w:name="Tc_Q2TrmZxRtki4gGJmb--V6w_21_7"/>
      <w:bookmarkStart w:id="509" w:name="Tc_rsTxx1cP-02Ws16VhY38Sg_21_5"/>
      <w:bookmarkStart w:id="510" w:name="Tc_BmKmV7tE-ky_HjGozTF6iA_21_2"/>
      <w:bookmarkStart w:id="511" w:name="Tc_RgqyIfTRKkWVJtuUOj_ebg_21_0"/>
      <w:bookmarkStart w:id="512" w:name="Tc_JpKte7Q_tkqBLfx2k5O7BQ_20_24"/>
      <w:bookmarkStart w:id="513" w:name="Tc_ZP4LjAHnEUC4xEvj4LsWYA_20_21"/>
      <w:bookmarkStart w:id="514" w:name="Tc_H_lREFp0xUqQD4U9FQUTOw_20_15"/>
      <w:bookmarkStart w:id="515" w:name="Tc_-_WiRa5a602l7Wu-CAKxSg_20_10"/>
      <w:bookmarkStart w:id="516" w:name="Tc_1pOF6hcuc0KReGU5AN-x7w_20_0"/>
      <w:bookmarkStart w:id="517" w:name="Tc_wf2TL6wVMEqdaRWzVGOJ9g_19_27"/>
      <w:bookmarkStart w:id="518" w:name="Tc_wfW3H6psNEyRsG-V5w52oQ_19_24"/>
      <w:bookmarkStart w:id="519" w:name="Tc_QnLEw0pTREe23pwExuj_SA_19_21"/>
      <w:bookmarkStart w:id="520" w:name="Tc_3adzuNNmcEG86iY1zm5v0Q_19_18"/>
      <w:bookmarkStart w:id="521" w:name="Tc_BBerSn6QDkm1AULGfd9D3Q_19_15"/>
      <w:bookmarkStart w:id="522" w:name="Tc_DwZOYhJdzkK1bdoa8uUsYA_19_10"/>
      <w:bookmarkStart w:id="523" w:name="Tc_4zWgEWhxXkmPMxENuytweQ_19_7"/>
      <w:bookmarkStart w:id="524" w:name="Tc_b1XTk479cUmtir-brwJzaA_19_5"/>
      <w:bookmarkStart w:id="525" w:name="Tc_bipB9dHjQUmiq-TKscsYpA_19_2"/>
      <w:bookmarkStart w:id="526" w:name="Tc_PUUQmLNMAUGNpMlgonlhng_19_0"/>
      <w:bookmarkStart w:id="527" w:name="Tc_gBqSJWQhW0qNHKXWF_Ja_g_18_24"/>
      <w:bookmarkStart w:id="528" w:name="Tc_FGcyhHfwMkauwUiqXz96oA_18_21"/>
      <w:bookmarkStart w:id="529" w:name="Tc_jxVBaN8CLUWWo5npQkLiuQ_18_15"/>
      <w:bookmarkStart w:id="530" w:name="Tc_AKouz7Q6Rk-_XxDMilmH3Q_18_10"/>
      <w:bookmarkStart w:id="531" w:name="Tc_gSTTPlmsEk2DuuZ8c2iexw_18_7"/>
      <w:bookmarkStart w:id="532" w:name="Tc_LGZfq4H8Hkmw6rpl36GAow_18_5"/>
      <w:bookmarkStart w:id="533" w:name="Tc_uftFuLiYTkevwevHsZPKtw_18_2"/>
      <w:bookmarkStart w:id="534" w:name="Tc_LI9M_y_PgUKgD7iLDsBI0g_18_0"/>
      <w:bookmarkStart w:id="535" w:name="Tc_y4-AVu1m3U6SBDeFtY-p2A_17_24"/>
      <w:bookmarkStart w:id="536" w:name="Tc_cL7BqnVYLkW9QooJ1Qu3nA_17_21"/>
      <w:bookmarkStart w:id="537" w:name="Tc_qP4SQimIlUOgqH-ac4Jt9A_17_15"/>
      <w:bookmarkStart w:id="538" w:name="Tc_PS_P4yB97kK8xTIne9nbvg_17_12"/>
      <w:bookmarkStart w:id="539" w:name="Tc_uLeddfHz0k-rR4jCCk6NVA_17_10"/>
      <w:bookmarkStart w:id="540" w:name="Tc_1m-bCz1H00m3qzogzfwEqw_17_7"/>
      <w:bookmarkStart w:id="541" w:name="Tc_YFB3Qe2L_E6-C98yg1WzaQ_17_5"/>
      <w:bookmarkStart w:id="542" w:name="Tc_z8LotQFkzE6r1tAlJRNUnQ_17_2"/>
      <w:bookmarkStart w:id="543" w:name="Tc_qUYBjBQup0KF_xzyBIyOwQ_17_0"/>
      <w:bookmarkStart w:id="544" w:name="Tc_EGTlLW_uREmBlWzdEJba9g_16_26"/>
      <w:bookmarkStart w:id="545" w:name="Tc_imRYOU1eRUispjjyg9sFBw_16_23"/>
      <w:bookmarkStart w:id="546" w:name="Tc_yuaIiMzWXkq1WmWsK1HY3Q_16_20"/>
      <w:bookmarkStart w:id="547" w:name="Tc_XiFQPzWA-Uy6hERVcNSLng_16_17"/>
      <w:bookmarkStart w:id="548" w:name="Tc_wnM47njfa0SLJZfned_6tA_16_14"/>
      <w:bookmarkStart w:id="549" w:name="Tc_NRS-3_CffUSv1xWHHdvpGw_16_9"/>
      <w:bookmarkStart w:id="550" w:name="Tc_oOQQyB8gSUWTcEmMl7B_Iw_16_5"/>
      <w:bookmarkStart w:id="551" w:name="Tc_1vvqjxNcD02MKrdXWNOhew_16_4"/>
      <w:bookmarkStart w:id="552" w:name="Tc_EProVy9GGECPvOps5TqrNg_16_0"/>
      <w:bookmarkStart w:id="553" w:name="Tc_EWLUoHoRtEOVWF3OREIc1g_14_26"/>
      <w:bookmarkStart w:id="554" w:name="Tc_MB5pJUV8K0mrO4mLFjoO_A_14_23"/>
      <w:bookmarkStart w:id="555" w:name="Tc_HiUkp1YIdUyCOxO24G2xwA_14_20"/>
      <w:bookmarkStart w:id="556" w:name="Tc_307gkKJpL0SDitRLbtPCRg_14_17"/>
      <w:bookmarkStart w:id="557" w:name="Tc_0kDCsBuB20eyVGEXGpxWGA_14_14"/>
      <w:bookmarkStart w:id="558" w:name="Tc_sw6Op5vMa0aU-6wioGT56w_14_9"/>
      <w:bookmarkStart w:id="559" w:name="Tc_BYducoiNvUCbUDtU6a1-_g_14_5"/>
      <w:bookmarkStart w:id="560" w:name="Tc_rCA2NAOzKU6WJEMbVUSDIg_14_4"/>
      <w:bookmarkStart w:id="561" w:name="Tc_Dn9qwuPYk06xkQEvcrUfag_14_0"/>
      <w:bookmarkStart w:id="562" w:name="Tc_wckZ0w0kmkGd-76H8zBGxg_13_21"/>
      <w:bookmarkStart w:id="563" w:name="Tc_T16Q4pgZ90y0vOpdwKR5wg_13_18"/>
      <w:bookmarkStart w:id="564" w:name="Tc_HwwIol_U5kW12Amn0kTk4Q_13_15"/>
      <w:bookmarkStart w:id="565" w:name="Tc_3JLlsqp5W0OKet9deGAK0A_13_12"/>
      <w:bookmarkStart w:id="566" w:name="Tc_fA5Wurnpn0eYVmA04a88YA_13_10"/>
      <w:bookmarkStart w:id="567" w:name="Tc_1ch6H7k1CkegdyKyUJmVBQ_13_7"/>
      <w:bookmarkStart w:id="568" w:name="Tc_f0GXLHtnJ0Gst4yGR_jEuw_13_5"/>
      <w:bookmarkStart w:id="569" w:name="Tc_M9bHVwJbM0GZlRCORKWnAQ_13_2"/>
      <w:bookmarkStart w:id="570" w:name="Tc_oKaJmOndFUqdzyiIiRbDtg_13_0"/>
      <w:bookmarkStart w:id="571" w:name="Tc_bDOfIhAzKU-_4MaTc74G_Q_12_24"/>
      <w:bookmarkStart w:id="572" w:name="Tc_FoD41cBfhESkCb39DTyFwg_12_18"/>
      <w:bookmarkStart w:id="573" w:name="Tc_AcZPYe4N6k2sRYxq35ItJw_12_15"/>
      <w:bookmarkStart w:id="574" w:name="Tc_RPiVaLsxa0WzSYm_yCvTXQ_12_12"/>
      <w:bookmarkStart w:id="575" w:name="Tc_ztQfHhU3KkuGTebmMyvSCw_12_10"/>
      <w:bookmarkStart w:id="576" w:name="Tc_CGdVAPZnc0evYkBbDAzEfg_12_7"/>
      <w:bookmarkStart w:id="577" w:name="Tc_jYsD2Z7Vr0SV8D9tCSv48A_12_5"/>
      <w:bookmarkStart w:id="578" w:name="Tc_h7ETaJf8O0WrfyWiyVLt7Q_12_2"/>
      <w:bookmarkStart w:id="579" w:name="Tc_PghG7mHfpEa-DmpOTDgAHw_12_0"/>
      <w:bookmarkStart w:id="580" w:name="Tc_YBoi5R55rE21aE7JYJ5bzg_11_24"/>
      <w:bookmarkStart w:id="581" w:name="Tc_nNBgDcPGdUWDpNmbn301EA_11_18"/>
      <w:bookmarkStart w:id="582" w:name="Tc_uSXjK0LVXEGOLftDSHpFnA_11_15"/>
      <w:bookmarkStart w:id="583" w:name="Tc_TtqMlLEUE0mJPd6jS-mOKg_11_12"/>
      <w:bookmarkStart w:id="584" w:name="Tc_36KCj7WHl0C9fi9K1hBQDg_11_10"/>
      <w:bookmarkStart w:id="585" w:name="Tc_NfWzOtDjMUq-PHlnY1qKCw_11_7"/>
      <w:bookmarkStart w:id="586" w:name="Tc_ViJS53JCEUKabh433enXng_11_5"/>
      <w:bookmarkStart w:id="587" w:name="Tc_n0bkY7FlE0-VaVRuxftP3g_11_2"/>
      <w:bookmarkStart w:id="588" w:name="Tc_9CexOu-SkEuVi4lLLLUXRQ_11_0"/>
      <w:bookmarkStart w:id="589" w:name="Tc_jm-HDOhZm0aOQ5KPsKeZIg_10_24"/>
      <w:bookmarkStart w:id="590" w:name="Tc_aVybuvXguEGXbJdS-RSO9g_10_21"/>
      <w:bookmarkStart w:id="591" w:name="Tc_nZKvTA6K10-fcXx7uWKxcA_10_15"/>
      <w:bookmarkStart w:id="592" w:name="Tc_n6hAww7Rm0yz_FuMDBvvYw_10_10"/>
      <w:bookmarkStart w:id="593" w:name="Tc_XjOUK7fVlUOMdQsIDx03wA_10_7"/>
      <w:bookmarkStart w:id="594" w:name="Tc_d2OXlp1hMk-ai6ojI40uOw_10_5"/>
      <w:bookmarkStart w:id="595" w:name="Tc_jzeR1arwvUyUzMCaAMo2QA_10_2"/>
      <w:bookmarkStart w:id="596" w:name="Tc_Rd0tiev9_kmA2_G_7YnYwQ_10_0"/>
      <w:bookmarkStart w:id="597" w:name="Tc_cWZ3fQ3lLUyOt6mhn_mhLQ_9_24"/>
      <w:bookmarkStart w:id="598" w:name="Tc_6hVgb4iPwkWzrv1OBIGJQQ_9_21"/>
      <w:bookmarkStart w:id="599" w:name="Tc_3Fy0f1Gh9EqA4EmMEVNspg_9_15"/>
      <w:bookmarkStart w:id="600" w:name="Tc_gaPzkIe9LUO5c81BJg4yhg_9_10"/>
      <w:bookmarkStart w:id="601" w:name="Tc_nUnJQHStBEKgewyDMNQTZA_9_7"/>
      <w:bookmarkStart w:id="602" w:name="Tc_Gpvme5xxrEOqNCNskM1b6w_9_5"/>
      <w:bookmarkStart w:id="603" w:name="Tc_Ofy6-7QjcEOZYJDZ3nqbxQ_9_2"/>
      <w:bookmarkStart w:id="604" w:name="Tc_PTdKoq91dU-S0EVo8UlMSg_9_0"/>
      <w:bookmarkStart w:id="605" w:name="Tc_z4OidHnyYUCs0x7WkaaQ1w_8_27"/>
      <w:bookmarkStart w:id="606" w:name="Tc_ICrxkaIalkua5Bf4N_K6pA_8_24"/>
      <w:bookmarkStart w:id="607" w:name="Tc_QWThks4Wgk-Y7XFmOH7qkg_8_21"/>
      <w:bookmarkStart w:id="608" w:name="Tc_n-EDIRZvzEatyk97ttlpzw_8_18"/>
      <w:bookmarkStart w:id="609" w:name="Tc_GOJjn632i0yYLXrJQzwvQg_8_15"/>
      <w:bookmarkStart w:id="610" w:name="Tc_jYj0B0Vr0U2m-YJ-kywEEA_8_10"/>
      <w:bookmarkStart w:id="611" w:name="Tc_NR5zSsjvkE-vLx1CbVGhJQ_8_7"/>
      <w:bookmarkStart w:id="612" w:name="Tc_Qm4FOKyh1k20vpspScPVLw_8_5"/>
      <w:bookmarkStart w:id="613" w:name="Tc_I2v9IGva10Cl5vfW4DHkLw_8_2"/>
      <w:bookmarkStart w:id="614" w:name="Tc_Sz5Pi4g3U0W62RxRx6_doQ_8_0"/>
      <w:bookmarkStart w:id="615" w:name="Tc_iHOeO6ucOEqNS-qlGAWu6Q_7_24"/>
      <w:bookmarkStart w:id="616" w:name="Tc__oubdkHKgU6uInMwbLUl8w_7_21"/>
      <w:bookmarkStart w:id="617" w:name="Tc_SPSc7FHnvEOLnc5D4gu7LQ_7_15"/>
      <w:bookmarkStart w:id="618" w:name="Tc_lD6t0gJPPkyZNpdBrEsMGw_7_10"/>
      <w:bookmarkStart w:id="619" w:name="Tc_yQHjnLqzika-EWPLSSNNvw_7_7"/>
      <w:bookmarkStart w:id="620" w:name="Tc_ODoTs7bvN0SRCyz4fryTOg_7_5"/>
      <w:bookmarkStart w:id="621" w:name="Tc_LDXkwG689EerpvOvz5R3DQ_7_2"/>
      <w:bookmarkStart w:id="622" w:name="Tc__M1uQ8gktEOkA-TFpHhPuw_7_0"/>
      <w:bookmarkStart w:id="623" w:name="Tc_oVNSVfFS80O9JtnU7FL1tw_6_24"/>
      <w:bookmarkStart w:id="624" w:name="Tc_9WLbBpI98E-kcOcChtD7aw_6_21"/>
      <w:bookmarkStart w:id="625" w:name="Tc_yXeUsCfH2k2z1uU9Xkl7xQ_6_15"/>
      <w:bookmarkStart w:id="626" w:name="Tc_fiBMYI6egU2QRzlg2pDhRg_6_12"/>
      <w:bookmarkStart w:id="627" w:name="Tc_FntzNzPexkih9s4HdAcUoQ_6_10"/>
      <w:bookmarkStart w:id="628" w:name="Tc_y1muliAqA0yIAPvGNVdB3w_6_7"/>
      <w:bookmarkStart w:id="629" w:name="Tc_yQfWLkkK_ECitu4LEZ4vSQ_6_5"/>
      <w:bookmarkStart w:id="630" w:name="Tc_tw9EXQVbl0KKx0TXaKGQoA_6_2"/>
      <w:bookmarkStart w:id="631" w:name="Tc_7du_syLC6k-x2K1vqJAbSA_6_0"/>
      <w:bookmarkStart w:id="632" w:name="Tc_bnh9-JQIm0SQsdu6DUSi7A_5_26"/>
      <w:bookmarkStart w:id="633" w:name="Tc_qNydnNwn4kCR1xf5XP5n9g_5_23"/>
      <w:bookmarkStart w:id="634" w:name="Tc__Ph0T-JPy0WNUj8cuRCCdA_5_20"/>
      <w:bookmarkStart w:id="635" w:name="Tc_Oz21A7aovkeKmChbdpOmiw_5_17"/>
      <w:bookmarkStart w:id="636" w:name="Tc_N80Nfpi3-kOhmqcBbPV2vg_5_14"/>
      <w:bookmarkStart w:id="637" w:name="Tc_6NtKxyWO-0SxULmefT5Wyg_5_9"/>
      <w:bookmarkStart w:id="638" w:name="Tc_yaNNA9eoAkCrjLBzLZ4x_g_5_5"/>
      <w:bookmarkStart w:id="639" w:name="Tc_pc5yId3VxUmQeYD9OUoRLw_5_4"/>
      <w:bookmarkStart w:id="640" w:name="Tc_NQlvfuR6hUqsRWLAizl9tw_5_0"/>
      <w:bookmarkStart w:id="641" w:name="Tc_u7h5K3xaaEW84Sas0lyT5g_4_26"/>
      <w:bookmarkStart w:id="642" w:name="Tc_rxnlmTHf3ECATSRe4QUMCQ_4_23"/>
      <w:bookmarkStart w:id="643" w:name="Tc_1yv3V-evskytx55h3g0kvQ_4_20"/>
      <w:bookmarkStart w:id="644" w:name="Tc_pIHo9bn8R0-t1Wp7ZI6npQ_4_17"/>
      <w:bookmarkStart w:id="645" w:name="Tc_GvU4PjcuDEmpgrAolSWNwg_4_14"/>
      <w:bookmarkStart w:id="646" w:name="Tc_DfomOqG_AUWjpK3iKvOSeA_4_12"/>
      <w:bookmarkStart w:id="647" w:name="Tc_w963fcI94kuy_zhxxtMzBQ_4_9"/>
      <w:bookmarkStart w:id="648" w:name="Tc_HZA884mBcE6sDZS5pmwHAA_4_7"/>
      <w:bookmarkStart w:id="649" w:name="Tc_PJqogFgYXkaoWjTFHI9nsQ_4_4"/>
      <w:bookmarkStart w:id="650" w:name="Tc_8gpluyzxZESqjzlW7dZ_9g_4_2"/>
      <w:bookmarkStart w:id="651" w:name="Tc_Y5hrWXpQQEqH1t0BcZElwA_3_26"/>
      <w:bookmarkStart w:id="652" w:name="Tc_eEN28pbIOU6dOdRchTqR7A_3_23"/>
      <w:bookmarkStart w:id="653" w:name="Tc_DyCOuXwl00qVQYIs23dT9w_3_20"/>
      <w:bookmarkStart w:id="654" w:name="Tc_qbfBQHGhPUK-jVjn05b94w_3_17"/>
      <w:bookmarkStart w:id="655" w:name="Tc_3ORbAcPV3E6zT0Y3MLN3PA_3_12"/>
      <w:bookmarkStart w:id="656" w:name="Tc_QEaaHYiyxEGPg68dZW_x1w_3_7"/>
      <w:bookmarkStart w:id="657" w:name="Tc_jY6-JwnOJEGpmr1vUiS6_g_3_2"/>
      <w:bookmarkStart w:id="658" w:name="Tc_zYzA_g_pZkKCT_zyJj0o9w_2_26"/>
      <w:bookmarkStart w:id="659" w:name="Tc_gkcYs1c920a2Bgb-bcUoCw_2_20"/>
      <w:bookmarkStart w:id="660" w:name="Tc_kycaMcLZQESHZlumJ4qsQw_2_17"/>
      <w:bookmarkStart w:id="661" w:name="Tc_YlC6WGGSS0Gfk54mZJsm8Q_2_7"/>
      <w:bookmarkStart w:id="662" w:name="Tc_G5k2N04Ai0GcNNw-9HpmLg_2_2"/>
      <w:bookmarkStart w:id="663" w:name="Tc_l6h-OQJkEUe9zKDzIxinJg_1_7"/>
      <w:bookmarkStart w:id="664" w:name="Tc_SZUKEtkAgkOoXEfRlz4idA_1_2"/>
      <w:bookmarkStart w:id="665" w:name="_e77d1edd_8e44_4f5b_83c5_454be86c35c8"/>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tbl>
      <w:tblPr>
        <w:tblW w:w="14463" w:type="dxa"/>
        <w:jc w:val="left"/>
        <w:tblInd w:w="0" w:type="dxa"/>
        <w:tblLayout w:type="fixed"/>
        <w:tblCellMar>
          <w:top w:w="0" w:type="dxa"/>
          <w:left w:w="0" w:type="dxa"/>
          <w:bottom w:w="0" w:type="dxa"/>
          <w:right w:w="0" w:type="dxa"/>
        </w:tblCellMar>
      </w:tblPr>
      <w:tblGrid>
        <w:gridCol w:w="1996"/>
        <w:gridCol w:w="326"/>
        <w:gridCol w:w="586"/>
        <w:gridCol w:w="326"/>
        <w:gridCol w:w="249"/>
        <w:gridCol w:w="442"/>
        <w:gridCol w:w="326"/>
        <w:gridCol w:w="826"/>
        <w:gridCol w:w="326"/>
        <w:gridCol w:w="249"/>
        <w:gridCol w:w="442"/>
        <w:gridCol w:w="326"/>
        <w:gridCol w:w="1006"/>
        <w:gridCol w:w="326"/>
        <w:gridCol w:w="249"/>
        <w:gridCol w:w="442"/>
        <w:gridCol w:w="326"/>
        <w:gridCol w:w="196"/>
        <w:gridCol w:w="826"/>
        <w:gridCol w:w="326"/>
        <w:gridCol w:w="391"/>
        <w:gridCol w:w="1140"/>
        <w:gridCol w:w="326"/>
        <w:gridCol w:w="196"/>
        <w:gridCol w:w="886"/>
        <w:gridCol w:w="326"/>
        <w:gridCol w:w="213"/>
        <w:gridCol w:w="868"/>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267460" cy="175260"/>
                      <wp:effectExtent l="0" t="0" r="0" b="0"/>
                      <wp:wrapNone/>
                      <wp:docPr id="34" name="Frame34"/>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5"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372110" cy="175260"/>
                      <wp:effectExtent l="0" t="0" r="0" b="0"/>
                      <wp:wrapNone/>
                      <wp:docPr id="36" name="Frame3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7"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58115" cy="175260"/>
                      <wp:effectExtent l="0" t="0" r="0" b="0"/>
                      <wp:wrapNone/>
                      <wp:docPr id="38" name="Frame38"/>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80670" cy="175260"/>
                      <wp:effectExtent l="0" t="0" r="0" b="0"/>
                      <wp:wrapNone/>
                      <wp:docPr id="39" name="Frame39"/>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0"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24510" cy="175260"/>
                      <wp:effectExtent l="0" t="0" r="0" b="0"/>
                      <wp:wrapNone/>
                      <wp:docPr id="41" name="Frame4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42"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58115" cy="175260"/>
                      <wp:effectExtent l="0" t="0" r="0" b="0"/>
                      <wp:wrapNone/>
                      <wp:docPr id="43" name="Frame43"/>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80670" cy="175260"/>
                      <wp:effectExtent l="0" t="0" r="0" b="0"/>
                      <wp:wrapNone/>
                      <wp:docPr id="44" name="Frame44"/>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45" name="Frame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38810" cy="175260"/>
                      <wp:effectExtent l="0" t="0" r="0" b="0"/>
                      <wp:wrapNone/>
                      <wp:docPr id="46" name="Frame46"/>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7" name="Frame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58115" cy="175260"/>
                      <wp:effectExtent l="0" t="0" r="0" b="0"/>
                      <wp:wrapNone/>
                      <wp:docPr id="48" name="Frame48"/>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80670" cy="175260"/>
                      <wp:effectExtent l="0" t="0" r="0" b="0"/>
                      <wp:wrapNone/>
                      <wp:docPr id="49" name="Frame49"/>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0" name="Frame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24460" cy="175260"/>
                      <wp:effectExtent l="0" t="0" r="0" b="0"/>
                      <wp:wrapNone/>
                      <wp:docPr id="51" name="Frame5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524510" cy="175260"/>
                      <wp:effectExtent l="0" t="0" r="0" b="0"/>
                      <wp:wrapNone/>
                      <wp:docPr id="52" name="Frame5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3" name="Frame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48285" cy="175260"/>
                      <wp:effectExtent l="0" t="0" r="0" b="0"/>
                      <wp:wrapNone/>
                      <wp:docPr id="54" name="Frame54"/>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723900" cy="175260"/>
                      <wp:effectExtent l="0" t="0" r="0" b="0"/>
                      <wp:wrapNone/>
                      <wp:docPr id="55" name="Frame55"/>
                      <a:graphic xmlns:a="http://schemas.openxmlformats.org/drawingml/2006/main">
                        <a:graphicData uri="http://schemas.microsoft.com/office/word/2010/wordprocessingShape">
                          <wps:wsp>
                            <wps:cNvSpPr txBox="1"/>
                            <wps:spPr>
                              <a:xfrm>
                                <a:off x="0" y="0"/>
                                <a:ext cx="723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6" name="Frame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24460" cy="175260"/>
                      <wp:effectExtent l="0" t="0" r="0" b="0"/>
                      <wp:wrapNone/>
                      <wp:docPr id="57" name="Frame5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62610" cy="175260"/>
                      <wp:effectExtent l="0" t="0" r="0" b="0"/>
                      <wp:wrapNone/>
                      <wp:docPr id="58" name="Frame5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59" name="Frame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35255" cy="175260"/>
                      <wp:effectExtent l="0" t="0" r="0" b="0"/>
                      <wp:wrapNone/>
                      <wp:docPr id="60" name="Frame60"/>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551180" cy="175260"/>
                      <wp:effectExtent l="0" t="0" r="0" b="0"/>
                      <wp:wrapNone/>
                      <wp:docPr id="61" name="Frame61"/>
                      <a:graphic xmlns:a="http://schemas.openxmlformats.org/drawingml/2006/main">
                        <a:graphicData uri="http://schemas.microsoft.com/office/word/2010/wordprocessingShape">
                          <wps:wsp>
                            <wps:cNvSpPr txBox="1"/>
                            <wps:spPr>
                              <a:xfrm>
                                <a:off x="0" y="0"/>
                                <a:ext cx="551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603"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Series A </w:t>
            </w:r>
          </w:p>
        </w:tc>
        <w:tc>
          <w:tcPr>
            <w:tcW w:w="326" w:type="dxa"/>
            <w:tcBorders/>
            <w:vAlign w:val="center"/>
          </w:tcPr>
          <w:p>
            <w:pPr>
              <w:pStyle w:val="TableContents"/>
              <w:bidi w:val="0"/>
              <w:spacing w:before="0" w:after="1"/>
              <w:ind w:left="0" w:right="0" w:hanging="0"/>
              <w:jc w:val="center"/>
              <w:rPr/>
            </w:pPr>
            <w:r>
              <w:rPr/>
              <w:t>​</w:t>
            </w:r>
          </w:p>
        </w:tc>
        <w:tc>
          <w:tcPr>
            <w:tcW w:w="1843"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Series B</w:t>
            </w:r>
          </w:p>
        </w:tc>
        <w:tc>
          <w:tcPr>
            <w:tcW w:w="326" w:type="dxa"/>
            <w:tcBorders/>
            <w:vAlign w:val="center"/>
          </w:tcPr>
          <w:p>
            <w:pPr>
              <w:pStyle w:val="TableContents"/>
              <w:bidi w:val="0"/>
              <w:spacing w:before="0" w:after="1"/>
              <w:ind w:left="0" w:right="0" w:hanging="0"/>
              <w:jc w:val="center"/>
              <w:rPr/>
            </w:pPr>
            <w:r>
              <w:rPr/>
              <w:t>​</w:t>
            </w:r>
          </w:p>
        </w:tc>
        <w:tc>
          <w:tcPr>
            <w:tcW w:w="100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49" w:type="dxa"/>
            <w:tcBorders/>
            <w:vAlign w:val="center"/>
          </w:tcPr>
          <w:p>
            <w:pPr>
              <w:pStyle w:val="TableContents"/>
              <w:bidi w:val="0"/>
              <w:spacing w:before="0" w:after="1"/>
              <w:ind w:left="0" w:right="0" w:hanging="0"/>
              <w:jc w:val="center"/>
              <w:rPr/>
            </w:pPr>
            <w:r>
              <w:rPr/>
              <w:t>​</w:t>
            </w:r>
          </w:p>
        </w:tc>
        <w:tc>
          <w:tcPr>
            <w:tcW w:w="44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91" w:type="dxa"/>
            <w:tcBorders/>
            <w:vAlign w:val="center"/>
          </w:tcPr>
          <w:p>
            <w:pPr>
              <w:pStyle w:val="TableContents"/>
              <w:bidi w:val="0"/>
              <w:spacing w:before="0" w:after="1"/>
              <w:ind w:left="0" w:right="0" w:hanging="0"/>
              <w:jc w:val="center"/>
              <w:rPr/>
            </w:pPr>
            <w:r>
              <w:rPr/>
              <w:t>​</w:t>
            </w:r>
          </w:p>
        </w:tc>
        <w:tc>
          <w:tcPr>
            <w:tcW w:w="114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3" w:type="dxa"/>
            <w:tcBorders/>
            <w:vAlign w:val="center"/>
          </w:tcPr>
          <w:p>
            <w:pPr>
              <w:pStyle w:val="TableContents"/>
              <w:bidi w:val="0"/>
              <w:spacing w:before="0" w:after="1"/>
              <w:ind w:left="0" w:right="0" w:hanging="0"/>
              <w:jc w:val="center"/>
              <w:rPr/>
            </w:pPr>
            <w:r>
              <w:rPr/>
              <w:t>​</w:t>
            </w:r>
          </w:p>
        </w:tc>
        <w:tc>
          <w:tcPr>
            <w:tcW w:w="868" w:type="dxa"/>
            <w:tcBorders/>
            <w:vAlign w:val="center"/>
          </w:tcPr>
          <w:p>
            <w:pPr>
              <w:pStyle w:val="TableContents"/>
              <w:bidi w:val="0"/>
              <w:spacing w:before="0" w:after="1"/>
              <w:ind w:left="0" w:right="0" w:hanging="0"/>
              <w:jc w:val="center"/>
              <w:rPr/>
            </w:pPr>
            <w:r>
              <w:rPr/>
              <w:t>​</w:t>
            </w:r>
          </w:p>
        </w:tc>
      </w:tr>
      <w:tr>
        <w:trPr/>
        <w:tc>
          <w:tcPr>
            <w:tcW w:w="19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603"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Convertible</w:t>
            </w:r>
          </w:p>
        </w:tc>
        <w:tc>
          <w:tcPr>
            <w:tcW w:w="326" w:type="dxa"/>
            <w:tcBorders/>
            <w:vAlign w:val="center"/>
          </w:tcPr>
          <w:p>
            <w:pPr>
              <w:pStyle w:val="TableContents"/>
              <w:bidi w:val="0"/>
              <w:spacing w:before="0" w:after="1"/>
              <w:ind w:left="0" w:right="0" w:hanging="0"/>
              <w:jc w:val="center"/>
              <w:rPr/>
            </w:pPr>
            <w:r>
              <w:rPr/>
              <w:t>​</w:t>
            </w:r>
          </w:p>
        </w:tc>
        <w:tc>
          <w:tcPr>
            <w:tcW w:w="1843"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Convertible</w:t>
            </w:r>
          </w:p>
        </w:tc>
        <w:tc>
          <w:tcPr>
            <w:tcW w:w="326" w:type="dxa"/>
            <w:tcBorders/>
            <w:vAlign w:val="center"/>
          </w:tcPr>
          <w:p>
            <w:pPr>
              <w:pStyle w:val="TableContents"/>
              <w:bidi w:val="0"/>
              <w:spacing w:before="0" w:after="1"/>
              <w:ind w:left="0" w:right="0" w:hanging="0"/>
              <w:jc w:val="center"/>
              <w:rPr/>
            </w:pPr>
            <w:r>
              <w:rPr/>
              <w:t>​</w:t>
            </w:r>
          </w:p>
        </w:tc>
        <w:tc>
          <w:tcPr>
            <w:tcW w:w="100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49" w:type="dxa"/>
            <w:tcBorders/>
            <w:vAlign w:val="center"/>
          </w:tcPr>
          <w:p>
            <w:pPr>
              <w:pStyle w:val="TableContents"/>
              <w:bidi w:val="0"/>
              <w:spacing w:before="0" w:after="1"/>
              <w:ind w:left="0" w:right="0" w:hanging="0"/>
              <w:jc w:val="center"/>
              <w:rPr/>
            </w:pPr>
            <w:r>
              <w:rPr/>
              <w:t>​</w:t>
            </w:r>
          </w:p>
        </w:tc>
        <w:tc>
          <w:tcPr>
            <w:tcW w:w="44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center"/>
              <w:rPr/>
            </w:pPr>
            <w:r>
              <w:rPr/>
              <w:t>​</w:t>
            </w:r>
          </w:p>
        </w:tc>
        <w:tc>
          <w:tcPr>
            <w:tcW w:w="15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Other</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9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60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Preferred Sock</w:t>
            </w:r>
          </w:p>
        </w:tc>
        <w:tc>
          <w:tcPr>
            <w:tcW w:w="326" w:type="dxa"/>
            <w:tcBorders/>
            <w:vAlign w:val="center"/>
          </w:tcPr>
          <w:p>
            <w:pPr>
              <w:pStyle w:val="TableContents"/>
              <w:bidi w:val="0"/>
              <w:spacing w:before="0" w:after="1"/>
              <w:ind w:left="0" w:right="0" w:hanging="0"/>
              <w:jc w:val="center"/>
              <w:rPr/>
            </w:pPr>
            <w:r>
              <w:rPr/>
              <w:t>​</w:t>
            </w:r>
          </w:p>
        </w:tc>
        <w:tc>
          <w:tcPr>
            <w:tcW w:w="184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Preferred Stock</w:t>
            </w:r>
          </w:p>
        </w:tc>
        <w:tc>
          <w:tcPr>
            <w:tcW w:w="326" w:type="dxa"/>
            <w:tcBorders/>
            <w:vAlign w:val="center"/>
          </w:tcPr>
          <w:p>
            <w:pPr>
              <w:pStyle w:val="TableContents"/>
              <w:bidi w:val="0"/>
              <w:spacing w:before="0" w:after="1"/>
              <w:ind w:left="0" w:right="0" w:hanging="0"/>
              <w:jc w:val="center"/>
              <w:rPr/>
            </w:pPr>
            <w:r>
              <w:rPr/>
              <w:t>​</w:t>
            </w:r>
          </w:p>
        </w:tc>
        <w:tc>
          <w:tcPr>
            <w:tcW w:w="202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center"/>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center"/>
              <w:rPr/>
            </w:pPr>
            <w:r>
              <w:rPr/>
              <w:t>​</w:t>
            </w:r>
          </w:p>
        </w:tc>
        <w:tc>
          <w:tcPr>
            <w:tcW w:w="15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1"/>
              <w:ind w:left="0" w:right="0" w:hanging="0"/>
              <w:jc w:val="center"/>
              <w:rPr/>
            </w:pPr>
            <w:r>
              <w:rPr/>
              <w:t>​</w:t>
            </w:r>
          </w:p>
        </w:tc>
        <w:tc>
          <w:tcPr>
            <w:tcW w:w="10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center"/>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9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center"/>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center"/>
              <w:rPr/>
            </w:pPr>
            <w:r>
              <w:rPr/>
              <w:t>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center"/>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center"/>
              <w:rPr/>
            </w:pPr>
            <w:r>
              <w:rPr/>
              <w:t>    </w:t>
            </w:r>
          </w:p>
        </w:tc>
        <w:tc>
          <w:tcPr>
            <w:tcW w:w="15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26" w:type="dxa"/>
            <w:tcBorders/>
            <w:vAlign w:val="center"/>
          </w:tcPr>
          <w:p>
            <w:pPr>
              <w:pStyle w:val="TableContents"/>
              <w:bidi w:val="0"/>
              <w:spacing w:before="0" w:after="1"/>
              <w:ind w:left="0" w:right="0" w:hanging="0"/>
              <w:jc w:val="center"/>
              <w:rPr/>
            </w:pPr>
            <w:r>
              <w:rPr/>
              <w:t>    </w:t>
            </w:r>
          </w:p>
        </w:tc>
        <w:tc>
          <w:tcPr>
            <w:tcW w:w="10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center"/>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 March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194</w:t>
            </w:r>
          </w:p>
        </w:tc>
        <w:tc>
          <w:tcPr>
            <w:tcW w:w="326" w:type="dxa"/>
            <w:tcBorders/>
            <w:shd w:fill="CCEEFF" w:val="clear"/>
            <w:vAlign w:val="center"/>
          </w:tcPr>
          <w:p>
            <w:pPr>
              <w:pStyle w:val="TableContents"/>
              <w:bidi w:val="0"/>
              <w:spacing w:before="0" w:after="1"/>
              <w:ind w:left="0" w:right="0" w:hanging="0"/>
              <w:jc w:val="right"/>
              <w:rPr/>
            </w:pPr>
            <w:r>
              <w:rPr/>
              <w:t>​</w:t>
            </w:r>
          </w:p>
        </w:tc>
        <w:tc>
          <w:tcPr>
            <w:tcW w:w="249"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2,842,158</w:t>
            </w:r>
          </w:p>
        </w:tc>
        <w:tc>
          <w:tcPr>
            <w:tcW w:w="326" w:type="dxa"/>
            <w:tcBorders/>
            <w:shd w:fill="CCEEFF" w:val="clear"/>
            <w:vAlign w:val="center"/>
          </w:tcPr>
          <w:p>
            <w:pPr>
              <w:pStyle w:val="TableContents"/>
              <w:bidi w:val="0"/>
              <w:spacing w:before="0" w:after="1"/>
              <w:ind w:left="0" w:right="0" w:hanging="0"/>
              <w:jc w:val="right"/>
              <w:rPr/>
            </w:pPr>
            <w:r>
              <w:rPr/>
              <w:t>​</w:t>
            </w:r>
          </w:p>
        </w:tc>
        <w:tc>
          <w:tcPr>
            <w:tcW w:w="249"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c>
          <w:tcPr>
            <w:tcW w:w="326" w:type="dxa"/>
            <w:tcBorders/>
            <w:shd w:fill="CCEEFF" w:val="clear"/>
            <w:vAlign w:val="center"/>
          </w:tcPr>
          <w:p>
            <w:pPr>
              <w:pStyle w:val="TableContents"/>
              <w:bidi w:val="0"/>
              <w:spacing w:before="0" w:after="1"/>
              <w:ind w:left="0" w:right="0" w:hanging="0"/>
              <w:jc w:val="righ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224,358,979</w:t>
            </w:r>
          </w:p>
        </w:tc>
        <w:tc>
          <w:tcPr>
            <w:tcW w:w="326" w:type="dxa"/>
            <w:tcBorders/>
            <w:shd w:fill="CCEEFF" w:val="clear"/>
            <w:vAlign w:val="center"/>
          </w:tcPr>
          <w:p>
            <w:pPr>
              <w:pStyle w:val="TableContents"/>
              <w:bidi w:val="0"/>
              <w:spacing w:before="0" w:after="1"/>
              <w:ind w:left="0" w:right="0" w:hanging="0"/>
              <w:jc w:val="right"/>
              <w:rPr/>
            </w:pPr>
            <w:r>
              <w:rPr/>
              <w:t>​</w:t>
            </w:r>
          </w:p>
        </w:tc>
        <w:tc>
          <w:tcPr>
            <w:tcW w:w="249"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2,342,703</w:t>
            </w:r>
          </w:p>
        </w:tc>
        <w:tc>
          <w:tcPr>
            <w:tcW w:w="326"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114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(126)</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(1,675,708)</w:t>
            </w:r>
          </w:p>
        </w:tc>
        <w:tc>
          <w:tcPr>
            <w:tcW w:w="326" w:type="dxa"/>
            <w:tcBorders/>
            <w:shd w:fill="CCEEFF" w:val="clear"/>
            <w:vAlign w:val="center"/>
          </w:tcPr>
          <w:p>
            <w:pPr>
              <w:pStyle w:val="TableContents"/>
              <w:bidi w:val="0"/>
              <w:spacing w:before="0" w:after="1"/>
              <w:ind w:left="0" w:right="0" w:hanging="0"/>
              <w:jc w:val="right"/>
              <w:rPr/>
            </w:pPr>
            <w:r>
              <w:rPr/>
              <w:t>​</w:t>
            </w:r>
          </w:p>
        </w:tc>
        <w:tc>
          <w:tcPr>
            <w:tcW w:w="213"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86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666,881</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center"/>
              <w:rPr/>
            </w:pPr>
            <w:r>
              <w:rPr/>
              <w:t>​</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49" w:type="dxa"/>
            <w:tcBorders/>
            <w:vAlign w:val="center"/>
          </w:tcPr>
          <w:p>
            <w:pPr>
              <w:pStyle w:val="TableContents"/>
              <w:bidi w:val="0"/>
              <w:spacing w:before="0" w:after="1"/>
              <w:ind w:left="0" w:right="0" w:hanging="0"/>
              <w:jc w:val="center"/>
              <w:rPr/>
            </w:pPr>
            <w:r>
              <w:rPr/>
              <w:t>​</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center"/>
              <w:rPr/>
            </w:pPr>
            <w:r>
              <w:rPr/>
              <w:t>​</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16,740</w:t>
            </w:r>
          </w:p>
        </w:tc>
        <w:tc>
          <w:tcPr>
            <w:tcW w:w="32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center"/>
              <w:rPr/>
            </w:pPr>
            <w:r>
              <w:rPr/>
              <w:t>​</w:t>
            </w:r>
          </w:p>
        </w:tc>
        <w:tc>
          <w:tcPr>
            <w:tcW w:w="114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center"/>
              <w:rPr/>
            </w:pPr>
            <w:r>
              <w:rPr/>
              <w:t> </w:t>
            </w:r>
          </w:p>
        </w:tc>
        <w:tc>
          <w:tcPr>
            <w:tcW w:w="86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16,740</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Common stock issued upon purchase of employee stock purchase plan</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center"/>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49" w:type="dxa"/>
            <w:tcBorders/>
            <w:shd w:fill="CCEEFF" w:val="clear"/>
            <w:vAlign w:val="center"/>
          </w:tcPr>
          <w:p>
            <w:pPr>
              <w:pStyle w:val="TableContents"/>
              <w:bidi w:val="0"/>
              <w:spacing w:before="0" w:after="1"/>
              <w:ind w:left="0" w:right="0" w:hanging="0"/>
              <w:jc w:val="center"/>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226,196</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center"/>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1,271</w:t>
            </w:r>
          </w:p>
        </w:tc>
        <w:tc>
          <w:tcPr>
            <w:tcW w:w="32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center"/>
              <w:rPr/>
            </w:pPr>
            <w:r>
              <w:rPr/>
              <w:t>​</w:t>
            </w:r>
          </w:p>
        </w:tc>
        <w:tc>
          <w:tcPr>
            <w:tcW w:w="114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center"/>
              <w:rPr/>
            </w:pPr>
            <w:r>
              <w:rPr/>
              <w:t>​</w:t>
            </w:r>
          </w:p>
        </w:tc>
        <w:tc>
          <w:tcPr>
            <w:tcW w:w="86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1,271</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Vesting of restricted shares issued for services</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center"/>
              <w:rPr/>
            </w:pPr>
            <w:r>
              <w:rPr/>
              <w:t>​</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49" w:type="dxa"/>
            <w:tcBorders/>
            <w:vAlign w:val="center"/>
          </w:tcPr>
          <w:p>
            <w:pPr>
              <w:pStyle w:val="TableContents"/>
              <w:bidi w:val="0"/>
              <w:spacing w:before="0" w:after="1"/>
              <w:ind w:left="0" w:right="0" w:hanging="0"/>
              <w:jc w:val="center"/>
              <w:rPr/>
            </w:pPr>
            <w:r>
              <w:rPr/>
              <w:t>​</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147,364</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center"/>
              <w:rPr/>
            </w:pPr>
            <w:r>
              <w:rPr/>
              <w:t> </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 </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center"/>
              <w:rPr/>
            </w:pPr>
            <w:r>
              <w:rPr/>
              <w:t>​</w:t>
            </w:r>
          </w:p>
        </w:tc>
        <w:tc>
          <w:tcPr>
            <w:tcW w:w="114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center"/>
              <w:rPr/>
            </w:pPr>
            <w:r>
              <w:rPr/>
              <w:t> </w:t>
            </w:r>
          </w:p>
        </w:tc>
        <w:tc>
          <w:tcPr>
            <w:tcW w:w="868" w:type="dxa"/>
            <w:tcBorders/>
            <w:vAlign w:val="center"/>
          </w:tcPr>
          <w:p>
            <w:pPr>
              <w:pStyle w:val="TableContents"/>
              <w:bidi w:val="0"/>
              <w:spacing w:before="0" w:after="1"/>
              <w:ind w:left="0" w:right="0" w:hanging="0"/>
              <w:jc w:val="right"/>
              <w:rPr/>
            </w:pPr>
            <w:r>
              <w:rPr/>
              <w:t>—</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Tax payments related to shares retired for vested restricted stock units</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center"/>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49" w:type="dxa"/>
            <w:tcBorders/>
            <w:shd w:fill="CCEEFF" w:val="clear"/>
            <w:vAlign w:val="center"/>
          </w:tcPr>
          <w:p>
            <w:pPr>
              <w:pStyle w:val="TableContents"/>
              <w:bidi w:val="0"/>
              <w:spacing w:before="0" w:after="1"/>
              <w:ind w:left="0" w:right="0" w:hanging="0"/>
              <w:jc w:val="center"/>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(51,965)</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center"/>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(301)</w:t>
            </w:r>
          </w:p>
        </w:tc>
        <w:tc>
          <w:tcPr>
            <w:tcW w:w="32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center"/>
              <w:rPr/>
            </w:pPr>
            <w:r>
              <w:rPr/>
              <w:t>​</w:t>
            </w:r>
          </w:p>
        </w:tc>
        <w:tc>
          <w:tcPr>
            <w:tcW w:w="114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center"/>
              <w:rPr/>
            </w:pPr>
            <w:r>
              <w:rPr/>
              <w:t> </w:t>
            </w:r>
          </w:p>
        </w:tc>
        <w:tc>
          <w:tcPr>
            <w:tcW w:w="86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(301)</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Common stock issued upon exercise of stock options</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center"/>
              <w:rPr/>
            </w:pPr>
            <w:r>
              <w:rPr/>
              <w:t>​</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49" w:type="dxa"/>
            <w:tcBorders/>
            <w:vAlign w:val="center"/>
          </w:tcPr>
          <w:p>
            <w:pPr>
              <w:pStyle w:val="TableContents"/>
              <w:bidi w:val="0"/>
              <w:spacing w:before="0" w:after="1"/>
              <w:ind w:left="0" w:right="0" w:hanging="0"/>
              <w:jc w:val="center"/>
              <w:rPr/>
            </w:pPr>
            <w:r>
              <w:rPr/>
              <w:t>​</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7,860</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center"/>
              <w:rPr/>
            </w:pPr>
            <w:r>
              <w:rPr/>
              <w:t>​</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w:t>
            </w:r>
          </w:p>
        </w:tc>
        <w:tc>
          <w:tcPr>
            <w:tcW w:w="32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center"/>
              <w:rPr/>
            </w:pPr>
            <w:r>
              <w:rPr/>
              <w:t>​</w:t>
            </w:r>
          </w:p>
        </w:tc>
        <w:tc>
          <w:tcPr>
            <w:tcW w:w="114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center"/>
              <w:rPr/>
            </w:pPr>
            <w:r>
              <w:rPr/>
              <w:t> </w:t>
            </w:r>
          </w:p>
        </w:tc>
        <w:tc>
          <w:tcPr>
            <w:tcW w:w="86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Unrealized gain on investments</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center"/>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49" w:type="dxa"/>
            <w:tcBorders/>
            <w:shd w:fill="CCEEFF" w:val="clear"/>
            <w:vAlign w:val="center"/>
          </w:tcPr>
          <w:p>
            <w:pPr>
              <w:pStyle w:val="TableContents"/>
              <w:bidi w:val="0"/>
              <w:spacing w:before="0" w:after="1"/>
              <w:ind w:left="0" w:right="0" w:hanging="0"/>
              <w:jc w:val="center"/>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center"/>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center"/>
              <w:rPr/>
            </w:pPr>
            <w:r>
              <w:rPr/>
              <w:t> </w:t>
            </w:r>
          </w:p>
        </w:tc>
        <w:tc>
          <w:tcPr>
            <w:tcW w:w="114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center"/>
              <w:rPr/>
            </w:pPr>
            <w:r>
              <w:rPr/>
              <w:t> </w:t>
            </w:r>
          </w:p>
        </w:tc>
        <w:tc>
          <w:tcPr>
            <w:tcW w:w="86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118</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currency cumulative translation adjustment</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center"/>
              <w:rPr/>
            </w:pPr>
            <w:r>
              <w:rPr/>
              <w:t>​</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49" w:type="dxa"/>
            <w:tcBorders/>
            <w:vAlign w:val="center"/>
          </w:tcPr>
          <w:p>
            <w:pPr>
              <w:pStyle w:val="TableContents"/>
              <w:bidi w:val="0"/>
              <w:spacing w:before="0" w:after="1"/>
              <w:ind w:left="0" w:right="0" w:hanging="0"/>
              <w:jc w:val="center"/>
              <w:rPr/>
            </w:pPr>
            <w:r>
              <w:rPr/>
              <w:t>​</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center"/>
              <w:rPr/>
            </w:pPr>
            <w:r>
              <w:rPr/>
              <w:t>​</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center"/>
              <w:rPr/>
            </w:pPr>
            <w:r>
              <w:rPr/>
              <w:t>​</w:t>
            </w:r>
          </w:p>
        </w:tc>
        <w:tc>
          <w:tcPr>
            <w:tcW w:w="114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center"/>
              <w:rPr/>
            </w:pPr>
            <w:r>
              <w:rPr/>
              <w:t>​</w:t>
            </w:r>
          </w:p>
        </w:tc>
        <w:tc>
          <w:tcPr>
            <w:tcW w:w="86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333</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4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49" w:type="dxa"/>
            <w:tcBorders/>
            <w:shd w:fill="CCEEFF" w:val="clear"/>
            <w:vAlign w:val="center"/>
          </w:tcPr>
          <w:p>
            <w:pPr>
              <w:pStyle w:val="TableContents"/>
              <w:bidi w:val="0"/>
              <w:spacing w:before="0" w:after="1"/>
              <w:ind w:left="0" w:right="0" w:hanging="0"/>
              <w:jc w:val="center"/>
              <w:rPr/>
            </w:pPr>
            <w:r>
              <w:rPr/>
              <w:t>​</w:t>
            </w:r>
          </w:p>
        </w:tc>
        <w:tc>
          <w:tcPr>
            <w:tcW w:w="4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4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9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11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(106,528)</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 </w:t>
            </w:r>
          </w:p>
        </w:tc>
        <w:tc>
          <w:tcPr>
            <w:tcW w:w="8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(106,528)</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 June 30, 2023</w:t>
            </w:r>
          </w:p>
        </w:tc>
        <w:tc>
          <w:tcPr>
            <w:tcW w:w="326" w:type="dxa"/>
            <w:tcBorders/>
            <w:vAlign w:val="center"/>
          </w:tcPr>
          <w:p>
            <w:pPr>
              <w:pStyle w:val="TableContents"/>
              <w:bidi w:val="0"/>
              <w:spacing w:before="0" w:after="1"/>
              <w:ind w:left="0" w:right="0" w:hanging="0"/>
              <w:jc w:val="left"/>
              <w:rPr/>
            </w:pPr>
            <w:r>
              <w:rPr/>
              <w:t> </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194</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2,842,158</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c>
          <w:tcPr>
            <w:tcW w:w="326" w:type="dxa"/>
            <w:tcBorders/>
            <w:vAlign w:val="center"/>
          </w:tcPr>
          <w:p>
            <w:pPr>
              <w:pStyle w:val="TableContents"/>
              <w:bidi w:val="0"/>
              <w:spacing w:before="0" w:after="1"/>
              <w:ind w:left="0" w:right="0" w:hanging="0"/>
              <w:jc w:val="left"/>
              <w:rPr>
                <w:color w:val="FF0000"/>
              </w:rPr>
            </w:pPr>
            <w:r>
              <w:rPr>
                <w:color w:val="FF0000"/>
              </w:rPr>
              <w:t> </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224,688,434</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w:t>
            </w:r>
          </w:p>
        </w:tc>
        <w:tc>
          <w:tcPr>
            <w:tcW w:w="326" w:type="dxa"/>
            <w:tcBorders/>
            <w:vAlign w:val="center"/>
          </w:tcPr>
          <w:p>
            <w:pPr>
              <w:pStyle w:val="TableContents"/>
              <w:bidi w:val="0"/>
              <w:spacing w:before="0" w:after="1"/>
              <w:ind w:left="0" w:right="0" w:hanging="0"/>
              <w:jc w:val="left"/>
              <w:rPr>
                <w:color w:val="FF0000"/>
              </w:rPr>
            </w:pPr>
            <w:r>
              <w:rPr>
                <w:color w:val="FF0000"/>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2,360,468</w:t>
            </w:r>
          </w:p>
        </w:tc>
        <w:tc>
          <w:tcPr>
            <w:tcW w:w="326" w:type="dxa"/>
            <w:tcBorders/>
            <w:vAlign w:val="center"/>
          </w:tcPr>
          <w:p>
            <w:pPr>
              <w:pStyle w:val="TableContents"/>
              <w:bidi w:val="0"/>
              <w:spacing w:before="0" w:after="1"/>
              <w:ind w:left="0" w:right="0" w:hanging="0"/>
              <w:jc w:val="left"/>
              <w:rPr>
                <w:color w:val="FF0000"/>
              </w:rPr>
            </w:pPr>
            <w:r>
              <w:rPr>
                <w:color w:val="FF0000"/>
              </w:rPr>
              <w:t>​</w:t>
            </w:r>
          </w:p>
        </w:tc>
        <w:tc>
          <w:tcPr>
            <w:tcW w:w="391"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114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325</w:t>
            </w:r>
          </w:p>
        </w:tc>
        <w:tc>
          <w:tcPr>
            <w:tcW w:w="326" w:type="dxa"/>
            <w:tcBorders/>
            <w:vAlign w:val="center"/>
          </w:tcPr>
          <w:p>
            <w:pPr>
              <w:pStyle w:val="TableContents"/>
              <w:bidi w:val="0"/>
              <w:spacing w:before="0" w:after="1"/>
              <w:ind w:left="0" w:right="0" w:hanging="0"/>
              <w:jc w:val="left"/>
              <w:rPr>
                <w:color w:val="FF0000"/>
              </w:rPr>
            </w:pPr>
            <w:r>
              <w:rPr>
                <w:color w:val="FF0000"/>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(1,782,236)</w:t>
            </w:r>
          </w:p>
        </w:tc>
        <w:tc>
          <w:tcPr>
            <w:tcW w:w="326" w:type="dxa"/>
            <w:tcBorders/>
            <w:vAlign w:val="center"/>
          </w:tcPr>
          <w:p>
            <w:pPr>
              <w:pStyle w:val="TableContents"/>
              <w:bidi w:val="0"/>
              <w:spacing w:before="0" w:after="1"/>
              <w:ind w:left="0" w:right="0" w:hanging="0"/>
              <w:jc w:val="left"/>
              <w:rPr>
                <w:color w:val="FF0000"/>
              </w:rPr>
            </w:pPr>
            <w:r>
              <w:rPr>
                <w:color w:val="FF0000"/>
              </w:rPr>
              <w:t>​</w:t>
            </w:r>
          </w:p>
        </w:tc>
        <w:tc>
          <w:tcPr>
            <w:tcW w:w="213"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86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578,569</w:t>
            </w:r>
          </w:p>
        </w:tc>
      </w:tr>
      <w:tr>
        <w:trPr/>
        <w:tc>
          <w:tcPr>
            <w:tcW w:w="19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center"/>
              <w:rPr/>
            </w:pPr>
            <w:r>
              <w:rPr/>
              <w:t>​</w:t>
            </w:r>
          </w:p>
        </w:tc>
        <w:tc>
          <w:tcPr>
            <w:tcW w:w="44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center"/>
              <w:rPr/>
            </w:pPr>
            <w:r>
              <w:rPr/>
              <w:t>​</w:t>
            </w:r>
          </w:p>
        </w:tc>
        <w:tc>
          <w:tcPr>
            <w:tcW w:w="44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center"/>
              <w:rPr/>
            </w:pPr>
            <w:r>
              <w:rPr/>
              <w:t>​</w:t>
            </w:r>
          </w:p>
        </w:tc>
        <w:tc>
          <w:tcPr>
            <w:tcW w:w="44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center"/>
              <w:rPr/>
            </w:pPr>
            <w:r>
              <w:rPr/>
              <w:t>​</w:t>
            </w:r>
          </w:p>
        </w:tc>
        <w:tc>
          <w:tcPr>
            <w:tcW w:w="1140"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8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center"/>
              <w:rPr/>
            </w:pPr>
            <w:r>
              <w:rPr/>
              <w:t>​</w:t>
            </w:r>
          </w:p>
        </w:tc>
        <w:tc>
          <w:tcPr>
            <w:tcW w:w="868" w:type="dxa"/>
            <w:tcBorders/>
            <w:shd w:fill="CCEEFF" w:val="clear"/>
            <w:vAlign w:val="center"/>
          </w:tcPr>
          <w:p>
            <w:pPr>
              <w:pStyle w:val="TableContents"/>
              <w:bidi w:val="0"/>
              <w:spacing w:before="0" w:after="1"/>
              <w:ind w:left="0" w:right="0" w:hanging="0"/>
              <w:jc w:val="left"/>
              <w:rPr/>
            </w:pPr>
            <w:r>
              <w:rPr/>
              <w:t>​</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 March 31, 2022</w:t>
            </w:r>
          </w:p>
        </w:tc>
        <w:tc>
          <w:tcPr>
            <w:tcW w:w="32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194</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2,842,158</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4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157,168,321</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4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1,818,377</w:t>
            </w:r>
          </w:p>
        </w:tc>
        <w:tc>
          <w:tcPr>
            <w:tcW w:w="32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114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(2,343)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(1,264,052)</w:t>
            </w:r>
          </w:p>
        </w:tc>
        <w:tc>
          <w:tcPr>
            <w:tcW w:w="32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86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551,992</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center"/>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center"/>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center"/>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22,468</w:t>
            </w:r>
          </w:p>
        </w:tc>
        <w:tc>
          <w:tcPr>
            <w:tcW w:w="32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center"/>
              <w:rPr/>
            </w:pPr>
            <w:r>
              <w:rPr/>
              <w:t>​</w:t>
            </w:r>
          </w:p>
        </w:tc>
        <w:tc>
          <w:tcPr>
            <w:tcW w:w="114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center"/>
              <w:rPr/>
            </w:pPr>
            <w:r>
              <w:rPr/>
              <w:t> </w:t>
            </w:r>
          </w:p>
        </w:tc>
        <w:tc>
          <w:tcPr>
            <w:tcW w:w="86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22,468</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Common stock issued upon purchase of employee stock purchase plan</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center"/>
              <w:rPr/>
            </w:pPr>
            <w:r>
              <w:rPr/>
              <w:t>​</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center"/>
              <w:rPr/>
            </w:pPr>
            <w:r>
              <w:rPr/>
              <w:t>​</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80,203</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center"/>
              <w:rPr/>
            </w:pPr>
            <w:r>
              <w:rPr/>
              <w:t>​</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582</w:t>
            </w:r>
          </w:p>
        </w:tc>
        <w:tc>
          <w:tcPr>
            <w:tcW w:w="32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center"/>
              <w:rPr/>
            </w:pPr>
            <w:r>
              <w:rPr/>
              <w:t>​</w:t>
            </w:r>
          </w:p>
        </w:tc>
        <w:tc>
          <w:tcPr>
            <w:tcW w:w="114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center"/>
              <w:rPr/>
            </w:pPr>
            <w:r>
              <w:rPr/>
              <w:t> </w:t>
            </w:r>
          </w:p>
        </w:tc>
        <w:tc>
          <w:tcPr>
            <w:tcW w:w="86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582</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Vesting of restricted shares issued for services</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center"/>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center"/>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898,392</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center"/>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center"/>
              <w:rPr/>
            </w:pPr>
            <w:r>
              <w:rPr/>
              <w:t>​</w:t>
            </w:r>
          </w:p>
        </w:tc>
        <w:tc>
          <w:tcPr>
            <w:tcW w:w="114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center"/>
              <w:rPr/>
            </w:pPr>
            <w:r>
              <w:rPr/>
              <w:t>​</w:t>
            </w:r>
          </w:p>
        </w:tc>
        <w:tc>
          <w:tcPr>
            <w:tcW w:w="868" w:type="dxa"/>
            <w:tcBorders/>
            <w:shd w:fill="CCEEFF" w:val="clear"/>
            <w:vAlign w:val="center"/>
          </w:tcPr>
          <w:p>
            <w:pPr>
              <w:pStyle w:val="TableContents"/>
              <w:bidi w:val="0"/>
              <w:spacing w:before="0" w:after="1"/>
              <w:ind w:left="0" w:right="0" w:hanging="0"/>
              <w:jc w:val="right"/>
              <w:rPr/>
            </w:pPr>
            <w:r>
              <w:rPr/>
              <w:t>—</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Tax payments related to shares retired for vested restricted stock units</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center"/>
              <w:rPr/>
            </w:pPr>
            <w:r>
              <w:rPr/>
              <w:t>​</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center"/>
              <w:rPr/>
            </w:pPr>
            <w:r>
              <w:rPr/>
              <w:t>​</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(346,335)</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center"/>
              <w:rPr/>
            </w:pPr>
            <w:r>
              <w:rPr/>
              <w:t>​</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(2,649)</w:t>
            </w:r>
          </w:p>
        </w:tc>
        <w:tc>
          <w:tcPr>
            <w:tcW w:w="32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center"/>
              <w:rPr/>
            </w:pPr>
            <w:r>
              <w:rPr/>
              <w:t>​</w:t>
            </w:r>
          </w:p>
        </w:tc>
        <w:tc>
          <w:tcPr>
            <w:tcW w:w="114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center"/>
              <w:rPr/>
            </w:pPr>
            <w:r>
              <w:rPr/>
              <w:t>​</w:t>
            </w:r>
          </w:p>
        </w:tc>
        <w:tc>
          <w:tcPr>
            <w:tcW w:w="86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(2,649)</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Unrealized loss on short-term investments</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center"/>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center"/>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center"/>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center"/>
              <w:rPr/>
            </w:pPr>
            <w:r>
              <w:rPr/>
              <w:t>​</w:t>
            </w:r>
          </w:p>
        </w:tc>
        <w:tc>
          <w:tcPr>
            <w:tcW w:w="114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center"/>
              <w:rPr/>
            </w:pPr>
            <w:r>
              <w:rPr/>
              <w:t> </w:t>
            </w:r>
          </w:p>
        </w:tc>
        <w:tc>
          <w:tcPr>
            <w:tcW w:w="86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(354)</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26" w:type="dxa"/>
            <w:tcBorders/>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44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44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44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14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(99,349)</w:t>
            </w:r>
          </w:p>
        </w:tc>
        <w:tc>
          <w:tcPr>
            <w:tcW w:w="326"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p>
        </w:tc>
        <w:tc>
          <w:tcPr>
            <w:tcW w:w="86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(99,349)</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 June 30, 2022</w:t>
            </w:r>
          </w:p>
        </w:tc>
        <w:tc>
          <w:tcPr>
            <w:tcW w:w="326" w:type="dxa"/>
            <w:tcBorders/>
            <w:shd w:fill="CCEEFF" w:val="clear"/>
            <w:vAlign w:val="center"/>
          </w:tcPr>
          <w:p>
            <w:pPr>
              <w:pStyle w:val="TableContents"/>
              <w:bidi w:val="0"/>
              <w:spacing w:before="0" w:after="1"/>
              <w:ind w:left="0" w:right="0" w:hanging="0"/>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194</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2,842,158</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157,800,581</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1,838,778</w:t>
            </w:r>
          </w:p>
        </w:tc>
        <w:tc>
          <w:tcPr>
            <w:tcW w:w="326" w:type="dxa"/>
            <w:tcBorders/>
            <w:shd w:fill="CCEEFF" w:val="clear"/>
            <w:vAlign w:val="center"/>
          </w:tcPr>
          <w:p>
            <w:pPr>
              <w:pStyle w:val="TableContents"/>
              <w:bidi w:val="0"/>
              <w:spacing w:before="0" w:after="1"/>
              <w:ind w:left="0" w:right="0" w:hanging="0"/>
              <w:jc w:val="left"/>
              <w:rPr/>
            </w:pPr>
            <w:r>
              <w:rPr/>
              <w:t>​</w:t>
            </w:r>
          </w:p>
        </w:tc>
        <w:tc>
          <w:tcPr>
            <w:tcW w:w="391"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114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(2,697)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(1,363,401)</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868" w:type="dxa"/>
            <w:tcBorders>
              <w:bottom w:val="double" w:sz="6" w:space="0" w:color="000000"/>
            </w:tcBorders>
            <w:shd w:fill="CCEEFF" w:val="clear"/>
            <w:tcMar>
              <w:bottom w:w="28" w:type="dxa"/>
            </w:tcMar>
            <w:vAlign w:val="center"/>
          </w:tcPr>
          <w:p>
            <w:pPr>
              <w:pStyle w:val="TableContents"/>
              <w:bidi w:val="0"/>
              <w:spacing w:before="0" w:after="1"/>
              <w:ind w:left="0" w:right="48" w:hanging="0"/>
              <w:jc w:val="right"/>
              <w:rPr>
                <w:rFonts w:ascii="Times New Roman;Times;serif" w:hAnsi="Times New Roman;Times;serif"/>
                <w:sz w:val="16"/>
              </w:rPr>
            </w:pPr>
            <w:r>
              <w:rPr>
                <w:rFonts w:ascii="Times New Roman;Times;serif" w:hAnsi="Times New Roman;Times;serif"/>
                <w:sz w:val="16"/>
              </w:rPr>
              <w:t>472,690</w:t>
            </w:r>
          </w:p>
        </w:tc>
      </w:tr>
    </w:tbl>
    <w:p>
      <w:pPr>
        <w:pStyle w:val="TextBody"/>
        <w:bidi w:val="0"/>
        <w:spacing w:before="0" w:after="200"/>
        <w:ind w:left="0" w:right="0" w:firstLine="547"/>
        <w:jc w:val="left"/>
        <w:rPr/>
      </w:pPr>
      <w:r>
        <w:rPr/>
        <w:t>​</w:t>
      </w:r>
    </w:p>
    <w:p>
      <w:pPr>
        <w:pStyle w:val="TextBody"/>
        <w:bidi w:val="0"/>
        <w:spacing w:before="0" w:after="200"/>
        <w:ind w:left="0" w:right="0" w:firstLine="547"/>
        <w:jc w:val="left"/>
        <w:rPr/>
      </w:pPr>
      <w:r>
        <w:rPr/>
        <w:t>​</w:t>
      </w:r>
    </w:p>
    <w:p>
      <w:pPr>
        <w:pStyle w:val="TextBody"/>
        <w:bidi w:val="0"/>
        <w:spacing w:before="0" w:after="200"/>
        <w:ind w:left="0" w:right="0" w:firstLine="547"/>
        <w:jc w:val="left"/>
        <w:rPr/>
      </w:pPr>
      <w:r>
        <w:rPr/>
        <w:t>​</w:t>
      </w:r>
    </w:p>
    <w:p>
      <w:pPr>
        <w:pStyle w:val="TextBody"/>
        <w:bidi w:val="0"/>
        <w:spacing w:before="0" w:after="200"/>
        <w:ind w:left="0" w:right="0" w:firstLine="547"/>
        <w:jc w:val="left"/>
        <w:rPr/>
      </w:pPr>
      <w:r>
        <w:rPr/>
        <w:t>​</w:t>
      </w:r>
    </w:p>
    <w:p>
      <w:pPr>
        <w:pStyle w:val="TextBody"/>
        <w:bidi w:val="0"/>
        <w:spacing w:before="0" w:after="200"/>
        <w:ind w:left="0" w:right="0" w:firstLine="547"/>
        <w:jc w:val="left"/>
        <w:rPr/>
      </w:pPr>
      <w:r>
        <w:rPr/>
        <w:t>​</w:t>
      </w:r>
    </w:p>
    <w:p>
      <w:pPr>
        <w:pStyle w:val="TextBody"/>
        <w:bidi w:val="0"/>
        <w:spacing w:before="0" w:after="200"/>
        <w:ind w:left="0" w:right="0" w:firstLine="547"/>
        <w:jc w:val="left"/>
        <w:rPr/>
      </w:pPr>
      <w:r>
        <w:rPr/>
        <w:t>​</w:t>
      </w:r>
    </w:p>
    <w:p>
      <w:pPr>
        <w:pStyle w:val="TextBody"/>
        <w:bidi w:val="0"/>
        <w:spacing w:before="0" w:after="200"/>
        <w:ind w:left="0" w:right="0" w:firstLine="547"/>
        <w:jc w:val="center"/>
        <w:rPr/>
      </w:pPr>
      <w:r>
        <w:rPr/>
        <w:t>​</w:t>
      </w:r>
    </w:p>
    <w:p>
      <w:pPr>
        <w:pStyle w:val="TextBody"/>
        <w:bidi w:val="0"/>
        <w:spacing w:before="0" w:after="0"/>
        <w:ind w:left="0" w:right="0" w:firstLine="547"/>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200"/>
        <w:ind w:left="0" w:right="0" w:firstLine="547"/>
        <w:jc w:val="center"/>
        <w:rPr/>
      </w:pPr>
      <w:r>
        <w:rPr/>
        <w:t>​</w:t>
      </w:r>
    </w:p>
    <w:p>
      <w:pPr>
        <w:pStyle w:val="TextBody"/>
        <w:bidi w:val="0"/>
        <w:spacing w:before="0" w:after="200"/>
        <w:ind w:left="0" w:right="0" w:firstLine="547"/>
        <w:jc w:val="center"/>
        <w:rPr/>
      </w:pPr>
      <w:r>
        <w:rPr/>
        <w:t>​</w:t>
      </w:r>
    </w:p>
    <w:p>
      <w:pPr>
        <w:pStyle w:val="TextBody"/>
        <w:bidi w:val="0"/>
        <w:spacing w:before="0" w:after="200"/>
        <w:ind w:left="0" w:right="0" w:firstLine="547"/>
        <w:jc w:val="center"/>
        <w:rPr/>
      </w:pPr>
      <w:r>
        <w:rPr/>
        <w:t>​</w:t>
      </w:r>
    </w:p>
    <w:p>
      <w:pPr>
        <w:pStyle w:val="TextBody"/>
        <w:bidi w:val="0"/>
        <w:spacing w:before="0" w:after="200"/>
        <w:ind w:left="0" w:right="0" w:firstLine="547"/>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7"/>
        <w:jc w:val="center"/>
        <w:rPr>
          <w:rFonts w:ascii="Times New Roman;Times;serif" w:hAnsi="Times New Roman;Times;serif"/>
          <w:b/>
          <w:sz w:val="20"/>
        </w:rPr>
      </w:pPr>
      <w:r>
        <w:rPr>
          <w:rFonts w:ascii="Times New Roman;Times;serif" w:hAnsi="Times New Roman;Times;serif"/>
          <w:b/>
          <w:sz w:val="20"/>
        </w:rPr>
        <w:t>IOVANCE BIOTHERAPEUTICS,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Six Months Ended June 30, 2023 and 2022</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share information)</w:t>
      </w:r>
    </w:p>
    <w:p>
      <w:pPr>
        <w:pStyle w:val="TextBody"/>
        <w:bidi w:val="0"/>
        <w:spacing w:before="0" w:after="200"/>
        <w:ind w:left="0" w:right="0" w:firstLine="547"/>
        <w:jc w:val="center"/>
        <w:rPr/>
      </w:pPr>
      <w:r>
        <w:rPr/>
        <w:t>​</w:t>
      </w:r>
    </w:p>
    <w:p>
      <w:pPr>
        <w:pStyle w:val="Normal"/>
        <w:bidi w:val="0"/>
        <w:spacing w:before="0" w:after="0"/>
        <w:jc w:val="left"/>
        <w:rPr>
          <w:sz w:val="4"/>
          <w:szCs w:val="4"/>
        </w:rPr>
      </w:pPr>
      <w:r>
        <w:rPr>
          <w:sz w:val="4"/>
          <w:szCs w:val="4"/>
        </w:rPr>
      </w:r>
      <w:bookmarkStart w:id="666" w:name="Tc_siT4cUxHxkqvLZyThR59DA_25_26"/>
      <w:bookmarkStart w:id="667" w:name="Tc_DF9HY-nHE06QzOE5H0vR2Q_25_23"/>
      <w:bookmarkStart w:id="668" w:name="Tc_PP187eSLpUSMkETO1PvyGw_25_20"/>
      <w:bookmarkStart w:id="669" w:name="Tc_9bZ3PrQGIkC64PBWiCPO1A_25_17"/>
      <w:bookmarkStart w:id="670" w:name="Tc_D3i_fK6j0kiXeLC_LN_eLQ_25_14"/>
      <w:bookmarkStart w:id="671" w:name="Tc_BZSGAV0pAUK0Rg6NXh5ATg_25_9"/>
      <w:bookmarkStart w:id="672" w:name="Tc_S8ge8HzD40OEnt0nhN0uWA_25_5"/>
      <w:bookmarkStart w:id="673" w:name="Tc_h_corQLkokaCMB0K7rDbmA_25_4"/>
      <w:bookmarkStart w:id="674" w:name="Tc_1GEspOkL50CDW2sp7EoDJw_25_0"/>
      <w:bookmarkStart w:id="675" w:name="Tc_vlckrbwjbkO-m50FcO3PPw_24_21"/>
      <w:bookmarkStart w:id="676" w:name="Tc_ZEA33s-Iq0aex2UadMqD_g_24_18"/>
      <w:bookmarkStart w:id="677" w:name="Tc_1HmwM7oJIUOukxtZMEg1OA_24_15"/>
      <w:bookmarkStart w:id="678" w:name="Tc_jE4Dvy5Vi0a0EMp1SSM7oA_24_12"/>
      <w:bookmarkStart w:id="679" w:name="Tc_iCnRgcLBfkS1DBcYWuQ0kA_24_10"/>
      <w:bookmarkStart w:id="680" w:name="Tc_WihUB26OJ029BWIXuks-2A_24_7"/>
      <w:bookmarkStart w:id="681" w:name="Tc_f8qFTh9E10SlfHW5MW8RUw_24_5"/>
      <w:bookmarkStart w:id="682" w:name="Tc_DOzTQtKHO0CwYOX28P2FLQ_24_2"/>
      <w:bookmarkStart w:id="683" w:name="Tc_ARy7IXjLOUWOGpE5OmtjNQ_24_0"/>
      <w:bookmarkStart w:id="684" w:name="Tc_8n9RTwzniEeWOz-o0-vLLw_23_24"/>
      <w:bookmarkStart w:id="685" w:name="Tc_mxluxbP9S0mRY0VfHr73GA_23_18"/>
      <w:bookmarkStart w:id="686" w:name="Tc_zbXQWZ4_6EiozNYyuB7Akw_23_15"/>
      <w:bookmarkStart w:id="687" w:name="Tc_TDyCFK1_30ynA49PHFtzNg_23_12"/>
      <w:bookmarkStart w:id="688" w:name="Tc_W8doH8H6jUeyvyNhk6906A_23_10"/>
      <w:bookmarkStart w:id="689" w:name="Tc_QYYl8i8iNkCjjFlmVMw8PA_23_7"/>
      <w:bookmarkStart w:id="690" w:name="Tc_X0SezY0GKEmaziN4H-jACA_23_5"/>
      <w:bookmarkStart w:id="691" w:name="Tc_R9ZQEC-KzUCHOzI2E_ziig_23_2"/>
      <w:bookmarkStart w:id="692" w:name="Tc_feBrkngePEWZN97IrmegJw_23_0"/>
      <w:bookmarkStart w:id="693" w:name="Tc_hL6l9fUzwUaDS9ZbMrD8CA_22_24"/>
      <w:bookmarkStart w:id="694" w:name="Tc_Me7FABmWmEWRU-vcJrd4Pw_22_21"/>
      <w:bookmarkStart w:id="695" w:name="Tc_a9Mr-O7DL0mrrPJGdyKgnA_22_15"/>
      <w:bookmarkStart w:id="696" w:name="Tc_VemR9T1EeUa2kLsVNU3CXg_22_10"/>
      <w:bookmarkStart w:id="697" w:name="Tc_I__9iw_V_kaSuOf3_9yq5w_22_7"/>
      <w:bookmarkStart w:id="698" w:name="Tc_z-fktPPW0ky_ssC51S9jGw_22_5"/>
      <w:bookmarkStart w:id="699" w:name="Tc_twvsot3HYEezDiRYDfPzOA_22_2"/>
      <w:bookmarkStart w:id="700" w:name="Tc_O-Rg3B3MyU6AcfkBYuVBMQ_22_0"/>
      <w:bookmarkStart w:id="701" w:name="Tc_vUUe2dJmUUaBazbLFjPdsg_21_24"/>
      <w:bookmarkStart w:id="702" w:name="Tc_Lcj9HJqsv0OhLM9Fy_tvMg_21_21"/>
      <w:bookmarkStart w:id="703" w:name="Tc_m9tT3jj-TUqjNkR9CBwuRg_21_15"/>
      <w:bookmarkStart w:id="704" w:name="Tc_6Cjf4xa1X0-sA9bEgjau3Q_21_10"/>
      <w:bookmarkStart w:id="705" w:name="Tc_HkQH9qM-XkiQyblVpPnQLQ_21_7"/>
      <w:bookmarkStart w:id="706" w:name="Tc_pZUbSmQzikaRo-eZnD7gdA_21_5"/>
      <w:bookmarkStart w:id="707" w:name="Tc_8lW78Ln7aU-Rd8fcpRZLCg_21_2"/>
      <w:bookmarkStart w:id="708" w:name="Tc_chFeYH9pXECAHrsbL3IRFg_21_0"/>
      <w:bookmarkStart w:id="709" w:name="Tc_E3UWL28FWUuWUHKTaDxwPg_20_27"/>
      <w:bookmarkStart w:id="710" w:name="Tc_GFdgtVCG3kWK8QbxsrDSmw_20_24"/>
      <w:bookmarkStart w:id="711" w:name="Tc_BNwIH1Y0IkiyJWS_LlCLHA_20_21"/>
      <w:bookmarkStart w:id="712" w:name="Tc_frPjNP0x2EiUiHR7zvZdsQ_20_18"/>
      <w:bookmarkStart w:id="713" w:name="Tc_JDu6wU7Mg0GXR8_jaDmnwQ_20_15"/>
      <w:bookmarkStart w:id="714" w:name="Tc_6TF-RnLdG0G9B-KA0EeI0w_20_10"/>
      <w:bookmarkStart w:id="715" w:name="Tc_sdiH051tL0qzv9rEGoqPqQ_20_7"/>
      <w:bookmarkStart w:id="716" w:name="Tc_Og8mUi1a0UCadclhY2o-9w_20_5"/>
      <w:bookmarkStart w:id="717" w:name="Tc_DzZBxvPTLE-k7Xt_StfdPQ_20_2"/>
      <w:bookmarkStart w:id="718" w:name="Tc_1PWtUEJ8YE60o1mXJmwp-Q_20_0"/>
      <w:bookmarkStart w:id="719" w:name="Tc_UrUFkVFeyEuL3u4wBaVVnA_19_24"/>
      <w:bookmarkStart w:id="720" w:name="Tc_lgT5LcD2W0qyly_Rru7kwA_19_21"/>
      <w:bookmarkStart w:id="721" w:name="Tc_kzKBFlWbUEiVe094-3sBMQ_19_15"/>
      <w:bookmarkStart w:id="722" w:name="Tc_AztqRslSyECUdHC-AWGvNA_19_10"/>
      <w:bookmarkStart w:id="723" w:name="Tc_Oj1Gqt2qM0qYaUuIdTarRQ_19_7"/>
      <w:bookmarkStart w:id="724" w:name="Tc_Ws-bSDL3OUWkK3vSihlKLA_19_5"/>
      <w:bookmarkStart w:id="725" w:name="Tc_H1KbjAJMdkSBv1BMb7gTaQ_19_2"/>
      <w:bookmarkStart w:id="726" w:name="Tc_x_cT_l7ET0yh2TWSDv3-Vw_19_0"/>
      <w:bookmarkStart w:id="727" w:name="Tc_4MHDEUd1M0Kv0MrZJi6Ajw_18_24"/>
      <w:bookmarkStart w:id="728" w:name="Tc_ANbHjXjQa0iAkSBKJU9n6Q_18_21"/>
      <w:bookmarkStart w:id="729" w:name="Tc_9U4VbTsmPEeCQWUUDCqLMA_18_15"/>
      <w:bookmarkStart w:id="730" w:name="Tc_RgKvGV1yGEeQjKVhTCAwZA_18_12"/>
      <w:bookmarkStart w:id="731" w:name="Tc_wof8gAwAp06sX-7jqNVuWw_18_10"/>
      <w:bookmarkStart w:id="732" w:name="Tc_uCWOGl9tbUSLAudWgfbcRw_18_7"/>
      <w:bookmarkStart w:id="733" w:name="Tc_kyu5HE6URUWsDKk-_0q0_Q_18_5"/>
      <w:bookmarkStart w:id="734" w:name="Tc_FNF0AbUbiEyAopNXGI5UGg_18_2"/>
      <w:bookmarkStart w:id="735" w:name="Tc_0AYiwDWhJ0Wa9vr7qUzqRw_18_0"/>
      <w:bookmarkStart w:id="736" w:name="Tc_RgaOHjwps02tS2W_RhPU_A_17_26"/>
      <w:bookmarkStart w:id="737" w:name="Tc_8FasHh89mkew4VLacBRWBQ_17_23"/>
      <w:bookmarkStart w:id="738" w:name="Tc_-ETvGLpnU02hjMv4xpm6Tw_17_20"/>
      <w:bookmarkStart w:id="739" w:name="Tc_LTeceMZcTUCgzyXAbKIQvA_17_17"/>
      <w:bookmarkStart w:id="740" w:name="Tc_Tbtcco63OEGFHRtH9O0JFg_17_14"/>
      <w:bookmarkStart w:id="741" w:name="Tc_34sCD4cwMkesovIKqx-CJw_17_9"/>
      <w:bookmarkStart w:id="742" w:name="Tc_zeGgVDBF-UaTGEj7sdE0qw_17_5"/>
      <w:bookmarkStart w:id="743" w:name="Tc_79JtJDQjeU23QkTX_sK3zw_17_4"/>
      <w:bookmarkStart w:id="744" w:name="Tc_J3kRxY6RM0S1NJIHAlvgdw_17_0"/>
      <w:bookmarkStart w:id="745" w:name="Tc_qBKzxON8PUqwN1O6wKusWg_15_26"/>
      <w:bookmarkStart w:id="746" w:name="Tc_D2Z6nby1NEKQO776PqKyrw_15_23"/>
      <w:bookmarkStart w:id="747" w:name="Tc_KtkiHTE1KUCIHgUM7hceIw_15_20"/>
      <w:bookmarkStart w:id="748" w:name="Tc_6uLLdHKIZUCx8Ec_RuoMNA_15_17"/>
      <w:bookmarkStart w:id="749" w:name="Tc_vYmQz4zRY0uxkBEr2Xp0-A_15_14"/>
      <w:bookmarkStart w:id="750" w:name="Tc_7fMFD3XSeE619KwTWbmT8w_15_9"/>
      <w:bookmarkStart w:id="751" w:name="Tc_C-3S1J0BXUOqA6BLjX_Ywg_15_5"/>
      <w:bookmarkStart w:id="752" w:name="Tc_CuvE5l9BukyQHe7XWEQvzQ_15_4"/>
      <w:bookmarkStart w:id="753" w:name="Tc_fLK99SYEu0WPf9csVFD3Yg_15_0"/>
      <w:bookmarkStart w:id="754" w:name="Tc_On0p6vhRdEGFRZSJkneWvA_14_21"/>
      <w:bookmarkStart w:id="755" w:name="Tc_xlFQUEFZP0un6LYXSr2u2A_14_18"/>
      <w:bookmarkStart w:id="756" w:name="Tc_O4JwlV2yoEe4NuhCBY4zBw_14_15"/>
      <w:bookmarkStart w:id="757" w:name="Tc_6ryCHXaSB06L3RwYwfzyTA_14_12"/>
      <w:bookmarkStart w:id="758" w:name="Tc_hWA1z9pLLU61ZSjCdaLbeg_14_10"/>
      <w:bookmarkStart w:id="759" w:name="Tc_CDBJb8iTRUKQh1jOtnAsJg_14_7"/>
      <w:bookmarkStart w:id="760" w:name="Tc_23JVeS7YU0qXNuHWphTKFw_14_5"/>
      <w:bookmarkStart w:id="761" w:name="Tc_8t_UtpBnY0OOEidiqQMFhQ_14_2"/>
      <w:bookmarkStart w:id="762" w:name="Tc_hrqTtSDHG02ERWRiqsuZBw_14_0"/>
      <w:bookmarkStart w:id="763" w:name="Tc_b6rRlO9XAEaOxrxDoeqJzg_13_24"/>
      <w:bookmarkStart w:id="764" w:name="Tc_1TohcZ-pKkiZXYfVJBBQgw_13_18"/>
      <w:bookmarkStart w:id="765" w:name="Tc_HdFZCiORKECexOnAUBwjAg_13_15"/>
      <w:bookmarkStart w:id="766" w:name="Tc_XXsGL___aEymju6VwCgZ_g_13_12"/>
      <w:bookmarkStart w:id="767" w:name="Tc_IovrNAcUv0qXNGRp1J7ZjA_13_10"/>
      <w:bookmarkStart w:id="768" w:name="Tc_v7C1RTmvU0y8fS98AFSSng_13_7"/>
      <w:bookmarkStart w:id="769" w:name="Tc_Ut79hcu2FEescnG75xrM_g_13_5"/>
      <w:bookmarkStart w:id="770" w:name="Tc_HsNWhELGk0-FlkoFb_Jjng_13_2"/>
      <w:bookmarkStart w:id="771" w:name="Tc_04NvUEBNWEKU3XXkI0J5Yg_13_0"/>
      <w:bookmarkStart w:id="772" w:name="Tc_a-2LMfg8nU6zDKodSLUyxA_12_24"/>
      <w:bookmarkStart w:id="773" w:name="Tc_ZiiRaXAi6EOeIO3o00AvGA_12_18"/>
      <w:bookmarkStart w:id="774" w:name="Tc_6ST5DUykbEmQpcMOIXUTOw_12_15"/>
      <w:bookmarkStart w:id="775" w:name="Tc_BTEKmCuI10iRX3naK70CWQ_12_12"/>
      <w:bookmarkStart w:id="776" w:name="Tc_KMEoDWx9LE6eDwX1njWhsg_12_10"/>
      <w:bookmarkStart w:id="777" w:name="Tc_kPO-LK5Yak6PtwjdO1ctdQ_12_7"/>
      <w:bookmarkStart w:id="778" w:name="Tc_yvlZf3tNWE6tLidTusmOkA_12_5"/>
      <w:bookmarkStart w:id="779" w:name="Tc_t8AFeIHS4E2cW8fiv4oHeA_12_2"/>
      <w:bookmarkStart w:id="780" w:name="Tc_cmEihj9In0e9oCpR2YOY2Q_12_0"/>
      <w:bookmarkStart w:id="781" w:name="Tc_vbZgeEwaZk-5WAFgp-e-fA_11_24"/>
      <w:bookmarkStart w:id="782" w:name="Tc_XWqMT98dPEKHNzpU3ks-VQ_11_21"/>
      <w:bookmarkStart w:id="783" w:name="Tc_oHhprJzSAEGQoEQ18bnsaA_11_10"/>
      <w:bookmarkStart w:id="784" w:name="Tc_yvbmMesHIUKtaQ76LOeTOw_11_7"/>
      <w:bookmarkStart w:id="785" w:name="Tc_PIxWUwk3nEK90jeVYZSyXQ_11_5"/>
      <w:bookmarkStart w:id="786" w:name="Tc_ZHkNGOsI0EO4AEOeneA9lQ_11_2"/>
      <w:bookmarkStart w:id="787" w:name="Tc_hAc09L1qaUuD9fHOLvzkhg_11_0"/>
      <w:bookmarkStart w:id="788" w:name="Tc_Aah1SrKVykG7JxZLEVsFrg_10_24"/>
      <w:bookmarkStart w:id="789" w:name="Tc_0YNFPzrmGUqs-hTT5CD4Sg_10_21"/>
      <w:bookmarkStart w:id="790" w:name="Tc_azUmsIgEZEafJ2mQrIh9Og_10_15"/>
      <w:bookmarkStart w:id="791" w:name="Tc_iiQzIuYGJUGL3F1yzl7V6Q_10_10"/>
      <w:bookmarkStart w:id="792" w:name="Tc_R0IbKeXLnEWn1_GUdaIClA_10_7"/>
      <w:bookmarkStart w:id="793" w:name="Tc_zdPoa0_m9kSo5n-gjVSeVw_10_5"/>
      <w:bookmarkStart w:id="794" w:name="Tc_tSGjN1P1sEmuKfaIc7HbfQ_10_2"/>
      <w:bookmarkStart w:id="795" w:name="Tc_1miX6QSWEUGR7HfC0g4J0w_10_0"/>
      <w:bookmarkStart w:id="796" w:name="Tc_zJ6R5vWK6kK6HHEmb_tiNg_9_24"/>
      <w:bookmarkStart w:id="797" w:name="Tc_4DcfMByAMk6gcNJ-Mo2m0g_9_21"/>
      <w:bookmarkStart w:id="798" w:name="Tc_nb45t7QOb0a8y4DPFh1_HA_9_15"/>
      <w:bookmarkStart w:id="799" w:name="Tc_cPWbNIrMV0yMuivaZh_W9w_9_10"/>
      <w:bookmarkStart w:id="800" w:name="Tc_k0TJsnMhwEK4PGSIYiM5MQ_9_7"/>
      <w:bookmarkStart w:id="801" w:name="Tc_J4nWvFlDoEi2iT-4njTr8A_9_5"/>
      <w:bookmarkStart w:id="802" w:name="Tc_BIFVqGSNBEWz2Ax2jp3LQw_9_2"/>
      <w:bookmarkStart w:id="803" w:name="Tc_FHTy2dyoxEGOR8yKtoKZ7g_9_0"/>
      <w:bookmarkStart w:id="804" w:name="Tc_C423UJh61UWWairWlweT2A_8_24"/>
      <w:bookmarkStart w:id="805" w:name="Tc_XnzKg7iKzUWhuPu4h9L6yA_8_21"/>
      <w:bookmarkStart w:id="806" w:name="Tc_zmiE9TtFAkSZrfvVJZCrwg_8_15"/>
      <w:bookmarkStart w:id="807" w:name="Tc_yccRXK2U5U6LTUOcnWQhcw_8_10"/>
      <w:bookmarkStart w:id="808" w:name="Tc_0Ae8gixnD0erj_Q62cM7iA_8_7"/>
      <w:bookmarkStart w:id="809" w:name="Tc_sZZavQ_sdEif2kn81DoJPA_8_5"/>
      <w:bookmarkStart w:id="810" w:name="Tc_TLty_Wnxb0CD_3zjBbEZqw_8_2"/>
      <w:bookmarkStart w:id="811" w:name="Tc_iCf8yta4HUCtpBujxR7U1A_8_0"/>
      <w:bookmarkStart w:id="812" w:name="Tc_IWnsGZY6t022GdZPXGUweA_7_27"/>
      <w:bookmarkStart w:id="813" w:name="Tc_5MJ6WgZAeES8aQl7DVpnJw_7_24"/>
      <w:bookmarkStart w:id="814" w:name="Tc_EZNBLkWMCk6HM9nX4_GdKQ_7_21"/>
      <w:bookmarkStart w:id="815" w:name="Tc_t5-fzdK2nEWlbk6Uhs_Rjg_7_18"/>
      <w:bookmarkStart w:id="816" w:name="Tc_6O6MMEk4YEeSzgZ3tr3AsA_7_15"/>
      <w:bookmarkStart w:id="817" w:name="Tc_8gRsMLVxR02Pm1_CDLlnfg_7_10"/>
      <w:bookmarkStart w:id="818" w:name="Tc_VWTTe21W9ESeKaLKMlCeyg_7_7"/>
      <w:bookmarkStart w:id="819" w:name="Tc_EN76UMyb90Ofki2WvmGM1Q_7_5"/>
      <w:bookmarkStart w:id="820" w:name="Tc_T5fS-KzmsECNUmqHpbMJrA_7_2"/>
      <w:bookmarkStart w:id="821" w:name="Tc_r9mnrEnaN0eqdGMMqL9wmQ_7_0"/>
      <w:bookmarkStart w:id="822" w:name="Tc_JzW5oqGLXEOC_DcM2qYcvg_6_24"/>
      <w:bookmarkStart w:id="823" w:name="Tc_pRI2XOvOUkiUXmKUsctDWg_6_21"/>
      <w:bookmarkStart w:id="824" w:name="Tc_m4PHBEfSs0q3b2QkmAI8oA_6_15"/>
      <w:bookmarkStart w:id="825" w:name="Tc_-717gFx7ykyXNnmV6fAgJw_6_12"/>
      <w:bookmarkStart w:id="826" w:name="Tc_twnWySVqKEuA96_jb4c79w_6_10"/>
      <w:bookmarkStart w:id="827" w:name="Tc_ytr9TR3GV063iisLV62Wkg_6_7"/>
      <w:bookmarkStart w:id="828" w:name="Tc_joovaaJR-EmPXQFILywPdw_6_5"/>
      <w:bookmarkStart w:id="829" w:name="Tc_g9sVO5IHnEGSmpN4P0r0ZQ_6_2"/>
      <w:bookmarkStart w:id="830" w:name="Tc_rCcfueu2lk-PQEh_v3mf9Q_6_0"/>
      <w:bookmarkStart w:id="831" w:name="Tc_va2JXUsAHEmrUM2F2COVHw_5_26"/>
      <w:bookmarkStart w:id="832" w:name="Tc_espRb06dLk-uOj2Dt1S3oQ_5_23"/>
      <w:bookmarkStart w:id="833" w:name="Tc_xv5iZe3B50CfWxTl2PU50w_5_20"/>
      <w:bookmarkStart w:id="834" w:name="Tc_px1XX9LOAUOUfbYRUJHmVg_5_17"/>
      <w:bookmarkStart w:id="835" w:name="Tc_WnvL5fw-5EizdrCDGK00KA_5_14"/>
      <w:bookmarkStart w:id="836" w:name="Tc_clX12cm240-Phq-5V2mDAg_5_9"/>
      <w:bookmarkStart w:id="837" w:name="Tc_u2-rX6Djc0mHs4sEWwfMpw_5_5"/>
      <w:bookmarkStart w:id="838" w:name="Tc_lhVLIeL3ZEG4PsZiMo6_ZA_5_4"/>
      <w:bookmarkStart w:id="839" w:name="Tc_LP9qNFxrYUOEg2z7A9EGYg_5_0"/>
      <w:bookmarkStart w:id="840" w:name="Tc_GN_S4mqyx0i4Ao-ep2CnIQ_4_26"/>
      <w:bookmarkStart w:id="841" w:name="Tc_SbPoQ0AYvEG3b0n7xBVLqg_4_23"/>
      <w:bookmarkStart w:id="842" w:name="Tc_8BI717gTO0aW_YWoOSF3zw_4_20"/>
      <w:bookmarkStart w:id="843" w:name="Tc_0cAUt2fv-EWuxHqXLRYcag_4_17"/>
      <w:bookmarkStart w:id="844" w:name="Tc_uzkS0THXmkOC1jE8MNksug_4_14"/>
      <w:bookmarkStart w:id="845" w:name="Tc_rXF8VbAGsEaJf4tbmO-nXQ_4_12"/>
      <w:bookmarkStart w:id="846" w:name="Tc_w8CqHJi9l0ytXIQsqyyuAA_4_9"/>
      <w:bookmarkStart w:id="847" w:name="Tc_Drwa6kkTZE6vFRKE3XNeug_4_7"/>
      <w:bookmarkStart w:id="848" w:name="Tc_g0fT-7_ndkKtwIUhvSYunA_4_4"/>
      <w:bookmarkStart w:id="849" w:name="Tc_fpfL6v9ZlEOP8i0BHCNEZA_4_2"/>
      <w:bookmarkStart w:id="850" w:name="Tc_DVsBHT7tQESZ8IauqFGiKQ_3_26"/>
      <w:bookmarkStart w:id="851" w:name="Tc_t0f3RQ1s6UivxA0SJmgxLQ_3_23"/>
      <w:bookmarkStart w:id="852" w:name="Tc_M9uRuedKXEmUfGYzVafzPg_3_20"/>
      <w:bookmarkStart w:id="853" w:name="Tc_V83DCGWGq0yJiq6yPpkyGQ_3_17"/>
      <w:bookmarkStart w:id="854" w:name="Tc_mzt5QgyxoE20fzyWS-ZNIA_3_12"/>
      <w:bookmarkStart w:id="855" w:name="Tc_oSF96U-yPU6RG5B0277WyQ_3_7"/>
      <w:bookmarkStart w:id="856" w:name="Tc_uv5Z2Gm0NUyb9v9yqlKF9w_3_2"/>
      <w:bookmarkStart w:id="857" w:name="Tc_8R193QJ7KkSXTA5t6FRM7Q_2_26"/>
      <w:bookmarkStart w:id="858" w:name="Tc_ZRaWx5Qgfk2nDWUzzeuNHw_2_20"/>
      <w:bookmarkStart w:id="859" w:name="Tc_0VDMlGRwPE2d-rix0LHWww_2_17"/>
      <w:bookmarkStart w:id="860" w:name="Tc_UHaPlH_fTUCGLKpdwTsrZg_2_7"/>
      <w:bookmarkStart w:id="861" w:name="Tc_XXN2UY7uxUKeN3HhrXSe6A_2_2"/>
      <w:bookmarkStart w:id="862" w:name="Tc_e1ckDqcomkKtFalRukQ1lw_1_7"/>
      <w:bookmarkStart w:id="863" w:name="Tc_O-Q1tKovbE2L_2QdM45QVg_1_2"/>
      <w:bookmarkStart w:id="864" w:name="_f2598fdd_d674_40af_92ba_a54a4c2ad8e5"/>
      <w:bookmarkStart w:id="865" w:name="Tc_siT4cUxHxkqvLZyThR59DA_25_26"/>
      <w:bookmarkStart w:id="866" w:name="Tc_DF9HY-nHE06QzOE5H0vR2Q_25_23"/>
      <w:bookmarkStart w:id="867" w:name="Tc_PP187eSLpUSMkETO1PvyGw_25_20"/>
      <w:bookmarkStart w:id="868" w:name="Tc_9bZ3PrQGIkC64PBWiCPO1A_25_17"/>
      <w:bookmarkStart w:id="869" w:name="Tc_D3i_fK6j0kiXeLC_LN_eLQ_25_14"/>
      <w:bookmarkStart w:id="870" w:name="Tc_BZSGAV0pAUK0Rg6NXh5ATg_25_9"/>
      <w:bookmarkStart w:id="871" w:name="Tc_S8ge8HzD40OEnt0nhN0uWA_25_5"/>
      <w:bookmarkStart w:id="872" w:name="Tc_h_corQLkokaCMB0K7rDbmA_25_4"/>
      <w:bookmarkStart w:id="873" w:name="Tc_1GEspOkL50CDW2sp7EoDJw_25_0"/>
      <w:bookmarkStart w:id="874" w:name="Tc_vlckrbwjbkO-m50FcO3PPw_24_21"/>
      <w:bookmarkStart w:id="875" w:name="Tc_ZEA33s-Iq0aex2UadMqD_g_24_18"/>
      <w:bookmarkStart w:id="876" w:name="Tc_1HmwM7oJIUOukxtZMEg1OA_24_15"/>
      <w:bookmarkStart w:id="877" w:name="Tc_jE4Dvy5Vi0a0EMp1SSM7oA_24_12"/>
      <w:bookmarkStart w:id="878" w:name="Tc_iCnRgcLBfkS1DBcYWuQ0kA_24_10"/>
      <w:bookmarkStart w:id="879" w:name="Tc_WihUB26OJ029BWIXuks-2A_24_7"/>
      <w:bookmarkStart w:id="880" w:name="Tc_f8qFTh9E10SlfHW5MW8RUw_24_5"/>
      <w:bookmarkStart w:id="881" w:name="Tc_DOzTQtKHO0CwYOX28P2FLQ_24_2"/>
      <w:bookmarkStart w:id="882" w:name="Tc_ARy7IXjLOUWOGpE5OmtjNQ_24_0"/>
      <w:bookmarkStart w:id="883" w:name="Tc_8n9RTwzniEeWOz-o0-vLLw_23_24"/>
      <w:bookmarkStart w:id="884" w:name="Tc_mxluxbP9S0mRY0VfHr73GA_23_18"/>
      <w:bookmarkStart w:id="885" w:name="Tc_zbXQWZ4_6EiozNYyuB7Akw_23_15"/>
      <w:bookmarkStart w:id="886" w:name="Tc_TDyCFK1_30ynA49PHFtzNg_23_12"/>
      <w:bookmarkStart w:id="887" w:name="Tc_W8doH8H6jUeyvyNhk6906A_23_10"/>
      <w:bookmarkStart w:id="888" w:name="Tc_QYYl8i8iNkCjjFlmVMw8PA_23_7"/>
      <w:bookmarkStart w:id="889" w:name="Tc_X0SezY0GKEmaziN4H-jACA_23_5"/>
      <w:bookmarkStart w:id="890" w:name="Tc_R9ZQEC-KzUCHOzI2E_ziig_23_2"/>
      <w:bookmarkStart w:id="891" w:name="Tc_feBrkngePEWZN97IrmegJw_23_0"/>
      <w:bookmarkStart w:id="892" w:name="Tc_hL6l9fUzwUaDS9ZbMrD8CA_22_24"/>
      <w:bookmarkStart w:id="893" w:name="Tc_Me7FABmWmEWRU-vcJrd4Pw_22_21"/>
      <w:bookmarkStart w:id="894" w:name="Tc_a9Mr-O7DL0mrrPJGdyKgnA_22_15"/>
      <w:bookmarkStart w:id="895" w:name="Tc_VemR9T1EeUa2kLsVNU3CXg_22_10"/>
      <w:bookmarkStart w:id="896" w:name="Tc_I__9iw_V_kaSuOf3_9yq5w_22_7"/>
      <w:bookmarkStart w:id="897" w:name="Tc_z-fktPPW0ky_ssC51S9jGw_22_5"/>
      <w:bookmarkStart w:id="898" w:name="Tc_twvsot3HYEezDiRYDfPzOA_22_2"/>
      <w:bookmarkStart w:id="899" w:name="Tc_O-Rg3B3MyU6AcfkBYuVBMQ_22_0"/>
      <w:bookmarkStart w:id="900" w:name="Tc_vUUe2dJmUUaBazbLFjPdsg_21_24"/>
      <w:bookmarkStart w:id="901" w:name="Tc_Lcj9HJqsv0OhLM9Fy_tvMg_21_21"/>
      <w:bookmarkStart w:id="902" w:name="Tc_m9tT3jj-TUqjNkR9CBwuRg_21_15"/>
      <w:bookmarkStart w:id="903" w:name="Tc_6Cjf4xa1X0-sA9bEgjau3Q_21_10"/>
      <w:bookmarkStart w:id="904" w:name="Tc_HkQH9qM-XkiQyblVpPnQLQ_21_7"/>
      <w:bookmarkStart w:id="905" w:name="Tc_pZUbSmQzikaRo-eZnD7gdA_21_5"/>
      <w:bookmarkStart w:id="906" w:name="Tc_8lW78Ln7aU-Rd8fcpRZLCg_21_2"/>
      <w:bookmarkStart w:id="907" w:name="Tc_chFeYH9pXECAHrsbL3IRFg_21_0"/>
      <w:bookmarkStart w:id="908" w:name="Tc_E3UWL28FWUuWUHKTaDxwPg_20_27"/>
      <w:bookmarkStart w:id="909" w:name="Tc_GFdgtVCG3kWK8QbxsrDSmw_20_24"/>
      <w:bookmarkStart w:id="910" w:name="Tc_BNwIH1Y0IkiyJWS_LlCLHA_20_21"/>
      <w:bookmarkStart w:id="911" w:name="Tc_frPjNP0x2EiUiHR7zvZdsQ_20_18"/>
      <w:bookmarkStart w:id="912" w:name="Tc_JDu6wU7Mg0GXR8_jaDmnwQ_20_15"/>
      <w:bookmarkStart w:id="913" w:name="Tc_6TF-RnLdG0G9B-KA0EeI0w_20_10"/>
      <w:bookmarkStart w:id="914" w:name="Tc_sdiH051tL0qzv9rEGoqPqQ_20_7"/>
      <w:bookmarkStart w:id="915" w:name="Tc_Og8mUi1a0UCadclhY2o-9w_20_5"/>
      <w:bookmarkStart w:id="916" w:name="Tc_DzZBxvPTLE-k7Xt_StfdPQ_20_2"/>
      <w:bookmarkStart w:id="917" w:name="Tc_1PWtUEJ8YE60o1mXJmwp-Q_20_0"/>
      <w:bookmarkStart w:id="918" w:name="Tc_UrUFkVFeyEuL3u4wBaVVnA_19_24"/>
      <w:bookmarkStart w:id="919" w:name="Tc_lgT5LcD2W0qyly_Rru7kwA_19_21"/>
      <w:bookmarkStart w:id="920" w:name="Tc_kzKBFlWbUEiVe094-3sBMQ_19_15"/>
      <w:bookmarkStart w:id="921" w:name="Tc_AztqRslSyECUdHC-AWGvNA_19_10"/>
      <w:bookmarkStart w:id="922" w:name="Tc_Oj1Gqt2qM0qYaUuIdTarRQ_19_7"/>
      <w:bookmarkStart w:id="923" w:name="Tc_Ws-bSDL3OUWkK3vSihlKLA_19_5"/>
      <w:bookmarkStart w:id="924" w:name="Tc_H1KbjAJMdkSBv1BMb7gTaQ_19_2"/>
      <w:bookmarkStart w:id="925" w:name="Tc_x_cT_l7ET0yh2TWSDv3-Vw_19_0"/>
      <w:bookmarkStart w:id="926" w:name="Tc_4MHDEUd1M0Kv0MrZJi6Ajw_18_24"/>
      <w:bookmarkStart w:id="927" w:name="Tc_ANbHjXjQa0iAkSBKJU9n6Q_18_21"/>
      <w:bookmarkStart w:id="928" w:name="Tc_9U4VbTsmPEeCQWUUDCqLMA_18_15"/>
      <w:bookmarkStart w:id="929" w:name="Tc_RgKvGV1yGEeQjKVhTCAwZA_18_12"/>
      <w:bookmarkStart w:id="930" w:name="Tc_wof8gAwAp06sX-7jqNVuWw_18_10"/>
      <w:bookmarkStart w:id="931" w:name="Tc_uCWOGl9tbUSLAudWgfbcRw_18_7"/>
      <w:bookmarkStart w:id="932" w:name="Tc_kyu5HE6URUWsDKk-_0q0_Q_18_5"/>
      <w:bookmarkStart w:id="933" w:name="Tc_FNF0AbUbiEyAopNXGI5UGg_18_2"/>
      <w:bookmarkStart w:id="934" w:name="Tc_0AYiwDWhJ0Wa9vr7qUzqRw_18_0"/>
      <w:bookmarkStart w:id="935" w:name="Tc_RgaOHjwps02tS2W_RhPU_A_17_26"/>
      <w:bookmarkStart w:id="936" w:name="Tc_8FasHh89mkew4VLacBRWBQ_17_23"/>
      <w:bookmarkStart w:id="937" w:name="Tc_-ETvGLpnU02hjMv4xpm6Tw_17_20"/>
      <w:bookmarkStart w:id="938" w:name="Tc_LTeceMZcTUCgzyXAbKIQvA_17_17"/>
      <w:bookmarkStart w:id="939" w:name="Tc_Tbtcco63OEGFHRtH9O0JFg_17_14"/>
      <w:bookmarkStart w:id="940" w:name="Tc_34sCD4cwMkesovIKqx-CJw_17_9"/>
      <w:bookmarkStart w:id="941" w:name="Tc_zeGgVDBF-UaTGEj7sdE0qw_17_5"/>
      <w:bookmarkStart w:id="942" w:name="Tc_79JtJDQjeU23QkTX_sK3zw_17_4"/>
      <w:bookmarkStart w:id="943" w:name="Tc_J3kRxY6RM0S1NJIHAlvgdw_17_0"/>
      <w:bookmarkStart w:id="944" w:name="Tc_qBKzxON8PUqwN1O6wKusWg_15_26"/>
      <w:bookmarkStart w:id="945" w:name="Tc_D2Z6nby1NEKQO776PqKyrw_15_23"/>
      <w:bookmarkStart w:id="946" w:name="Tc_KtkiHTE1KUCIHgUM7hceIw_15_20"/>
      <w:bookmarkStart w:id="947" w:name="Tc_6uLLdHKIZUCx8Ec_RuoMNA_15_17"/>
      <w:bookmarkStart w:id="948" w:name="Tc_vYmQz4zRY0uxkBEr2Xp0-A_15_14"/>
      <w:bookmarkStart w:id="949" w:name="Tc_7fMFD3XSeE619KwTWbmT8w_15_9"/>
      <w:bookmarkStart w:id="950" w:name="Tc_C-3S1J0BXUOqA6BLjX_Ywg_15_5"/>
      <w:bookmarkStart w:id="951" w:name="Tc_CuvE5l9BukyQHe7XWEQvzQ_15_4"/>
      <w:bookmarkStart w:id="952" w:name="Tc_fLK99SYEu0WPf9csVFD3Yg_15_0"/>
      <w:bookmarkStart w:id="953" w:name="Tc_On0p6vhRdEGFRZSJkneWvA_14_21"/>
      <w:bookmarkStart w:id="954" w:name="Tc_xlFQUEFZP0un6LYXSr2u2A_14_18"/>
      <w:bookmarkStart w:id="955" w:name="Tc_O4JwlV2yoEe4NuhCBY4zBw_14_15"/>
      <w:bookmarkStart w:id="956" w:name="Tc_6ryCHXaSB06L3RwYwfzyTA_14_12"/>
      <w:bookmarkStart w:id="957" w:name="Tc_hWA1z9pLLU61ZSjCdaLbeg_14_10"/>
      <w:bookmarkStart w:id="958" w:name="Tc_CDBJb8iTRUKQh1jOtnAsJg_14_7"/>
      <w:bookmarkStart w:id="959" w:name="Tc_23JVeS7YU0qXNuHWphTKFw_14_5"/>
      <w:bookmarkStart w:id="960" w:name="Tc_8t_UtpBnY0OOEidiqQMFhQ_14_2"/>
      <w:bookmarkStart w:id="961" w:name="Tc_hrqTtSDHG02ERWRiqsuZBw_14_0"/>
      <w:bookmarkStart w:id="962" w:name="Tc_b6rRlO9XAEaOxrxDoeqJzg_13_24"/>
      <w:bookmarkStart w:id="963" w:name="Tc_1TohcZ-pKkiZXYfVJBBQgw_13_18"/>
      <w:bookmarkStart w:id="964" w:name="Tc_HdFZCiORKECexOnAUBwjAg_13_15"/>
      <w:bookmarkStart w:id="965" w:name="Tc_XXsGL___aEymju6VwCgZ_g_13_12"/>
      <w:bookmarkStart w:id="966" w:name="Tc_IovrNAcUv0qXNGRp1J7ZjA_13_10"/>
      <w:bookmarkStart w:id="967" w:name="Tc_v7C1RTmvU0y8fS98AFSSng_13_7"/>
      <w:bookmarkStart w:id="968" w:name="Tc_Ut79hcu2FEescnG75xrM_g_13_5"/>
      <w:bookmarkStart w:id="969" w:name="Tc_HsNWhELGk0-FlkoFb_Jjng_13_2"/>
      <w:bookmarkStart w:id="970" w:name="Tc_04NvUEBNWEKU3XXkI0J5Yg_13_0"/>
      <w:bookmarkStart w:id="971" w:name="Tc_a-2LMfg8nU6zDKodSLUyxA_12_24"/>
      <w:bookmarkStart w:id="972" w:name="Tc_ZiiRaXAi6EOeIO3o00AvGA_12_18"/>
      <w:bookmarkStart w:id="973" w:name="Tc_6ST5DUykbEmQpcMOIXUTOw_12_15"/>
      <w:bookmarkStart w:id="974" w:name="Tc_BTEKmCuI10iRX3naK70CWQ_12_12"/>
      <w:bookmarkStart w:id="975" w:name="Tc_KMEoDWx9LE6eDwX1njWhsg_12_10"/>
      <w:bookmarkStart w:id="976" w:name="Tc_kPO-LK5Yak6PtwjdO1ctdQ_12_7"/>
      <w:bookmarkStart w:id="977" w:name="Tc_yvlZf3tNWE6tLidTusmOkA_12_5"/>
      <w:bookmarkStart w:id="978" w:name="Tc_t8AFeIHS4E2cW8fiv4oHeA_12_2"/>
      <w:bookmarkStart w:id="979" w:name="Tc_cmEihj9In0e9oCpR2YOY2Q_12_0"/>
      <w:bookmarkStart w:id="980" w:name="Tc_vbZgeEwaZk-5WAFgp-e-fA_11_24"/>
      <w:bookmarkStart w:id="981" w:name="Tc_XWqMT98dPEKHNzpU3ks-VQ_11_21"/>
      <w:bookmarkStart w:id="982" w:name="Tc_oHhprJzSAEGQoEQ18bnsaA_11_10"/>
      <w:bookmarkStart w:id="983" w:name="Tc_yvbmMesHIUKtaQ76LOeTOw_11_7"/>
      <w:bookmarkStart w:id="984" w:name="Tc_PIxWUwk3nEK90jeVYZSyXQ_11_5"/>
      <w:bookmarkStart w:id="985" w:name="Tc_ZHkNGOsI0EO4AEOeneA9lQ_11_2"/>
      <w:bookmarkStart w:id="986" w:name="Tc_hAc09L1qaUuD9fHOLvzkhg_11_0"/>
      <w:bookmarkStart w:id="987" w:name="Tc_Aah1SrKVykG7JxZLEVsFrg_10_24"/>
      <w:bookmarkStart w:id="988" w:name="Tc_0YNFPzrmGUqs-hTT5CD4Sg_10_21"/>
      <w:bookmarkStart w:id="989" w:name="Tc_azUmsIgEZEafJ2mQrIh9Og_10_15"/>
      <w:bookmarkStart w:id="990" w:name="Tc_iiQzIuYGJUGL3F1yzl7V6Q_10_10"/>
      <w:bookmarkStart w:id="991" w:name="Tc_R0IbKeXLnEWn1_GUdaIClA_10_7"/>
      <w:bookmarkStart w:id="992" w:name="Tc_zdPoa0_m9kSo5n-gjVSeVw_10_5"/>
      <w:bookmarkStart w:id="993" w:name="Tc_tSGjN1P1sEmuKfaIc7HbfQ_10_2"/>
      <w:bookmarkStart w:id="994" w:name="Tc_1miX6QSWEUGR7HfC0g4J0w_10_0"/>
      <w:bookmarkStart w:id="995" w:name="Tc_zJ6R5vWK6kK6HHEmb_tiNg_9_24"/>
      <w:bookmarkStart w:id="996" w:name="Tc_4DcfMByAMk6gcNJ-Mo2m0g_9_21"/>
      <w:bookmarkStart w:id="997" w:name="Tc_nb45t7QOb0a8y4DPFh1_HA_9_15"/>
      <w:bookmarkStart w:id="998" w:name="Tc_cPWbNIrMV0yMuivaZh_W9w_9_10"/>
      <w:bookmarkStart w:id="999" w:name="Tc_k0TJsnMhwEK4PGSIYiM5MQ_9_7"/>
      <w:bookmarkStart w:id="1000" w:name="Tc_J4nWvFlDoEi2iT-4njTr8A_9_5"/>
      <w:bookmarkStart w:id="1001" w:name="Tc_BIFVqGSNBEWz2Ax2jp3LQw_9_2"/>
      <w:bookmarkStart w:id="1002" w:name="Tc_FHTy2dyoxEGOR8yKtoKZ7g_9_0"/>
      <w:bookmarkStart w:id="1003" w:name="Tc_C423UJh61UWWairWlweT2A_8_24"/>
      <w:bookmarkStart w:id="1004" w:name="Tc_XnzKg7iKzUWhuPu4h9L6yA_8_21"/>
      <w:bookmarkStart w:id="1005" w:name="Tc_zmiE9TtFAkSZrfvVJZCrwg_8_15"/>
      <w:bookmarkStart w:id="1006" w:name="Tc_yccRXK2U5U6LTUOcnWQhcw_8_10"/>
      <w:bookmarkStart w:id="1007" w:name="Tc_0Ae8gixnD0erj_Q62cM7iA_8_7"/>
      <w:bookmarkStart w:id="1008" w:name="Tc_sZZavQ_sdEif2kn81DoJPA_8_5"/>
      <w:bookmarkStart w:id="1009" w:name="Tc_TLty_Wnxb0CD_3zjBbEZqw_8_2"/>
      <w:bookmarkStart w:id="1010" w:name="Tc_iCf8yta4HUCtpBujxR7U1A_8_0"/>
      <w:bookmarkStart w:id="1011" w:name="Tc_IWnsGZY6t022GdZPXGUweA_7_27"/>
      <w:bookmarkStart w:id="1012" w:name="Tc_5MJ6WgZAeES8aQl7DVpnJw_7_24"/>
      <w:bookmarkStart w:id="1013" w:name="Tc_EZNBLkWMCk6HM9nX4_GdKQ_7_21"/>
      <w:bookmarkStart w:id="1014" w:name="Tc_t5-fzdK2nEWlbk6Uhs_Rjg_7_18"/>
      <w:bookmarkStart w:id="1015" w:name="Tc_6O6MMEk4YEeSzgZ3tr3AsA_7_15"/>
      <w:bookmarkStart w:id="1016" w:name="Tc_8gRsMLVxR02Pm1_CDLlnfg_7_10"/>
      <w:bookmarkStart w:id="1017" w:name="Tc_VWTTe21W9ESeKaLKMlCeyg_7_7"/>
      <w:bookmarkStart w:id="1018" w:name="Tc_EN76UMyb90Ofki2WvmGM1Q_7_5"/>
      <w:bookmarkStart w:id="1019" w:name="Tc_T5fS-KzmsECNUmqHpbMJrA_7_2"/>
      <w:bookmarkStart w:id="1020" w:name="Tc_r9mnrEnaN0eqdGMMqL9wmQ_7_0"/>
      <w:bookmarkStart w:id="1021" w:name="Tc_JzW5oqGLXEOC_DcM2qYcvg_6_24"/>
      <w:bookmarkStart w:id="1022" w:name="Tc_pRI2XOvOUkiUXmKUsctDWg_6_21"/>
      <w:bookmarkStart w:id="1023" w:name="Tc_m4PHBEfSs0q3b2QkmAI8oA_6_15"/>
      <w:bookmarkStart w:id="1024" w:name="Tc_-717gFx7ykyXNnmV6fAgJw_6_12"/>
      <w:bookmarkStart w:id="1025" w:name="Tc_twnWySVqKEuA96_jb4c79w_6_10"/>
      <w:bookmarkStart w:id="1026" w:name="Tc_ytr9TR3GV063iisLV62Wkg_6_7"/>
      <w:bookmarkStart w:id="1027" w:name="Tc_joovaaJR-EmPXQFILywPdw_6_5"/>
      <w:bookmarkStart w:id="1028" w:name="Tc_g9sVO5IHnEGSmpN4P0r0ZQ_6_2"/>
      <w:bookmarkStart w:id="1029" w:name="Tc_rCcfueu2lk-PQEh_v3mf9Q_6_0"/>
      <w:bookmarkStart w:id="1030" w:name="Tc_va2JXUsAHEmrUM2F2COVHw_5_26"/>
      <w:bookmarkStart w:id="1031" w:name="Tc_espRb06dLk-uOj2Dt1S3oQ_5_23"/>
      <w:bookmarkStart w:id="1032" w:name="Tc_xv5iZe3B50CfWxTl2PU50w_5_20"/>
      <w:bookmarkStart w:id="1033" w:name="Tc_px1XX9LOAUOUfbYRUJHmVg_5_17"/>
      <w:bookmarkStart w:id="1034" w:name="Tc_WnvL5fw-5EizdrCDGK00KA_5_14"/>
      <w:bookmarkStart w:id="1035" w:name="Tc_clX12cm240-Phq-5V2mDAg_5_9"/>
      <w:bookmarkStart w:id="1036" w:name="Tc_u2-rX6Djc0mHs4sEWwfMpw_5_5"/>
      <w:bookmarkStart w:id="1037" w:name="Tc_lhVLIeL3ZEG4PsZiMo6_ZA_5_4"/>
      <w:bookmarkStart w:id="1038" w:name="Tc_LP9qNFxrYUOEg2z7A9EGYg_5_0"/>
      <w:bookmarkStart w:id="1039" w:name="Tc_GN_S4mqyx0i4Ao-ep2CnIQ_4_26"/>
      <w:bookmarkStart w:id="1040" w:name="Tc_SbPoQ0AYvEG3b0n7xBVLqg_4_23"/>
      <w:bookmarkStart w:id="1041" w:name="Tc_8BI717gTO0aW_YWoOSF3zw_4_20"/>
      <w:bookmarkStart w:id="1042" w:name="Tc_0cAUt2fv-EWuxHqXLRYcag_4_17"/>
      <w:bookmarkStart w:id="1043" w:name="Tc_uzkS0THXmkOC1jE8MNksug_4_14"/>
      <w:bookmarkStart w:id="1044" w:name="Tc_rXF8VbAGsEaJf4tbmO-nXQ_4_12"/>
      <w:bookmarkStart w:id="1045" w:name="Tc_w8CqHJi9l0ytXIQsqyyuAA_4_9"/>
      <w:bookmarkStart w:id="1046" w:name="Tc_Drwa6kkTZE6vFRKE3XNeug_4_7"/>
      <w:bookmarkStart w:id="1047" w:name="Tc_g0fT-7_ndkKtwIUhvSYunA_4_4"/>
      <w:bookmarkStart w:id="1048" w:name="Tc_fpfL6v9ZlEOP8i0BHCNEZA_4_2"/>
      <w:bookmarkStart w:id="1049" w:name="Tc_DVsBHT7tQESZ8IauqFGiKQ_3_26"/>
      <w:bookmarkStart w:id="1050" w:name="Tc_t0f3RQ1s6UivxA0SJmgxLQ_3_23"/>
      <w:bookmarkStart w:id="1051" w:name="Tc_M9uRuedKXEmUfGYzVafzPg_3_20"/>
      <w:bookmarkStart w:id="1052" w:name="Tc_V83DCGWGq0yJiq6yPpkyGQ_3_17"/>
      <w:bookmarkStart w:id="1053" w:name="Tc_mzt5QgyxoE20fzyWS-ZNIA_3_12"/>
      <w:bookmarkStart w:id="1054" w:name="Tc_oSF96U-yPU6RG5B0277WyQ_3_7"/>
      <w:bookmarkStart w:id="1055" w:name="Tc_uv5Z2Gm0NUyb9v9yqlKF9w_3_2"/>
      <w:bookmarkStart w:id="1056" w:name="Tc_8R193QJ7KkSXTA5t6FRM7Q_2_26"/>
      <w:bookmarkStart w:id="1057" w:name="Tc_ZRaWx5Qgfk2nDWUzzeuNHw_2_20"/>
      <w:bookmarkStart w:id="1058" w:name="Tc_0VDMlGRwPE2d-rix0LHWww_2_17"/>
      <w:bookmarkStart w:id="1059" w:name="Tc_UHaPlH_fTUCGLKpdwTsrZg_2_7"/>
      <w:bookmarkStart w:id="1060" w:name="Tc_XXN2UY7uxUKeN3HhrXSe6A_2_2"/>
      <w:bookmarkStart w:id="1061" w:name="Tc_e1ckDqcomkKtFalRukQ1lw_1_7"/>
      <w:bookmarkStart w:id="1062" w:name="Tc_O-Q1tKovbE2L_2QdM45QVg_1_2"/>
      <w:bookmarkStart w:id="1063" w:name="_f2598fdd_d674_40af_92ba_a54a4c2ad8e5"/>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p>
    <w:tbl>
      <w:tblPr>
        <w:tblW w:w="13474" w:type="dxa"/>
        <w:jc w:val="left"/>
        <w:tblInd w:w="0" w:type="dxa"/>
        <w:tblLayout w:type="fixed"/>
        <w:tblCellMar>
          <w:top w:w="0" w:type="dxa"/>
          <w:left w:w="0" w:type="dxa"/>
          <w:bottom w:w="0" w:type="dxa"/>
          <w:right w:w="0" w:type="dxa"/>
        </w:tblCellMar>
      </w:tblPr>
      <w:tblGrid>
        <w:gridCol w:w="1816"/>
        <w:gridCol w:w="326"/>
        <w:gridCol w:w="511"/>
        <w:gridCol w:w="326"/>
        <w:gridCol w:w="206"/>
        <w:gridCol w:w="365"/>
        <w:gridCol w:w="326"/>
        <w:gridCol w:w="826"/>
        <w:gridCol w:w="326"/>
        <w:gridCol w:w="206"/>
        <w:gridCol w:w="365"/>
        <w:gridCol w:w="326"/>
        <w:gridCol w:w="1006"/>
        <w:gridCol w:w="326"/>
        <w:gridCol w:w="206"/>
        <w:gridCol w:w="365"/>
        <w:gridCol w:w="326"/>
        <w:gridCol w:w="196"/>
        <w:gridCol w:w="826"/>
        <w:gridCol w:w="326"/>
        <w:gridCol w:w="318"/>
        <w:gridCol w:w="928"/>
        <w:gridCol w:w="326"/>
        <w:gridCol w:w="196"/>
        <w:gridCol w:w="886"/>
        <w:gridCol w:w="326"/>
        <w:gridCol w:w="196"/>
        <w:gridCol w:w="796"/>
      </w:tblGrid>
      <w:tr>
        <w:trPr/>
        <w:tc>
          <w:tcPr>
            <w:tcW w:w="1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153160" cy="175260"/>
                      <wp:effectExtent l="0" t="0" r="0" b="0"/>
                      <wp:wrapNone/>
                      <wp:docPr id="62" name="Frame62"/>
                      <a:graphic xmlns:a="http://schemas.openxmlformats.org/drawingml/2006/main">
                        <a:graphicData uri="http://schemas.microsoft.com/office/word/2010/wordprocessingShape">
                          <wps:wsp>
                            <wps:cNvSpPr txBox="1"/>
                            <wps:spPr>
                              <a:xfrm>
                                <a:off x="0" y="0"/>
                                <a:ext cx="1153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3" name="Frame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324485" cy="175260"/>
                      <wp:effectExtent l="0" t="0" r="0" b="0"/>
                      <wp:wrapNone/>
                      <wp:docPr id="64" name="Frame64"/>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5" name="Frame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0810" cy="175260"/>
                      <wp:effectExtent l="0" t="0" r="0" b="0"/>
                      <wp:wrapNone/>
                      <wp:docPr id="66" name="Frame66"/>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31775" cy="175260"/>
                      <wp:effectExtent l="0" t="0" r="0" b="0"/>
                      <wp:wrapNone/>
                      <wp:docPr id="67" name="Frame67"/>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8" name="Frame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524510" cy="175260"/>
                      <wp:effectExtent l="0" t="0" r="0" b="0"/>
                      <wp:wrapNone/>
                      <wp:docPr id="69" name="Frame6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0" name="Frame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0810" cy="175260"/>
                      <wp:effectExtent l="0" t="0" r="0" b="0"/>
                      <wp:wrapNone/>
                      <wp:docPr id="71" name="Frame71"/>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31775" cy="175260"/>
                      <wp:effectExtent l="0" t="0" r="0" b="0"/>
                      <wp:wrapNone/>
                      <wp:docPr id="72" name="Frame72"/>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3" name="Frame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38810" cy="175260"/>
                      <wp:effectExtent l="0" t="0" r="0" b="0"/>
                      <wp:wrapNone/>
                      <wp:docPr id="74" name="Frame74"/>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07010" cy="175260"/>
                      <wp:effectExtent l="0" t="0" r="0" b="0"/>
                      <wp:wrapNone/>
                      <wp:docPr id="75" name="Frame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30810" cy="175260"/>
                      <wp:effectExtent l="0" t="0" r="0" b="0"/>
                      <wp:wrapNone/>
                      <wp:docPr id="76" name="Frame76"/>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31775" cy="175260"/>
                      <wp:effectExtent l="0" t="0" r="0" b="0"/>
                      <wp:wrapNone/>
                      <wp:docPr id="77" name="Frame77"/>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7010" cy="175260"/>
                      <wp:effectExtent l="0" t="0" r="0" b="0"/>
                      <wp:wrapNone/>
                      <wp:docPr id="78" name="Frame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24460" cy="175260"/>
                      <wp:effectExtent l="0" t="0" r="0" b="0"/>
                      <wp:wrapNone/>
                      <wp:docPr id="79" name="Frame7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524510" cy="175260"/>
                      <wp:effectExtent l="0" t="0" r="0" b="0"/>
                      <wp:wrapNone/>
                      <wp:docPr id="80" name="Frame8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07010" cy="175260"/>
                      <wp:effectExtent l="0" t="0" r="0" b="0"/>
                      <wp:wrapNone/>
                      <wp:docPr id="81" name="Frame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1930" cy="175260"/>
                      <wp:effectExtent l="0" t="0" r="0" b="0"/>
                      <wp:wrapNone/>
                      <wp:docPr id="82" name="Frame82"/>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589280" cy="175260"/>
                      <wp:effectExtent l="0" t="0" r="0" b="0"/>
                      <wp:wrapNone/>
                      <wp:docPr id="83" name="Frame83"/>
                      <a:graphic xmlns:a="http://schemas.openxmlformats.org/drawingml/2006/main">
                        <a:graphicData uri="http://schemas.microsoft.com/office/word/2010/wordprocessingShape">
                          <wps:wsp>
                            <wps:cNvSpPr txBox="1"/>
                            <wps:spPr>
                              <a:xfrm>
                                <a:off x="0" y="0"/>
                                <a:ext cx="589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4" name="Frame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24460" cy="175260"/>
                      <wp:effectExtent l="0" t="0" r="0" b="0"/>
                      <wp:wrapNone/>
                      <wp:docPr id="85" name="Frame8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562610" cy="175260"/>
                      <wp:effectExtent l="0" t="0" r="0" b="0"/>
                      <wp:wrapNone/>
                      <wp:docPr id="86" name="Frame8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7" name="Frame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24460" cy="175260"/>
                      <wp:effectExtent l="0" t="0" r="0" b="0"/>
                      <wp:wrapNone/>
                      <wp:docPr id="88" name="Frame8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505460" cy="175260"/>
                      <wp:effectExtent l="0" t="0" r="0" b="0"/>
                      <wp:wrapNone/>
                      <wp:docPr id="89" name="Frame8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408" w:type="dxa"/>
            <w:gridSpan w:val="4"/>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Series A </w:t>
            </w:r>
          </w:p>
        </w:tc>
        <w:tc>
          <w:tcPr>
            <w:tcW w:w="326" w:type="dxa"/>
            <w:tcBorders/>
            <w:vAlign w:val="center"/>
          </w:tcPr>
          <w:p>
            <w:pPr>
              <w:pStyle w:val="TableContents"/>
              <w:bidi w:val="0"/>
              <w:spacing w:before="0" w:after="1"/>
              <w:ind w:left="0" w:right="0" w:hanging="0"/>
              <w:jc w:val="center"/>
              <w:rPr/>
            </w:pPr>
            <w:r>
              <w:rPr/>
              <w:t>​</w:t>
            </w:r>
          </w:p>
        </w:tc>
        <w:tc>
          <w:tcPr>
            <w:tcW w:w="1723" w:type="dxa"/>
            <w:gridSpan w:val="4"/>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Series B</w:t>
            </w:r>
          </w:p>
        </w:tc>
        <w:tc>
          <w:tcPr>
            <w:tcW w:w="326" w:type="dxa"/>
            <w:tcBorders/>
            <w:vAlign w:val="center"/>
          </w:tcPr>
          <w:p>
            <w:pPr>
              <w:pStyle w:val="TableContents"/>
              <w:bidi w:val="0"/>
              <w:spacing w:before="0" w:after="1"/>
              <w:ind w:left="0" w:right="0" w:hanging="0"/>
              <w:jc w:val="center"/>
              <w:rPr/>
            </w:pPr>
            <w:r>
              <w:rPr/>
              <w:t>​</w:t>
            </w:r>
          </w:p>
        </w:tc>
        <w:tc>
          <w:tcPr>
            <w:tcW w:w="100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center"/>
              <w:rPr/>
            </w:pPr>
            <w:r>
              <w:rPr/>
              <w:t>​</w:t>
            </w:r>
          </w:p>
        </w:tc>
        <w:tc>
          <w:tcPr>
            <w:tcW w:w="36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18" w:type="dxa"/>
            <w:tcBorders/>
            <w:vAlign w:val="center"/>
          </w:tcPr>
          <w:p>
            <w:pPr>
              <w:pStyle w:val="TableContents"/>
              <w:bidi w:val="0"/>
              <w:spacing w:before="0" w:after="1"/>
              <w:ind w:left="0" w:right="0" w:hanging="0"/>
              <w:jc w:val="center"/>
              <w:rPr/>
            </w:pPr>
            <w:r>
              <w:rPr/>
              <w:t>​</w:t>
            </w:r>
          </w:p>
        </w:tc>
        <w:tc>
          <w:tcPr>
            <w:tcW w:w="92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r>
      <w:tr>
        <w:trPr/>
        <w:tc>
          <w:tcPr>
            <w:tcW w:w="18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408" w:type="dxa"/>
            <w:gridSpan w:val="4"/>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Convertible</w:t>
            </w:r>
          </w:p>
        </w:tc>
        <w:tc>
          <w:tcPr>
            <w:tcW w:w="326" w:type="dxa"/>
            <w:tcBorders/>
            <w:vAlign w:val="center"/>
          </w:tcPr>
          <w:p>
            <w:pPr>
              <w:pStyle w:val="TableContents"/>
              <w:bidi w:val="0"/>
              <w:spacing w:before="0" w:after="1"/>
              <w:ind w:left="0" w:right="0" w:hanging="0"/>
              <w:jc w:val="center"/>
              <w:rPr/>
            </w:pPr>
            <w:r>
              <w:rPr/>
              <w:t>​</w:t>
            </w:r>
          </w:p>
        </w:tc>
        <w:tc>
          <w:tcPr>
            <w:tcW w:w="1723" w:type="dxa"/>
            <w:gridSpan w:val="4"/>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Convertible</w:t>
            </w:r>
          </w:p>
        </w:tc>
        <w:tc>
          <w:tcPr>
            <w:tcW w:w="326" w:type="dxa"/>
            <w:tcBorders/>
            <w:vAlign w:val="center"/>
          </w:tcPr>
          <w:p>
            <w:pPr>
              <w:pStyle w:val="TableContents"/>
              <w:bidi w:val="0"/>
              <w:spacing w:before="0" w:after="1"/>
              <w:ind w:left="0" w:right="0" w:hanging="0"/>
              <w:jc w:val="center"/>
              <w:rPr/>
            </w:pPr>
            <w:r>
              <w:rPr/>
              <w:t>​</w:t>
            </w:r>
          </w:p>
        </w:tc>
        <w:tc>
          <w:tcPr>
            <w:tcW w:w="100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center"/>
              <w:rPr/>
            </w:pPr>
            <w:r>
              <w:rPr/>
              <w:t>​</w:t>
            </w:r>
          </w:p>
        </w:tc>
        <w:tc>
          <w:tcPr>
            <w:tcW w:w="36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26" w:type="dxa"/>
            <w:tcBorders/>
            <w:vAlign w:val="center"/>
          </w:tcPr>
          <w:p>
            <w:pPr>
              <w:pStyle w:val="TableContents"/>
              <w:bidi w:val="0"/>
              <w:spacing w:before="0" w:after="1"/>
              <w:ind w:left="0" w:right="0" w:hanging="0"/>
              <w:jc w:val="center"/>
              <w:rPr/>
            </w:pPr>
            <w:r>
              <w:rPr/>
              <w:t>​</w:t>
            </w:r>
          </w:p>
        </w:tc>
        <w:tc>
          <w:tcPr>
            <w:tcW w:w="124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 Other</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18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40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Preferred Sock</w:t>
            </w:r>
          </w:p>
        </w:tc>
        <w:tc>
          <w:tcPr>
            <w:tcW w:w="326" w:type="dxa"/>
            <w:tcBorders/>
            <w:vAlign w:val="center"/>
          </w:tcPr>
          <w:p>
            <w:pPr>
              <w:pStyle w:val="TableContents"/>
              <w:bidi w:val="0"/>
              <w:spacing w:before="0" w:after="1"/>
              <w:ind w:left="0" w:right="0" w:hanging="0"/>
              <w:jc w:val="center"/>
              <w:rPr/>
            </w:pPr>
            <w:r>
              <w:rPr/>
              <w:t>​</w:t>
            </w:r>
          </w:p>
        </w:tc>
        <w:tc>
          <w:tcPr>
            <w:tcW w:w="172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Preferred Stock</w:t>
            </w:r>
          </w:p>
        </w:tc>
        <w:tc>
          <w:tcPr>
            <w:tcW w:w="326" w:type="dxa"/>
            <w:tcBorders/>
            <w:vAlign w:val="center"/>
          </w:tcPr>
          <w:p>
            <w:pPr>
              <w:pStyle w:val="TableContents"/>
              <w:bidi w:val="0"/>
              <w:spacing w:before="0" w:after="1"/>
              <w:ind w:left="0" w:right="0" w:hanging="0"/>
              <w:jc w:val="center"/>
              <w:rPr/>
            </w:pPr>
            <w:r>
              <w:rPr/>
              <w:t>​</w:t>
            </w:r>
          </w:p>
        </w:tc>
        <w:tc>
          <w:tcPr>
            <w:tcW w:w="190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26" w:type="dxa"/>
            <w:tcBorders/>
            <w:vAlign w:val="center"/>
          </w:tcPr>
          <w:p>
            <w:pPr>
              <w:pStyle w:val="TableContents"/>
              <w:bidi w:val="0"/>
              <w:spacing w:before="0" w:after="1"/>
              <w:ind w:left="0" w:right="0" w:hanging="0"/>
              <w:jc w:val="center"/>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26" w:type="dxa"/>
            <w:tcBorders/>
            <w:vAlign w:val="center"/>
          </w:tcPr>
          <w:p>
            <w:pPr>
              <w:pStyle w:val="TableContents"/>
              <w:bidi w:val="0"/>
              <w:spacing w:before="0" w:after="1"/>
              <w:ind w:left="0" w:right="0" w:hanging="0"/>
              <w:jc w:val="center"/>
              <w:rPr/>
            </w:pPr>
            <w:r>
              <w:rPr/>
              <w:t>​</w:t>
            </w:r>
          </w:p>
        </w:tc>
        <w:tc>
          <w:tcPr>
            <w:tcW w:w="124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26" w:type="dxa"/>
            <w:tcBorders/>
            <w:vAlign w:val="center"/>
          </w:tcPr>
          <w:p>
            <w:pPr>
              <w:pStyle w:val="TableContents"/>
              <w:bidi w:val="0"/>
              <w:spacing w:before="0" w:after="1"/>
              <w:ind w:left="0" w:right="0" w:hanging="0"/>
              <w:jc w:val="center"/>
              <w:rPr/>
            </w:pPr>
            <w:r>
              <w:rPr/>
              <w:t>​</w:t>
            </w:r>
          </w:p>
        </w:tc>
        <w:tc>
          <w:tcPr>
            <w:tcW w:w="108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Stockholders’</w:t>
            </w:r>
          </w:p>
        </w:tc>
      </w:tr>
      <w:tr>
        <w:trPr/>
        <w:tc>
          <w:tcPr>
            <w:tcW w:w="18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1"/>
              <w:ind w:left="0" w:right="0" w:hanging="0"/>
              <w:jc w:val="center"/>
              <w:rPr/>
            </w:pPr>
            <w:r>
              <w:rPr/>
              <w:t>    </w:t>
            </w:r>
          </w:p>
        </w:tc>
        <w:tc>
          <w:tcPr>
            <w:tcW w:w="5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1"/>
              <w:ind w:left="0" w:right="0" w:hanging="0"/>
              <w:jc w:val="center"/>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1"/>
              <w:ind w:left="0" w:right="0" w:hanging="0"/>
              <w:jc w:val="center"/>
              <w:rPr/>
            </w:pPr>
            <w:r>
              <w:rPr/>
              <w:t>    </w:t>
            </w:r>
          </w:p>
        </w:tc>
        <w:tc>
          <w:tcPr>
            <w:tcW w:w="5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1"/>
              <w:ind w:left="0" w:right="0" w:hanging="0"/>
              <w:jc w:val="center"/>
              <w:rPr/>
            </w:pPr>
            <w:r>
              <w:rPr/>
              <w:t>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1"/>
              <w:ind w:left="0" w:right="0" w:hanging="0"/>
              <w:jc w:val="center"/>
              <w:rPr/>
            </w:pPr>
            <w:r>
              <w:rPr/>
              <w:t>    </w:t>
            </w:r>
          </w:p>
        </w:tc>
        <w:tc>
          <w:tcPr>
            <w:tcW w:w="5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1"/>
              <w:ind w:left="0" w:right="0" w:hanging="0"/>
              <w:jc w:val="center"/>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vAlign w:val="center"/>
          </w:tcPr>
          <w:p>
            <w:pPr>
              <w:pStyle w:val="TableContents"/>
              <w:bidi w:val="0"/>
              <w:spacing w:before="0" w:after="1"/>
              <w:ind w:left="0" w:right="0" w:hanging="0"/>
              <w:jc w:val="center"/>
              <w:rPr/>
            </w:pPr>
            <w:r>
              <w:rPr/>
              <w:t>    </w:t>
            </w:r>
          </w:p>
        </w:tc>
        <w:tc>
          <w:tcPr>
            <w:tcW w:w="12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26" w:type="dxa"/>
            <w:tcBorders/>
            <w:vAlign w:val="center"/>
          </w:tcPr>
          <w:p>
            <w:pPr>
              <w:pStyle w:val="TableContents"/>
              <w:bidi w:val="0"/>
              <w:spacing w:before="0" w:after="1"/>
              <w:ind w:left="0" w:right="0" w:hanging="0"/>
              <w:jc w:val="center"/>
              <w:rPr/>
            </w:pPr>
            <w:r>
              <w:rPr/>
              <w:t>    </w:t>
            </w:r>
          </w:p>
        </w:tc>
        <w:tc>
          <w:tcPr>
            <w:tcW w:w="10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181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 December 31, 2022</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194</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36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2,842,158</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36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187,812,072</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36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2,068,867</w:t>
            </w:r>
          </w:p>
        </w:tc>
        <w:tc>
          <w:tcPr>
            <w:tcW w:w="326" w:type="dxa"/>
            <w:tcBorders/>
            <w:shd w:fill="CCEEFF" w:val="clear"/>
            <w:vAlign w:val="center"/>
          </w:tcPr>
          <w:p>
            <w:pPr>
              <w:pStyle w:val="TableContents"/>
              <w:bidi w:val="0"/>
              <w:spacing w:before="0" w:after="1"/>
              <w:ind w:left="0" w:right="0" w:hanging="0"/>
              <w:jc w:val="left"/>
              <w:rPr/>
            </w:pPr>
            <w:r>
              <w:rPr/>
              <w:t>​</w:t>
            </w:r>
          </w:p>
        </w:tc>
        <w:tc>
          <w:tcPr>
            <w:tcW w:w="318"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92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(1,568,338)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499,638</w:t>
            </w:r>
          </w:p>
        </w:tc>
      </w:tr>
      <w:tr>
        <w:trPr/>
        <w:tc>
          <w:tcPr>
            <w:tcW w:w="18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Stock-based compensation expense</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center"/>
              <w:rPr/>
            </w:pPr>
            <w:r>
              <w:rPr/>
              <w:t>​</w:t>
            </w:r>
          </w:p>
        </w:tc>
        <w:tc>
          <w:tcPr>
            <w:tcW w:w="36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center"/>
              <w:rPr/>
            </w:pPr>
            <w:r>
              <w:rPr/>
              <w:t>​</w:t>
            </w:r>
          </w:p>
        </w:tc>
        <w:tc>
          <w:tcPr>
            <w:tcW w:w="36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center"/>
              <w:rPr/>
            </w:pPr>
            <w:r>
              <w:rPr/>
              <w:t>​</w:t>
            </w:r>
          </w:p>
        </w:tc>
        <w:tc>
          <w:tcPr>
            <w:tcW w:w="36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32,405</w:t>
            </w:r>
          </w:p>
        </w:tc>
        <w:tc>
          <w:tcPr>
            <w:tcW w:w="326" w:type="dxa"/>
            <w:tcBorders/>
            <w:vAlign w:val="center"/>
          </w:tcPr>
          <w:p>
            <w:pPr>
              <w:pStyle w:val="TableContents"/>
              <w:bidi w:val="0"/>
              <w:spacing w:before="0" w:after="1"/>
              <w:ind w:left="0" w:right="0" w:hanging="0"/>
              <w:jc w:val="left"/>
              <w:rPr/>
            </w:pPr>
            <w:r>
              <w:rPr/>
              <w:t>​</w:t>
            </w:r>
          </w:p>
        </w:tc>
        <w:tc>
          <w:tcPr>
            <w:tcW w:w="318" w:type="dxa"/>
            <w:tcBorders/>
            <w:vAlign w:val="center"/>
          </w:tcPr>
          <w:p>
            <w:pPr>
              <w:pStyle w:val="TableContents"/>
              <w:bidi w:val="0"/>
              <w:spacing w:before="0" w:after="1"/>
              <w:ind w:left="0" w:right="0" w:hanging="0"/>
              <w:jc w:val="center"/>
              <w:rPr/>
            </w:pPr>
            <w:r>
              <w:rPr/>
              <w:t>​</w:t>
            </w:r>
          </w:p>
        </w:tc>
        <w:tc>
          <w:tcPr>
            <w:tcW w:w="9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32,405</w:t>
            </w:r>
          </w:p>
        </w:tc>
      </w:tr>
      <w:tr>
        <w:trPr/>
        <w:tc>
          <w:tcPr>
            <w:tcW w:w="18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Vesting of restricted stock shares issued for services</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center"/>
              <w:rPr/>
            </w:pPr>
            <w:r>
              <w:rPr/>
              <w:t>​</w:t>
            </w:r>
          </w:p>
        </w:tc>
        <w:tc>
          <w:tcPr>
            <w:tcW w:w="36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center"/>
              <w:rPr/>
            </w:pPr>
            <w:r>
              <w:rPr/>
              <w:t>​</w:t>
            </w:r>
          </w:p>
        </w:tc>
        <w:tc>
          <w:tcPr>
            <w:tcW w:w="36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917,621</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center"/>
              <w:rPr/>
            </w:pPr>
            <w:r>
              <w:rPr/>
              <w:t>​</w:t>
            </w:r>
          </w:p>
        </w:tc>
        <w:tc>
          <w:tcPr>
            <w:tcW w:w="36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18" w:type="dxa"/>
            <w:tcBorders/>
            <w:shd w:fill="CCEEFF" w:val="clear"/>
            <w:vAlign w:val="center"/>
          </w:tcPr>
          <w:p>
            <w:pPr>
              <w:pStyle w:val="TableContents"/>
              <w:bidi w:val="0"/>
              <w:spacing w:before="0" w:after="1"/>
              <w:ind w:left="0" w:right="0" w:hanging="0"/>
              <w:jc w:val="center"/>
              <w:rPr/>
            </w:pPr>
            <w:r>
              <w:rPr/>
              <w:t>​</w:t>
            </w:r>
          </w:p>
        </w:tc>
        <w:tc>
          <w:tcPr>
            <w:tcW w:w="92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796" w:type="dxa"/>
            <w:tcBorders/>
            <w:shd w:fill="CCEEFF" w:val="clear"/>
            <w:vAlign w:val="center"/>
          </w:tcPr>
          <w:p>
            <w:pPr>
              <w:pStyle w:val="TableContents"/>
              <w:bidi w:val="0"/>
              <w:spacing w:before="0" w:after="1"/>
              <w:ind w:left="0" w:right="0" w:hanging="0"/>
              <w:jc w:val="right"/>
              <w:rPr/>
            </w:pPr>
            <w:r>
              <w:rPr/>
              <w:t>—</w:t>
            </w:r>
          </w:p>
        </w:tc>
      </w:tr>
      <w:tr>
        <w:trPr/>
        <w:tc>
          <w:tcPr>
            <w:tcW w:w="18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Tax payments related to shares retired for vested restricted stock units</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center"/>
              <w:rPr/>
            </w:pPr>
            <w:r>
              <w:rPr/>
              <w:t>​</w:t>
            </w:r>
          </w:p>
        </w:tc>
        <w:tc>
          <w:tcPr>
            <w:tcW w:w="36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center"/>
              <w:rPr/>
            </w:pPr>
            <w:r>
              <w:rPr/>
              <w:t>​</w:t>
            </w:r>
          </w:p>
        </w:tc>
        <w:tc>
          <w:tcPr>
            <w:tcW w:w="36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(355,541)</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center"/>
              <w:rPr/>
            </w:pPr>
            <w:r>
              <w:rPr/>
              <w:t>​</w:t>
            </w:r>
          </w:p>
        </w:tc>
        <w:tc>
          <w:tcPr>
            <w:tcW w:w="36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(2,230)</w:t>
            </w:r>
          </w:p>
        </w:tc>
        <w:tc>
          <w:tcPr>
            <w:tcW w:w="326" w:type="dxa"/>
            <w:tcBorders/>
            <w:vAlign w:val="center"/>
          </w:tcPr>
          <w:p>
            <w:pPr>
              <w:pStyle w:val="TableContents"/>
              <w:bidi w:val="0"/>
              <w:spacing w:before="0" w:after="1"/>
              <w:ind w:left="0" w:right="0" w:hanging="0"/>
              <w:jc w:val="left"/>
              <w:rPr/>
            </w:pPr>
            <w:r>
              <w:rPr/>
              <w:t>​</w:t>
            </w:r>
          </w:p>
        </w:tc>
        <w:tc>
          <w:tcPr>
            <w:tcW w:w="318" w:type="dxa"/>
            <w:tcBorders/>
            <w:vAlign w:val="center"/>
          </w:tcPr>
          <w:p>
            <w:pPr>
              <w:pStyle w:val="TableContents"/>
              <w:bidi w:val="0"/>
              <w:spacing w:before="0" w:after="1"/>
              <w:ind w:left="0" w:right="0" w:hanging="0"/>
              <w:jc w:val="center"/>
              <w:rPr/>
            </w:pPr>
            <w:r>
              <w:rPr/>
              <w:t>​</w:t>
            </w:r>
          </w:p>
        </w:tc>
        <w:tc>
          <w:tcPr>
            <w:tcW w:w="9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(2,230)</w:t>
            </w:r>
          </w:p>
        </w:tc>
      </w:tr>
      <w:tr>
        <w:trPr/>
        <w:tc>
          <w:tcPr>
            <w:tcW w:w="18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Common stock issued upon purchase through employee stock purchase plan</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center"/>
              <w:rPr/>
            </w:pPr>
            <w:r>
              <w:rPr/>
              <w:t>​</w:t>
            </w:r>
          </w:p>
        </w:tc>
        <w:tc>
          <w:tcPr>
            <w:tcW w:w="36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center"/>
              <w:rPr/>
            </w:pPr>
            <w:r>
              <w:rPr/>
              <w:t>​</w:t>
            </w:r>
          </w:p>
        </w:tc>
        <w:tc>
          <w:tcPr>
            <w:tcW w:w="36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226,196</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center"/>
              <w:rPr/>
            </w:pPr>
            <w:r>
              <w:rPr/>
              <w:t>​</w:t>
            </w:r>
          </w:p>
        </w:tc>
        <w:tc>
          <w:tcPr>
            <w:tcW w:w="36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1,271</w:t>
            </w:r>
          </w:p>
        </w:tc>
        <w:tc>
          <w:tcPr>
            <w:tcW w:w="326" w:type="dxa"/>
            <w:tcBorders/>
            <w:shd w:fill="CCEEFF" w:val="clear"/>
            <w:vAlign w:val="center"/>
          </w:tcPr>
          <w:p>
            <w:pPr>
              <w:pStyle w:val="TableContents"/>
              <w:bidi w:val="0"/>
              <w:spacing w:before="0" w:after="1"/>
              <w:ind w:left="0" w:right="0" w:hanging="0"/>
              <w:jc w:val="left"/>
              <w:rPr/>
            </w:pPr>
            <w:r>
              <w:rPr/>
              <w:t>​</w:t>
            </w:r>
          </w:p>
        </w:tc>
        <w:tc>
          <w:tcPr>
            <w:tcW w:w="318" w:type="dxa"/>
            <w:tcBorders/>
            <w:shd w:fill="CCEEFF" w:val="clear"/>
            <w:vAlign w:val="center"/>
          </w:tcPr>
          <w:p>
            <w:pPr>
              <w:pStyle w:val="TableContents"/>
              <w:bidi w:val="0"/>
              <w:spacing w:before="0" w:after="1"/>
              <w:ind w:left="0" w:right="0" w:hanging="0"/>
              <w:jc w:val="center"/>
              <w:rPr/>
            </w:pPr>
            <w:r>
              <w:rPr/>
              <w:t>​</w:t>
            </w:r>
          </w:p>
        </w:tc>
        <w:tc>
          <w:tcPr>
            <w:tcW w:w="92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1,271</w:t>
            </w:r>
          </w:p>
        </w:tc>
      </w:tr>
      <w:tr>
        <w:trPr/>
        <w:tc>
          <w:tcPr>
            <w:tcW w:w="18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Common stock issued upon exercise of stock options</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center"/>
              <w:rPr/>
            </w:pPr>
            <w:r>
              <w:rPr/>
              <w:t>​</w:t>
            </w:r>
          </w:p>
        </w:tc>
        <w:tc>
          <w:tcPr>
            <w:tcW w:w="36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center"/>
              <w:rPr/>
            </w:pPr>
            <w:r>
              <w:rPr/>
              <w:t>​</w:t>
            </w:r>
          </w:p>
        </w:tc>
        <w:tc>
          <w:tcPr>
            <w:tcW w:w="36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7,860</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center"/>
              <w:rPr/>
            </w:pPr>
            <w:r>
              <w:rPr/>
              <w:t> </w:t>
            </w:r>
          </w:p>
        </w:tc>
        <w:tc>
          <w:tcPr>
            <w:tcW w:w="36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w:t>
            </w:r>
          </w:p>
        </w:tc>
        <w:tc>
          <w:tcPr>
            <w:tcW w:w="326" w:type="dxa"/>
            <w:tcBorders/>
            <w:vAlign w:val="center"/>
          </w:tcPr>
          <w:p>
            <w:pPr>
              <w:pStyle w:val="TableContents"/>
              <w:bidi w:val="0"/>
              <w:spacing w:before="0" w:after="1"/>
              <w:ind w:left="0" w:right="0" w:hanging="0"/>
              <w:jc w:val="left"/>
              <w:rPr/>
            </w:pPr>
            <w:r>
              <w:rPr/>
              <w:t>​</w:t>
            </w:r>
          </w:p>
        </w:tc>
        <w:tc>
          <w:tcPr>
            <w:tcW w:w="318" w:type="dxa"/>
            <w:tcBorders/>
            <w:vAlign w:val="center"/>
          </w:tcPr>
          <w:p>
            <w:pPr>
              <w:pStyle w:val="TableContents"/>
              <w:bidi w:val="0"/>
              <w:spacing w:before="0" w:after="1"/>
              <w:ind w:left="0" w:right="0" w:hanging="0"/>
              <w:jc w:val="center"/>
              <w:rPr/>
            </w:pPr>
            <w:r>
              <w:rPr/>
              <w:t>​</w:t>
            </w:r>
          </w:p>
        </w:tc>
        <w:tc>
          <w:tcPr>
            <w:tcW w:w="9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w:t>
            </w:r>
          </w:p>
        </w:tc>
      </w:tr>
      <w:tr>
        <w:trPr/>
        <w:tc>
          <w:tcPr>
            <w:tcW w:w="18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Common stock sold in public offering, net of offering costs</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center"/>
              <w:rPr/>
            </w:pPr>
            <w:r>
              <w:rPr/>
              <w:t>​</w:t>
            </w:r>
          </w:p>
        </w:tc>
        <w:tc>
          <w:tcPr>
            <w:tcW w:w="36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center"/>
              <w:rPr/>
            </w:pPr>
            <w:r>
              <w:rPr/>
              <w:t>​</w:t>
            </w:r>
          </w:p>
        </w:tc>
        <w:tc>
          <w:tcPr>
            <w:tcW w:w="36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36,080,226</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center"/>
              <w:rPr/>
            </w:pPr>
            <w:r>
              <w:rPr/>
              <w:t>​</w:t>
            </w:r>
          </w:p>
        </w:tc>
        <w:tc>
          <w:tcPr>
            <w:tcW w:w="36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260,100</w:t>
            </w:r>
          </w:p>
        </w:tc>
        <w:tc>
          <w:tcPr>
            <w:tcW w:w="326" w:type="dxa"/>
            <w:tcBorders/>
            <w:shd w:fill="CCEEFF" w:val="clear"/>
            <w:vAlign w:val="center"/>
          </w:tcPr>
          <w:p>
            <w:pPr>
              <w:pStyle w:val="TableContents"/>
              <w:bidi w:val="0"/>
              <w:spacing w:before="0" w:after="1"/>
              <w:ind w:left="0" w:right="0" w:hanging="0"/>
              <w:jc w:val="left"/>
              <w:rPr/>
            </w:pPr>
            <w:r>
              <w:rPr/>
              <w:t>​</w:t>
            </w:r>
          </w:p>
        </w:tc>
        <w:tc>
          <w:tcPr>
            <w:tcW w:w="318" w:type="dxa"/>
            <w:tcBorders/>
            <w:shd w:fill="CCEEFF" w:val="clear"/>
            <w:vAlign w:val="center"/>
          </w:tcPr>
          <w:p>
            <w:pPr>
              <w:pStyle w:val="TableContents"/>
              <w:bidi w:val="0"/>
              <w:spacing w:before="0" w:after="1"/>
              <w:ind w:left="0" w:right="0" w:hanging="0"/>
              <w:jc w:val="center"/>
              <w:rPr/>
            </w:pPr>
            <w:r>
              <w:rPr/>
              <w:t>​</w:t>
            </w:r>
          </w:p>
        </w:tc>
        <w:tc>
          <w:tcPr>
            <w:tcW w:w="92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260,101</w:t>
            </w:r>
          </w:p>
        </w:tc>
      </w:tr>
      <w:tr>
        <w:trPr/>
        <w:tc>
          <w:tcPr>
            <w:tcW w:w="18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Unrealized loss on investments</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center"/>
              <w:rPr/>
            </w:pPr>
            <w:r>
              <w:rPr/>
              <w:t>​</w:t>
            </w:r>
          </w:p>
        </w:tc>
        <w:tc>
          <w:tcPr>
            <w:tcW w:w="36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center"/>
              <w:rPr/>
            </w:pPr>
            <w:r>
              <w:rPr/>
              <w:t>​</w:t>
            </w:r>
          </w:p>
        </w:tc>
        <w:tc>
          <w:tcPr>
            <w:tcW w:w="36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center"/>
              <w:rPr/>
            </w:pPr>
            <w:r>
              <w:rPr/>
              <w:t>​</w:t>
            </w:r>
          </w:p>
        </w:tc>
        <w:tc>
          <w:tcPr>
            <w:tcW w:w="36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18" w:type="dxa"/>
            <w:tcBorders/>
            <w:vAlign w:val="center"/>
          </w:tcPr>
          <w:p>
            <w:pPr>
              <w:pStyle w:val="TableContents"/>
              <w:bidi w:val="0"/>
              <w:spacing w:before="0" w:after="1"/>
              <w:ind w:left="0" w:right="0" w:hanging="0"/>
              <w:jc w:val="center"/>
              <w:rPr/>
            </w:pPr>
            <w:r>
              <w:rPr/>
              <w:t> </w:t>
            </w:r>
          </w:p>
        </w:tc>
        <w:tc>
          <w:tcPr>
            <w:tcW w:w="92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894</w:t>
            </w:r>
          </w:p>
        </w:tc>
      </w:tr>
      <w:tr>
        <w:trPr/>
        <w:tc>
          <w:tcPr>
            <w:tcW w:w="18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Foreign currency cumulative translation adjustment</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center"/>
              <w:rPr/>
            </w:pPr>
            <w:r>
              <w:rPr/>
              <w:t>​</w:t>
            </w:r>
          </w:p>
        </w:tc>
        <w:tc>
          <w:tcPr>
            <w:tcW w:w="36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center"/>
              <w:rPr/>
            </w:pPr>
            <w:r>
              <w:rPr/>
              <w:t>​</w:t>
            </w:r>
          </w:p>
        </w:tc>
        <w:tc>
          <w:tcPr>
            <w:tcW w:w="36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center"/>
              <w:rPr/>
            </w:pPr>
            <w:r>
              <w:rPr/>
              <w:t>​</w:t>
            </w:r>
          </w:p>
        </w:tc>
        <w:tc>
          <w:tcPr>
            <w:tcW w:w="36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18" w:type="dxa"/>
            <w:tcBorders/>
            <w:shd w:fill="CCEEFF" w:val="clear"/>
            <w:vAlign w:val="center"/>
          </w:tcPr>
          <w:p>
            <w:pPr>
              <w:pStyle w:val="TableContents"/>
              <w:bidi w:val="0"/>
              <w:spacing w:before="0" w:after="1"/>
              <w:ind w:left="0" w:right="0" w:hanging="0"/>
              <w:jc w:val="center"/>
              <w:rPr/>
            </w:pPr>
            <w:r>
              <w:rPr/>
              <w:t>​</w:t>
            </w:r>
          </w:p>
        </w:tc>
        <w:tc>
          <w:tcPr>
            <w:tcW w:w="92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333</w:t>
            </w:r>
          </w:p>
        </w:tc>
      </w:tr>
      <w:tr>
        <w:trPr/>
        <w:tc>
          <w:tcPr>
            <w:tcW w:w="18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w:t>
            </w:r>
          </w:p>
        </w:tc>
        <w:tc>
          <w:tcPr>
            <w:tcW w:w="326" w:type="dxa"/>
            <w:tcBorders/>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center"/>
              <w:rPr/>
            </w:pPr>
            <w:r>
              <w:rPr/>
              <w:t>​</w:t>
            </w:r>
          </w:p>
        </w:tc>
        <w:tc>
          <w:tcPr>
            <w:tcW w:w="36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center"/>
              <w:rPr/>
            </w:pPr>
            <w:r>
              <w:rPr/>
              <w:t>​</w:t>
            </w:r>
          </w:p>
        </w:tc>
        <w:tc>
          <w:tcPr>
            <w:tcW w:w="36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center"/>
              <w:rPr/>
            </w:pPr>
            <w:r>
              <w:rPr/>
              <w:t>​</w:t>
            </w:r>
          </w:p>
        </w:tc>
        <w:tc>
          <w:tcPr>
            <w:tcW w:w="36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18" w:type="dxa"/>
            <w:tcBorders/>
            <w:vAlign w:val="center"/>
          </w:tcPr>
          <w:p>
            <w:pPr>
              <w:pStyle w:val="TableContents"/>
              <w:bidi w:val="0"/>
              <w:spacing w:before="0" w:after="1"/>
              <w:ind w:left="0" w:right="0" w:hanging="0"/>
              <w:jc w:val="center"/>
              <w:rPr/>
            </w:pPr>
            <w:r>
              <w:rPr/>
              <w:t>​</w:t>
            </w:r>
          </w:p>
        </w:tc>
        <w:tc>
          <w:tcPr>
            <w:tcW w:w="92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(213,898)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(213,898)</w:t>
            </w:r>
          </w:p>
        </w:tc>
      </w:tr>
      <w:tr>
        <w:trPr/>
        <w:tc>
          <w:tcPr>
            <w:tcW w:w="181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 June 30, 2023</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194</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36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2,842,158</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36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224,688,434</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36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2,360,468</w:t>
            </w:r>
          </w:p>
        </w:tc>
        <w:tc>
          <w:tcPr>
            <w:tcW w:w="326" w:type="dxa"/>
            <w:tcBorders/>
            <w:shd w:fill="CCEEFF" w:val="clear"/>
            <w:vAlign w:val="center"/>
          </w:tcPr>
          <w:p>
            <w:pPr>
              <w:pStyle w:val="TableContents"/>
              <w:bidi w:val="0"/>
              <w:spacing w:before="0" w:after="1"/>
              <w:ind w:left="0" w:right="0" w:hanging="0"/>
              <w:jc w:val="left"/>
              <w:rPr/>
            </w:pPr>
            <w:r>
              <w:rPr/>
              <w:t>​</w:t>
            </w:r>
          </w:p>
        </w:tc>
        <w:tc>
          <w:tcPr>
            <w:tcW w:w="318"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9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(1,782,236)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578,569</w:t>
            </w:r>
          </w:p>
        </w:tc>
      </w:tr>
      <w:tr>
        <w:trPr/>
        <w:tc>
          <w:tcPr>
            <w:tcW w:w="18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center"/>
              <w:rPr/>
            </w:pPr>
            <w:r>
              <w:rPr/>
              <w:t>​</w:t>
            </w:r>
          </w:p>
        </w:tc>
        <w:tc>
          <w:tcPr>
            <w:tcW w:w="36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center"/>
              <w:rPr/>
            </w:pPr>
            <w:r>
              <w:rPr/>
              <w:t>​</w:t>
            </w:r>
          </w:p>
        </w:tc>
        <w:tc>
          <w:tcPr>
            <w:tcW w:w="36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center"/>
              <w:rPr/>
            </w:pPr>
            <w:r>
              <w:rPr/>
              <w:t>​</w:t>
            </w:r>
          </w:p>
        </w:tc>
        <w:tc>
          <w:tcPr>
            <w:tcW w:w="36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8" w:type="dxa"/>
            <w:tcBorders/>
            <w:vAlign w:val="center"/>
          </w:tcPr>
          <w:p>
            <w:pPr>
              <w:pStyle w:val="TableContents"/>
              <w:bidi w:val="0"/>
              <w:spacing w:before="0" w:after="1"/>
              <w:ind w:left="0" w:right="0" w:hanging="0"/>
              <w:jc w:val="center"/>
              <w:rPr/>
            </w:pPr>
            <w:r>
              <w:rPr/>
              <w:t>​</w:t>
            </w:r>
          </w:p>
        </w:tc>
        <w:tc>
          <w:tcPr>
            <w:tcW w:w="92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right"/>
              <w:rPr/>
            </w:pPr>
            <w:r>
              <w:rPr/>
              <w:t>​</w:t>
            </w:r>
          </w:p>
        </w:tc>
      </w:tr>
      <w:tr>
        <w:trPr/>
        <w:tc>
          <w:tcPr>
            <w:tcW w:w="181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 December 31, 2021</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194</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36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2,842,158</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36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157,004,742</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36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1,794,695</w:t>
            </w:r>
          </w:p>
        </w:tc>
        <w:tc>
          <w:tcPr>
            <w:tcW w:w="326" w:type="dxa"/>
            <w:tcBorders/>
            <w:shd w:fill="CCEEFF" w:val="clear"/>
            <w:vAlign w:val="center"/>
          </w:tcPr>
          <w:p>
            <w:pPr>
              <w:pStyle w:val="TableContents"/>
              <w:bidi w:val="0"/>
              <w:spacing w:before="0" w:after="1"/>
              <w:ind w:left="0" w:right="0" w:hanging="0"/>
              <w:jc w:val="left"/>
              <w:rPr/>
            </w:pPr>
            <w:r>
              <w:rPr/>
              <w:t>​</w:t>
            </w:r>
          </w:p>
        </w:tc>
        <w:tc>
          <w:tcPr>
            <w:tcW w:w="318"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92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(1,172,445)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621,659</w:t>
            </w:r>
          </w:p>
        </w:tc>
      </w:tr>
      <w:tr>
        <w:trPr/>
        <w:tc>
          <w:tcPr>
            <w:tcW w:w="18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Stock-based compensation expense</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center"/>
              <w:rPr/>
            </w:pPr>
            <w:r>
              <w:rPr/>
              <w:t>​</w:t>
            </w:r>
          </w:p>
        </w:tc>
        <w:tc>
          <w:tcPr>
            <w:tcW w:w="36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center"/>
              <w:rPr/>
            </w:pPr>
            <w:r>
              <w:rPr/>
              <w:t>​</w:t>
            </w:r>
          </w:p>
        </w:tc>
        <w:tc>
          <w:tcPr>
            <w:tcW w:w="36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center"/>
              <w:rPr/>
            </w:pPr>
            <w:r>
              <w:rPr/>
              <w:t>​</w:t>
            </w:r>
          </w:p>
        </w:tc>
        <w:tc>
          <w:tcPr>
            <w:tcW w:w="36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44,733</w:t>
            </w:r>
          </w:p>
        </w:tc>
        <w:tc>
          <w:tcPr>
            <w:tcW w:w="326" w:type="dxa"/>
            <w:tcBorders/>
            <w:vAlign w:val="center"/>
          </w:tcPr>
          <w:p>
            <w:pPr>
              <w:pStyle w:val="TableContents"/>
              <w:bidi w:val="0"/>
              <w:spacing w:before="0" w:after="1"/>
              <w:ind w:left="0" w:right="0" w:hanging="0"/>
              <w:jc w:val="left"/>
              <w:rPr/>
            </w:pPr>
            <w:r>
              <w:rPr/>
              <w:t>​</w:t>
            </w:r>
          </w:p>
        </w:tc>
        <w:tc>
          <w:tcPr>
            <w:tcW w:w="318" w:type="dxa"/>
            <w:tcBorders/>
            <w:vAlign w:val="center"/>
          </w:tcPr>
          <w:p>
            <w:pPr>
              <w:pStyle w:val="TableContents"/>
              <w:bidi w:val="0"/>
              <w:spacing w:before="0" w:after="1"/>
              <w:ind w:left="0" w:right="0" w:hanging="0"/>
              <w:jc w:val="center"/>
              <w:rPr/>
            </w:pPr>
            <w:r>
              <w:rPr/>
              <w:t>​</w:t>
            </w:r>
          </w:p>
        </w:tc>
        <w:tc>
          <w:tcPr>
            <w:tcW w:w="9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44,733</w:t>
            </w:r>
          </w:p>
        </w:tc>
      </w:tr>
      <w:tr>
        <w:trPr/>
        <w:tc>
          <w:tcPr>
            <w:tcW w:w="18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Common stock issued upon purchase through employee stock purchase plan</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center"/>
              <w:rPr/>
            </w:pPr>
            <w:r>
              <w:rPr/>
              <w:t>​</w:t>
            </w:r>
          </w:p>
        </w:tc>
        <w:tc>
          <w:tcPr>
            <w:tcW w:w="36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center"/>
              <w:rPr/>
            </w:pPr>
            <w:r>
              <w:rPr/>
              <w:t>​</w:t>
            </w:r>
          </w:p>
        </w:tc>
        <w:tc>
          <w:tcPr>
            <w:tcW w:w="36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80,203</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center"/>
              <w:rPr/>
            </w:pPr>
            <w:r>
              <w:rPr/>
              <w:t>​</w:t>
            </w:r>
          </w:p>
        </w:tc>
        <w:tc>
          <w:tcPr>
            <w:tcW w:w="36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582</w:t>
            </w:r>
          </w:p>
        </w:tc>
        <w:tc>
          <w:tcPr>
            <w:tcW w:w="326" w:type="dxa"/>
            <w:tcBorders/>
            <w:shd w:fill="CCEEFF" w:val="clear"/>
            <w:vAlign w:val="center"/>
          </w:tcPr>
          <w:p>
            <w:pPr>
              <w:pStyle w:val="TableContents"/>
              <w:bidi w:val="0"/>
              <w:spacing w:before="0" w:after="1"/>
              <w:ind w:left="0" w:right="0" w:hanging="0"/>
              <w:jc w:val="left"/>
              <w:rPr/>
            </w:pPr>
            <w:r>
              <w:rPr/>
              <w:t>​</w:t>
            </w:r>
          </w:p>
        </w:tc>
        <w:tc>
          <w:tcPr>
            <w:tcW w:w="318" w:type="dxa"/>
            <w:tcBorders/>
            <w:shd w:fill="CCEEFF" w:val="clear"/>
            <w:vAlign w:val="center"/>
          </w:tcPr>
          <w:p>
            <w:pPr>
              <w:pStyle w:val="TableContents"/>
              <w:bidi w:val="0"/>
              <w:spacing w:before="0" w:after="1"/>
              <w:ind w:left="0" w:right="0" w:hanging="0"/>
              <w:jc w:val="center"/>
              <w:rPr/>
            </w:pPr>
            <w:r>
              <w:rPr/>
              <w:t>​</w:t>
            </w:r>
          </w:p>
        </w:tc>
        <w:tc>
          <w:tcPr>
            <w:tcW w:w="92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582</w:t>
            </w:r>
          </w:p>
        </w:tc>
      </w:tr>
      <w:tr>
        <w:trPr/>
        <w:tc>
          <w:tcPr>
            <w:tcW w:w="18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Vesting of restricted shares issued for services</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center"/>
              <w:rPr/>
            </w:pPr>
            <w:r>
              <w:rPr/>
              <w:t>​</w:t>
            </w:r>
          </w:p>
        </w:tc>
        <w:tc>
          <w:tcPr>
            <w:tcW w:w="36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center"/>
              <w:rPr/>
            </w:pPr>
            <w:r>
              <w:rPr/>
              <w:t>​</w:t>
            </w:r>
          </w:p>
        </w:tc>
        <w:tc>
          <w:tcPr>
            <w:tcW w:w="36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898,392</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center"/>
              <w:rPr/>
            </w:pPr>
            <w:r>
              <w:rPr/>
              <w:t> </w:t>
            </w:r>
          </w:p>
        </w:tc>
        <w:tc>
          <w:tcPr>
            <w:tcW w:w="36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 </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18" w:type="dxa"/>
            <w:tcBorders/>
            <w:vAlign w:val="center"/>
          </w:tcPr>
          <w:p>
            <w:pPr>
              <w:pStyle w:val="TableContents"/>
              <w:bidi w:val="0"/>
              <w:spacing w:before="0" w:after="1"/>
              <w:ind w:left="0" w:right="0" w:hanging="0"/>
              <w:jc w:val="center"/>
              <w:rPr/>
            </w:pPr>
            <w:r>
              <w:rPr/>
              <w:t>​</w:t>
            </w:r>
          </w:p>
        </w:tc>
        <w:tc>
          <w:tcPr>
            <w:tcW w:w="9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 </w:t>
            </w:r>
          </w:p>
        </w:tc>
        <w:tc>
          <w:tcPr>
            <w:tcW w:w="796" w:type="dxa"/>
            <w:tcBorders/>
            <w:vAlign w:val="center"/>
          </w:tcPr>
          <w:p>
            <w:pPr>
              <w:pStyle w:val="TableContents"/>
              <w:bidi w:val="0"/>
              <w:spacing w:before="0" w:after="1"/>
              <w:ind w:left="0" w:right="0" w:hanging="0"/>
              <w:jc w:val="right"/>
              <w:rPr/>
            </w:pPr>
            <w:r>
              <w:rPr/>
              <w:t>—</w:t>
            </w:r>
          </w:p>
        </w:tc>
      </w:tr>
      <w:tr>
        <w:trPr/>
        <w:tc>
          <w:tcPr>
            <w:tcW w:w="18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Tax payments related to shares retired for vested restricted stock units</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center"/>
              <w:rPr/>
            </w:pPr>
            <w:r>
              <w:rPr/>
              <w:t>​</w:t>
            </w:r>
          </w:p>
        </w:tc>
        <w:tc>
          <w:tcPr>
            <w:tcW w:w="36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center"/>
              <w:rPr/>
            </w:pPr>
            <w:r>
              <w:rPr/>
              <w:t>​</w:t>
            </w:r>
          </w:p>
        </w:tc>
        <w:tc>
          <w:tcPr>
            <w:tcW w:w="36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(346,335)</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center"/>
              <w:rPr/>
            </w:pPr>
            <w:r>
              <w:rPr/>
              <w:t>​</w:t>
            </w:r>
          </w:p>
        </w:tc>
        <w:tc>
          <w:tcPr>
            <w:tcW w:w="36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(2,649)</w:t>
            </w:r>
          </w:p>
        </w:tc>
        <w:tc>
          <w:tcPr>
            <w:tcW w:w="326" w:type="dxa"/>
            <w:tcBorders/>
            <w:shd w:fill="CCEEFF" w:val="clear"/>
            <w:vAlign w:val="center"/>
          </w:tcPr>
          <w:p>
            <w:pPr>
              <w:pStyle w:val="TableContents"/>
              <w:bidi w:val="0"/>
              <w:spacing w:before="0" w:after="1"/>
              <w:ind w:left="0" w:right="0" w:hanging="0"/>
              <w:jc w:val="left"/>
              <w:rPr/>
            </w:pPr>
            <w:r>
              <w:rPr/>
              <w:t>​</w:t>
            </w:r>
          </w:p>
        </w:tc>
        <w:tc>
          <w:tcPr>
            <w:tcW w:w="318" w:type="dxa"/>
            <w:tcBorders/>
            <w:shd w:fill="CCEEFF" w:val="clear"/>
            <w:vAlign w:val="center"/>
          </w:tcPr>
          <w:p>
            <w:pPr>
              <w:pStyle w:val="TableContents"/>
              <w:bidi w:val="0"/>
              <w:spacing w:before="0" w:after="1"/>
              <w:ind w:left="0" w:right="0" w:hanging="0"/>
              <w:jc w:val="center"/>
              <w:rPr/>
            </w:pPr>
            <w:r>
              <w:rPr/>
              <w:t>​</w:t>
            </w:r>
          </w:p>
        </w:tc>
        <w:tc>
          <w:tcPr>
            <w:tcW w:w="92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(2,649)</w:t>
            </w:r>
          </w:p>
        </w:tc>
      </w:tr>
      <w:tr>
        <w:trPr/>
        <w:tc>
          <w:tcPr>
            <w:tcW w:w="18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Common stock issued upon exercise of stock options</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center"/>
              <w:rPr/>
            </w:pPr>
            <w:r>
              <w:rPr/>
              <w:t>​</w:t>
            </w:r>
          </w:p>
        </w:tc>
        <w:tc>
          <w:tcPr>
            <w:tcW w:w="36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center"/>
              <w:rPr/>
            </w:pPr>
            <w:r>
              <w:rPr/>
              <w:t>​</w:t>
            </w:r>
          </w:p>
        </w:tc>
        <w:tc>
          <w:tcPr>
            <w:tcW w:w="36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163,579</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center"/>
              <w:rPr/>
            </w:pPr>
            <w:r>
              <w:rPr/>
              <w:t> </w:t>
            </w:r>
          </w:p>
        </w:tc>
        <w:tc>
          <w:tcPr>
            <w:tcW w:w="36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1,417</w:t>
            </w:r>
          </w:p>
        </w:tc>
        <w:tc>
          <w:tcPr>
            <w:tcW w:w="326" w:type="dxa"/>
            <w:tcBorders/>
            <w:vAlign w:val="center"/>
          </w:tcPr>
          <w:p>
            <w:pPr>
              <w:pStyle w:val="TableContents"/>
              <w:bidi w:val="0"/>
              <w:spacing w:before="0" w:after="1"/>
              <w:ind w:left="0" w:right="0" w:hanging="0"/>
              <w:jc w:val="left"/>
              <w:rPr/>
            </w:pPr>
            <w:r>
              <w:rPr/>
              <w:t>​</w:t>
            </w:r>
          </w:p>
        </w:tc>
        <w:tc>
          <w:tcPr>
            <w:tcW w:w="318" w:type="dxa"/>
            <w:tcBorders/>
            <w:vAlign w:val="center"/>
          </w:tcPr>
          <w:p>
            <w:pPr>
              <w:pStyle w:val="TableContents"/>
              <w:bidi w:val="0"/>
              <w:spacing w:before="0" w:after="1"/>
              <w:ind w:left="0" w:right="0" w:hanging="0"/>
              <w:jc w:val="center"/>
              <w:rPr/>
            </w:pPr>
            <w:r>
              <w:rPr/>
              <w:t>​</w:t>
            </w:r>
          </w:p>
        </w:tc>
        <w:tc>
          <w:tcPr>
            <w:tcW w:w="92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1,417</w:t>
            </w:r>
          </w:p>
        </w:tc>
      </w:tr>
      <w:tr>
        <w:trPr/>
        <w:tc>
          <w:tcPr>
            <w:tcW w:w="18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Unrealized loss on investments</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center"/>
              <w:rPr/>
            </w:pPr>
            <w:r>
              <w:rPr/>
              <w:t>​</w:t>
            </w:r>
          </w:p>
        </w:tc>
        <w:tc>
          <w:tcPr>
            <w:tcW w:w="36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center"/>
              <w:rPr/>
            </w:pPr>
            <w:r>
              <w:rPr/>
              <w:t>​</w:t>
            </w:r>
          </w:p>
        </w:tc>
        <w:tc>
          <w:tcPr>
            <w:tcW w:w="36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center"/>
              <w:rPr/>
            </w:pPr>
            <w:r>
              <w:rPr/>
              <w:t>​</w:t>
            </w:r>
          </w:p>
        </w:tc>
        <w:tc>
          <w:tcPr>
            <w:tcW w:w="36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18" w:type="dxa"/>
            <w:tcBorders/>
            <w:shd w:fill="CCEEFF" w:val="clear"/>
            <w:vAlign w:val="center"/>
          </w:tcPr>
          <w:p>
            <w:pPr>
              <w:pStyle w:val="TableContents"/>
              <w:bidi w:val="0"/>
              <w:spacing w:before="0" w:after="1"/>
              <w:ind w:left="0" w:right="0" w:hanging="0"/>
              <w:jc w:val="center"/>
              <w:rPr/>
            </w:pPr>
            <w:r>
              <w:rPr/>
              <w:t> </w:t>
            </w:r>
          </w:p>
        </w:tc>
        <w:tc>
          <w:tcPr>
            <w:tcW w:w="92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(2,096)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center"/>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(2,096)</w:t>
            </w:r>
          </w:p>
        </w:tc>
      </w:tr>
      <w:tr>
        <w:trPr/>
        <w:tc>
          <w:tcPr>
            <w:tcW w:w="18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w:t>
            </w:r>
          </w:p>
        </w:tc>
        <w:tc>
          <w:tcPr>
            <w:tcW w:w="326" w:type="dxa"/>
            <w:tcBorders/>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36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36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36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18"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92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(190,956)</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(190,956)</w:t>
            </w:r>
          </w:p>
        </w:tc>
      </w:tr>
      <w:tr>
        <w:trPr/>
        <w:tc>
          <w:tcPr>
            <w:tcW w:w="181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 June 30, 2022</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194</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36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2,842,158</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36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157,800,581</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36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1,838,778</w:t>
            </w:r>
          </w:p>
        </w:tc>
        <w:tc>
          <w:tcPr>
            <w:tcW w:w="326" w:type="dxa"/>
            <w:tcBorders/>
            <w:shd w:fill="CCEEFF" w:val="clear"/>
            <w:vAlign w:val="center"/>
          </w:tcPr>
          <w:p>
            <w:pPr>
              <w:pStyle w:val="TableContents"/>
              <w:bidi w:val="0"/>
              <w:spacing w:before="0" w:after="1"/>
              <w:ind w:left="0" w:right="0" w:hanging="0"/>
              <w:jc w:val="left"/>
              <w:rPr/>
            </w:pPr>
            <w:r>
              <w:rPr/>
              <w:t>​</w:t>
            </w:r>
          </w:p>
        </w:tc>
        <w:tc>
          <w:tcPr>
            <w:tcW w:w="318"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9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(2,697)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(1,363,401)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472,690</w:t>
            </w:r>
          </w:p>
        </w:tc>
      </w:tr>
      <w:tr>
        <w:trPr/>
        <w:tc>
          <w:tcPr>
            <w:tcW w:w="18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center"/>
              <w:rPr/>
            </w:pPr>
            <w:r>
              <w:rPr/>
              <w:t>​</w:t>
            </w:r>
          </w:p>
        </w:tc>
        <w:tc>
          <w:tcPr>
            <w:tcW w:w="36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center"/>
              <w:rPr/>
            </w:pPr>
            <w:r>
              <w:rPr/>
              <w:t>​</w:t>
            </w:r>
          </w:p>
        </w:tc>
        <w:tc>
          <w:tcPr>
            <w:tcW w:w="36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center"/>
              <w:rPr/>
            </w:pPr>
            <w:r>
              <w:rPr/>
              <w:t>​</w:t>
            </w:r>
          </w:p>
        </w:tc>
        <w:tc>
          <w:tcPr>
            <w:tcW w:w="36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8" w:type="dxa"/>
            <w:tcBorders/>
            <w:vAlign w:val="center"/>
          </w:tcPr>
          <w:p>
            <w:pPr>
              <w:pStyle w:val="TableContents"/>
              <w:bidi w:val="0"/>
              <w:spacing w:before="0" w:after="1"/>
              <w:ind w:left="0" w:right="0" w:hanging="0"/>
              <w:jc w:val="center"/>
              <w:rPr/>
            </w:pPr>
            <w:r>
              <w:rPr/>
              <w:t>​</w:t>
            </w:r>
          </w:p>
        </w:tc>
        <w:tc>
          <w:tcPr>
            <w:tcW w:w="92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left"/>
              <w:rPr/>
            </w:pPr>
            <w:r>
              <w:rPr/>
              <w:t>​</w:t>
            </w:r>
          </w:p>
        </w:tc>
      </w:tr>
    </w:tbl>
    <w:p>
      <w:pPr>
        <w:pStyle w:val="TextBody"/>
        <w:bidi w:val="0"/>
        <w:spacing w:before="0" w:after="200"/>
        <w:ind w:left="0" w:right="0" w:hanging="0"/>
        <w:jc w:val="left"/>
        <w:rPr/>
      </w:pPr>
      <w:r>
        <w:rPr/>
        <w:t>​</w:t>
      </w:r>
    </w:p>
    <w:p>
      <w:pPr>
        <w:pStyle w:val="TextBody"/>
        <w:bidi w:val="0"/>
        <w:spacing w:before="0" w:after="0"/>
        <w:ind w:left="0" w:right="0" w:firstLine="547"/>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200"/>
        <w:ind w:left="0" w:right="0" w:hanging="0"/>
        <w:jc w:val="center"/>
        <w:rPr/>
      </w:pPr>
      <w:r>
        <w:rPr/>
        <w:t>​</w:t>
      </w:r>
    </w:p>
    <w:p>
      <w:pPr>
        <w:pStyle w:val="TextBody"/>
        <w:bidi w:val="0"/>
        <w:spacing w:before="0" w:after="200"/>
        <w:ind w:left="0" w:right="0" w:firstLine="547"/>
        <w:jc w:val="center"/>
        <w:rPr/>
      </w:pPr>
      <w:r>
        <w:rPr/>
        <w:t>​</w:t>
      </w:r>
    </w:p>
    <w:p>
      <w:pPr>
        <w:pStyle w:val="TextBody"/>
        <w:bidi w:val="0"/>
        <w:spacing w:before="0" w:after="200"/>
        <w:ind w:left="0" w:right="0" w:firstLine="547"/>
        <w:jc w:val="center"/>
        <w:rPr/>
      </w:pPr>
      <w:r>
        <w:rPr/>
        <w:t>​</w:t>
      </w:r>
    </w:p>
    <w:p>
      <w:pPr>
        <w:pStyle w:val="TextBody"/>
        <w:bidi w:val="0"/>
        <w:spacing w:before="0" w:after="200"/>
        <w:ind w:left="0" w:right="0" w:firstLine="547"/>
        <w:jc w:val="center"/>
        <w:rPr/>
      </w:pPr>
      <w:r>
        <w:rPr/>
        <w:t>​</w:t>
      </w:r>
    </w:p>
    <w:p>
      <w:pPr>
        <w:pStyle w:val="TextBody"/>
        <w:bidi w:val="0"/>
        <w:spacing w:before="0" w:after="200"/>
        <w:ind w:left="0" w:right="0" w:hanging="0"/>
        <w:jc w:val="left"/>
        <w:rPr/>
      </w:pPr>
      <w:r>
        <w:rPr/>
        <w:t>​</w:t>
      </w:r>
    </w:p>
    <w:p>
      <w:pPr>
        <w:pStyle w:val="TextBody"/>
        <w:bidi w:val="0"/>
        <w:spacing w:before="0" w:after="200"/>
        <w:ind w:left="0" w:right="0" w:firstLine="547"/>
        <w:jc w:val="center"/>
        <w:rPr/>
      </w:pPr>
      <w:r>
        <w:rPr/>
        <w:t>​</w:t>
      </w:r>
    </w:p>
    <w:p>
      <w:pPr>
        <w:pStyle w:val="TextBody"/>
        <w:bidi w:val="0"/>
        <w:spacing w:before="0" w:after="200"/>
        <w:ind w:left="0" w:right="0" w:firstLine="547"/>
        <w:jc w:val="center"/>
        <w:rPr/>
      </w:pPr>
      <w:r>
        <w:rPr/>
        <w:t>​</w:t>
      </w:r>
    </w:p>
    <w:p>
      <w:pPr>
        <w:pStyle w:val="TextBody"/>
        <w:bidi w:val="0"/>
        <w:spacing w:before="0" w:after="200"/>
        <w:ind w:left="0" w:right="0" w:firstLine="547"/>
        <w:jc w:val="center"/>
        <w:rPr/>
      </w:pPr>
      <w:r>
        <w:rPr/>
        <w:t>​</w:t>
      </w:r>
    </w:p>
    <w:p>
      <w:pPr>
        <w:pStyle w:val="TextBody"/>
        <w:bidi w:val="0"/>
        <w:spacing w:before="0" w:after="200"/>
        <w:ind w:left="0" w:right="0" w:firstLine="547"/>
        <w:jc w:val="center"/>
        <w:rPr/>
      </w:pPr>
      <w:r>
        <w:rPr/>
        <w:t>​</w:t>
      </w:r>
    </w:p>
    <w:p>
      <w:pPr>
        <w:pStyle w:val="TextBody"/>
        <w:bidi w:val="0"/>
        <w:spacing w:before="0" w:after="200"/>
        <w:ind w:left="0" w:right="0" w:firstLine="547"/>
        <w:jc w:val="left"/>
        <w:rPr/>
      </w:pPr>
      <w:r>
        <w:rPr/>
        <w:t>​</w:t>
      </w:r>
    </w:p>
    <w:p>
      <w:pPr>
        <w:pStyle w:val="TextBody"/>
        <w:bidi w:val="0"/>
        <w:spacing w:before="0" w:after="200"/>
        <w:ind w:left="0" w:right="0" w:firstLine="547"/>
        <w:jc w:val="left"/>
        <w:rPr/>
      </w:pPr>
      <w:r>
        <w:rPr/>
        <w:t>​</w:t>
      </w:r>
    </w:p>
    <w:p>
      <w:pPr>
        <w:pStyle w:val="TextBody"/>
        <w:bidi w:val="0"/>
        <w:spacing w:before="0" w:after="200"/>
        <w:ind w:left="0" w:right="0" w:firstLine="547"/>
        <w:jc w:val="left"/>
        <w:rPr/>
      </w:pPr>
      <w:r>
        <w:rPr/>
        <w:t>​</w:t>
      </w:r>
    </w:p>
    <w:p>
      <w:pPr>
        <w:pStyle w:val="TextBody"/>
        <w:bidi w:val="0"/>
        <w:spacing w:before="0" w:after="200"/>
        <w:ind w:left="0" w:right="0" w:firstLine="547"/>
        <w:jc w:val="left"/>
        <w:rPr/>
      </w:pPr>
      <w:r>
        <w:rPr/>
        <w:t>​</w:t>
      </w:r>
    </w:p>
    <w:p>
      <w:pPr>
        <w:pStyle w:val="TextBody"/>
        <w:bidi w:val="0"/>
        <w:spacing w:before="0" w:after="200"/>
        <w:ind w:left="0" w:right="0" w:firstLine="547"/>
        <w:jc w:val="left"/>
        <w:rPr/>
      </w:pPr>
      <w:r>
        <w:rPr/>
        <w:t>​</w:t>
      </w:r>
    </w:p>
    <w:p>
      <w:pPr>
        <w:pStyle w:val="TextBody"/>
        <w:bidi w:val="0"/>
        <w:spacing w:before="0" w:after="200"/>
        <w:ind w:left="0" w:right="0" w:firstLine="547"/>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064" w:name="_234e13de_9824_44c1_b59e_897ef8a90556"/>
      <w:bookmarkEnd w:id="1064"/>
      <w:r>
        <w:rPr>
          <w:rFonts w:ascii="Times New Roman;Times;serif" w:hAnsi="Times New Roman;Times;serif"/>
          <w:b/>
          <w:sz w:val="20"/>
        </w:rPr>
        <w:t>IOVANCE BIOTHERAPEUTICS,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TextBody"/>
        <w:bidi w:val="0"/>
        <w:spacing w:before="0" w:after="200"/>
        <w:ind w:left="0" w:right="0" w:hanging="0"/>
        <w:jc w:val="center"/>
        <w:rPr/>
      </w:pPr>
      <w:r>
        <w:rPr/>
        <w:t>​</w:t>
      </w:r>
    </w:p>
    <w:p>
      <w:pPr>
        <w:pStyle w:val="Normal"/>
        <w:bidi w:val="0"/>
        <w:spacing w:before="0" w:after="0"/>
        <w:jc w:val="left"/>
        <w:rPr>
          <w:sz w:val="4"/>
          <w:szCs w:val="4"/>
        </w:rPr>
      </w:pPr>
      <w:r>
        <w:rPr>
          <w:sz w:val="4"/>
          <w:szCs w:val="4"/>
        </w:rPr>
      </w:r>
      <w:bookmarkStart w:id="1065" w:name="Tc_9Kefe__mQUO_D8TKL5-NJQ_48_0"/>
      <w:bookmarkStart w:id="1066" w:name="Tc_5z1mByiwfkicMqiHQq9Hcg_47_0"/>
      <w:bookmarkStart w:id="1067" w:name="Tc_TUxtBa5gckiRLnhJvMVsbg_46_0"/>
      <w:bookmarkStart w:id="1068" w:name="Tc_qSkiD2lCPEuyyMXpEDOk5A_45_0"/>
      <w:bookmarkStart w:id="1069" w:name="Tc_Dx-7aq_-rkSKJ3eRS3H0cQ_44_0"/>
      <w:bookmarkStart w:id="1070" w:name="Tc_BWZI2-wPAEK-xasxp_TnUg_43_5"/>
      <w:bookmarkStart w:id="1071" w:name="Tc_C_zZRUcZvUy5Txm7NKY1rQ_43_2"/>
      <w:bookmarkStart w:id="1072" w:name="Tc_ymI2Msh3q0WkFnbFqZODnw_43_0"/>
      <w:bookmarkStart w:id="1073" w:name="Tc_J2g6usYh-06MXAgKWpj-YQ_42_0"/>
      <w:bookmarkStart w:id="1074" w:name="Tc_bu9bJ7EMIkahomvt-UnhqA_40_5"/>
      <w:bookmarkStart w:id="1075" w:name="Tc_ji3STiKKCkGaCMliO4YWMg_40_2"/>
      <w:bookmarkStart w:id="1076" w:name="Tc_hzfTbMBMqUCkQz0X-nw7Gg_40_0"/>
      <w:bookmarkStart w:id="1077" w:name="Tc_VDlq95YbUE-_9ohNFpXXwA_39_0"/>
      <w:bookmarkStart w:id="1078" w:name="Tc_JsVyDIceYE6J5WhpWMRQ5w_38_0"/>
      <w:bookmarkStart w:id="1079" w:name="Tc_PHFDi7rZQEefjEELjE-AWw_37_0"/>
      <w:bookmarkStart w:id="1080" w:name="Tc_MMO1fthyak-deDJIn1Bygg_36_0"/>
      <w:bookmarkStart w:id="1081" w:name="Tc_vgBjK-W9l0uWGMHs_fxMMg_35_0"/>
      <w:bookmarkStart w:id="1082" w:name="Tc_IhPn0sTjfE2FlhQBqLQ13Q_34_0"/>
      <w:bookmarkStart w:id="1083" w:name="Tc_6NfBxDgzH0qidf1YGkRkqQ_33_0"/>
      <w:bookmarkStart w:id="1084" w:name="Tc_2GWkKdOLI0-m9CB5anZXwg_32_0"/>
      <w:bookmarkStart w:id="1085" w:name="Tc_F9FPJc79TEK_NnB08O18tQ_31_0"/>
      <w:bookmarkStart w:id="1086" w:name="Tc_89unK759skuy5wAwmJY9cg_29_0"/>
      <w:bookmarkStart w:id="1087" w:name="Tc_UB5wflkD1kiDPzJpCOcBRg_28_0"/>
      <w:bookmarkStart w:id="1088" w:name="Tc_CUpnuVo76k-qlOhxbb4LRA_27_0"/>
      <w:bookmarkStart w:id="1089" w:name="Tc_tQPOOG3QlkuF_Ger8mP9IA_26_0"/>
      <w:bookmarkStart w:id="1090" w:name="Tc_K27vNtfO1EWRTqB_QXgCkQ_25_0"/>
      <w:bookmarkStart w:id="1091" w:name="Tc_PZZZBF77aki8R9F1qaTQoQ_24_0"/>
      <w:bookmarkStart w:id="1092" w:name="Tc_jckPsRhbeESa6QZgWIBiOA_22_0"/>
      <w:bookmarkStart w:id="1093" w:name="Tc_WoIaJPNA00ORKYQtWH85IA_21_0"/>
      <w:bookmarkStart w:id="1094" w:name="Tc_dYMtgPNJWkehwNa3zM3_tA_20_0"/>
      <w:bookmarkStart w:id="1095" w:name="Tc_QUYKG9CkkES2yd0QSOUFkg_19_0"/>
      <w:bookmarkStart w:id="1096" w:name="Tc_nCoCpwWD806r6Qa2eBpGAg_18_0"/>
      <w:bookmarkStart w:id="1097" w:name="Tc_MwTOx9IJ9kW1eXoS3BPePQ_17_0"/>
      <w:bookmarkStart w:id="1098" w:name="Tc_nxRPGH3J9kCoYf47D9VkwQ_16_0"/>
      <w:bookmarkStart w:id="1099" w:name="Tc_IrXOp68kBECzXYC7s2d4Hg_15_0"/>
      <w:bookmarkStart w:id="1100" w:name="Tc_VzILJz_4ikWqPzxat9SYKw_14_0"/>
      <w:bookmarkStart w:id="1101" w:name="Tc_1NcIMLlACUiqs3caZ_WpCA_13_0"/>
      <w:bookmarkStart w:id="1102" w:name="Tc_L6z0BkQXC0KdrMMrOppHQw_12_0"/>
      <w:bookmarkStart w:id="1103" w:name="Tc_YdL3Unw-_0aYL4G4CHnQZQ_11_0"/>
      <w:bookmarkStart w:id="1104" w:name="Tc_kymMT3Nso0ukZ4rxKVDcEw_10_0"/>
      <w:bookmarkStart w:id="1105" w:name="Tc_h_uKfUW3dUeDVdFk3NidxA_9_0"/>
      <w:bookmarkStart w:id="1106" w:name="Tc_YMuGZJKaf0SCzqjCJRbObQ_8_0"/>
      <w:bookmarkStart w:id="1107" w:name="Tc_7WJeKqZ8JUGYaLtoPS6-Mw_7_0"/>
      <w:bookmarkStart w:id="1108" w:name="Tc_81ApvP8Nf0SLkK6ZpMxnKw_6_0"/>
      <w:bookmarkStart w:id="1109" w:name="Tc_HclkbOi6rUmsUz5ZRuPtBw_5_5"/>
      <w:bookmarkStart w:id="1110" w:name="Tc_VjnLzPiQ2EGIAStKpXU8Kg_5_2"/>
      <w:bookmarkStart w:id="1111" w:name="Tc_U2yExnPL9E2srosHYe1v5w_5_0"/>
      <w:bookmarkStart w:id="1112" w:name="Tc_OUw6DjR6c0-WTsoOpkWFZA_4_0"/>
      <w:bookmarkStart w:id="1113" w:name="Tc_-F6Q_EqMQkiKPD_JyiHMow_3_5"/>
      <w:bookmarkStart w:id="1114" w:name="Tc_ACLw_sEU6k-uW5Edftu8JA_3_2"/>
      <w:bookmarkStart w:id="1115" w:name="Tc_UPTGeZ0FbkaUm91L9sZegA_2_2"/>
      <w:bookmarkStart w:id="1116" w:name="Tc_Ky4JFHkUL0qKkRqodcLxHA_1_2"/>
      <w:bookmarkStart w:id="1117" w:name="_fe60453f_127a_46cd_a341_377132ae5c43"/>
      <w:bookmarkStart w:id="1118" w:name="Tc_9Kefe__mQUO_D8TKL5-NJQ_48_0"/>
      <w:bookmarkStart w:id="1119" w:name="Tc_5z1mByiwfkicMqiHQq9Hcg_47_0"/>
      <w:bookmarkStart w:id="1120" w:name="Tc_TUxtBa5gckiRLnhJvMVsbg_46_0"/>
      <w:bookmarkStart w:id="1121" w:name="Tc_qSkiD2lCPEuyyMXpEDOk5A_45_0"/>
      <w:bookmarkStart w:id="1122" w:name="Tc_Dx-7aq_-rkSKJ3eRS3H0cQ_44_0"/>
      <w:bookmarkStart w:id="1123" w:name="Tc_BWZI2-wPAEK-xasxp_TnUg_43_5"/>
      <w:bookmarkStart w:id="1124" w:name="Tc_C_zZRUcZvUy5Txm7NKY1rQ_43_2"/>
      <w:bookmarkStart w:id="1125" w:name="Tc_ymI2Msh3q0WkFnbFqZODnw_43_0"/>
      <w:bookmarkStart w:id="1126" w:name="Tc_J2g6usYh-06MXAgKWpj-YQ_42_0"/>
      <w:bookmarkStart w:id="1127" w:name="Tc_bu9bJ7EMIkahomvt-UnhqA_40_5"/>
      <w:bookmarkStart w:id="1128" w:name="Tc_ji3STiKKCkGaCMliO4YWMg_40_2"/>
      <w:bookmarkStart w:id="1129" w:name="Tc_hzfTbMBMqUCkQz0X-nw7Gg_40_0"/>
      <w:bookmarkStart w:id="1130" w:name="Tc_VDlq95YbUE-_9ohNFpXXwA_39_0"/>
      <w:bookmarkStart w:id="1131" w:name="Tc_JsVyDIceYE6J5WhpWMRQ5w_38_0"/>
      <w:bookmarkStart w:id="1132" w:name="Tc_PHFDi7rZQEefjEELjE-AWw_37_0"/>
      <w:bookmarkStart w:id="1133" w:name="Tc_MMO1fthyak-deDJIn1Bygg_36_0"/>
      <w:bookmarkStart w:id="1134" w:name="Tc_vgBjK-W9l0uWGMHs_fxMMg_35_0"/>
      <w:bookmarkStart w:id="1135" w:name="Tc_IhPn0sTjfE2FlhQBqLQ13Q_34_0"/>
      <w:bookmarkStart w:id="1136" w:name="Tc_6NfBxDgzH0qidf1YGkRkqQ_33_0"/>
      <w:bookmarkStart w:id="1137" w:name="Tc_2GWkKdOLI0-m9CB5anZXwg_32_0"/>
      <w:bookmarkStart w:id="1138" w:name="Tc_F9FPJc79TEK_NnB08O18tQ_31_0"/>
      <w:bookmarkStart w:id="1139" w:name="Tc_89unK759skuy5wAwmJY9cg_29_0"/>
      <w:bookmarkStart w:id="1140" w:name="Tc_UB5wflkD1kiDPzJpCOcBRg_28_0"/>
      <w:bookmarkStart w:id="1141" w:name="Tc_CUpnuVo76k-qlOhxbb4LRA_27_0"/>
      <w:bookmarkStart w:id="1142" w:name="Tc_tQPOOG3QlkuF_Ger8mP9IA_26_0"/>
      <w:bookmarkStart w:id="1143" w:name="Tc_K27vNtfO1EWRTqB_QXgCkQ_25_0"/>
      <w:bookmarkStart w:id="1144" w:name="Tc_PZZZBF77aki8R9F1qaTQoQ_24_0"/>
      <w:bookmarkStart w:id="1145" w:name="Tc_jckPsRhbeESa6QZgWIBiOA_22_0"/>
      <w:bookmarkStart w:id="1146" w:name="Tc_WoIaJPNA00ORKYQtWH85IA_21_0"/>
      <w:bookmarkStart w:id="1147" w:name="Tc_dYMtgPNJWkehwNa3zM3_tA_20_0"/>
      <w:bookmarkStart w:id="1148" w:name="Tc_QUYKG9CkkES2yd0QSOUFkg_19_0"/>
      <w:bookmarkStart w:id="1149" w:name="Tc_nCoCpwWD806r6Qa2eBpGAg_18_0"/>
      <w:bookmarkStart w:id="1150" w:name="Tc_MwTOx9IJ9kW1eXoS3BPePQ_17_0"/>
      <w:bookmarkStart w:id="1151" w:name="Tc_nxRPGH3J9kCoYf47D9VkwQ_16_0"/>
      <w:bookmarkStart w:id="1152" w:name="Tc_IrXOp68kBECzXYC7s2d4Hg_15_0"/>
      <w:bookmarkStart w:id="1153" w:name="Tc_VzILJz_4ikWqPzxat9SYKw_14_0"/>
      <w:bookmarkStart w:id="1154" w:name="Tc_1NcIMLlACUiqs3caZ_WpCA_13_0"/>
      <w:bookmarkStart w:id="1155" w:name="Tc_L6z0BkQXC0KdrMMrOppHQw_12_0"/>
      <w:bookmarkStart w:id="1156" w:name="Tc_YdL3Unw-_0aYL4G4CHnQZQ_11_0"/>
      <w:bookmarkStart w:id="1157" w:name="Tc_kymMT3Nso0ukZ4rxKVDcEw_10_0"/>
      <w:bookmarkStart w:id="1158" w:name="Tc_h_uKfUW3dUeDVdFk3NidxA_9_0"/>
      <w:bookmarkStart w:id="1159" w:name="Tc_YMuGZJKaf0SCzqjCJRbObQ_8_0"/>
      <w:bookmarkStart w:id="1160" w:name="Tc_7WJeKqZ8JUGYaLtoPS6-Mw_7_0"/>
      <w:bookmarkStart w:id="1161" w:name="Tc_81ApvP8Nf0SLkK6ZpMxnKw_6_0"/>
      <w:bookmarkStart w:id="1162" w:name="Tc_HclkbOi6rUmsUz5ZRuPtBw_5_5"/>
      <w:bookmarkStart w:id="1163" w:name="Tc_VjnLzPiQ2EGIAStKpXU8Kg_5_2"/>
      <w:bookmarkStart w:id="1164" w:name="Tc_U2yExnPL9E2srosHYe1v5w_5_0"/>
      <w:bookmarkStart w:id="1165" w:name="Tc_OUw6DjR6c0-WTsoOpkWFZA_4_0"/>
      <w:bookmarkStart w:id="1166" w:name="Tc_-F6Q_EqMQkiKPD_JyiHMow_3_5"/>
      <w:bookmarkStart w:id="1167" w:name="Tc_ACLw_sEU6k-uW5Edftu8JA_3_2"/>
      <w:bookmarkStart w:id="1168" w:name="Tc_UPTGeZ0FbkaUm91L9sZegA_2_2"/>
      <w:bookmarkStart w:id="1169" w:name="Tc_Ky4JFHkUL0qKkRqodcLxHA_1_2"/>
      <w:bookmarkStart w:id="1170" w:name="_fe60453f_127a_46cd_a341_377132ae5c43"/>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p>
    <w:tbl>
      <w:tblPr>
        <w:tblW w:w="10205" w:type="dxa"/>
        <w:jc w:val="left"/>
        <w:tblInd w:w="0" w:type="dxa"/>
        <w:tblLayout w:type="fixed"/>
        <w:tblCellMar>
          <w:top w:w="0" w:type="dxa"/>
          <w:left w:w="0" w:type="dxa"/>
          <w:bottom w:w="0" w:type="dxa"/>
          <w:right w:w="0" w:type="dxa"/>
        </w:tblCellMar>
      </w:tblPr>
      <w:tblGrid>
        <w:gridCol w:w="7181"/>
        <w:gridCol w:w="326"/>
        <w:gridCol w:w="211"/>
        <w:gridCol w:w="897"/>
        <w:gridCol w:w="326"/>
        <w:gridCol w:w="211"/>
        <w:gridCol w:w="897"/>
        <w:gridCol w:w="156"/>
      </w:tblGrid>
      <w:tr>
        <w:trPr/>
        <w:tc>
          <w:tcPr>
            <w:tcW w:w="7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4559935" cy="175260"/>
                      <wp:effectExtent l="0" t="0" r="0" b="0"/>
                      <wp:wrapNone/>
                      <wp:docPr id="90" name="Frame90"/>
                      <a:graphic xmlns:a="http://schemas.openxmlformats.org/drawingml/2006/main">
                        <a:graphicData uri="http://schemas.microsoft.com/office/word/2010/wordprocessingShape">
                          <wps:wsp>
                            <wps:cNvSpPr txBox="1"/>
                            <wps:spPr>
                              <a:xfrm>
                                <a:off x="0" y="0"/>
                                <a:ext cx="4559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1" name="Frame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3985" cy="175260"/>
                      <wp:effectExtent l="0" t="0" r="0" b="0"/>
                      <wp:wrapNone/>
                      <wp:docPr id="92" name="Frame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569595" cy="175260"/>
                      <wp:effectExtent l="0" t="0" r="0" b="0"/>
                      <wp:wrapNone/>
                      <wp:docPr id="93" name="Frame93"/>
                      <a:graphic xmlns:a="http://schemas.openxmlformats.org/drawingml/2006/main">
                        <a:graphicData uri="http://schemas.microsoft.com/office/word/2010/wordprocessingShape">
                          <wps:wsp>
                            <wps:cNvSpPr txBox="1"/>
                            <wps:spPr>
                              <a:xfrm>
                                <a:off x="0" y="0"/>
                                <a:ext cx="569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4" name="Frame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3985" cy="175260"/>
                      <wp:effectExtent l="0" t="0" r="0" b="0"/>
                      <wp:wrapNone/>
                      <wp:docPr id="95" name="Frame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569595" cy="175260"/>
                      <wp:effectExtent l="0" t="0" r="0" b="0"/>
                      <wp:wrapNone/>
                      <wp:docPr id="96" name="Frame96"/>
                      <a:graphic xmlns:a="http://schemas.openxmlformats.org/drawingml/2006/main">
                        <a:graphicData uri="http://schemas.microsoft.com/office/word/2010/wordprocessingShape">
                          <wps:wsp>
                            <wps:cNvSpPr txBox="1"/>
                            <wps:spPr>
                              <a:xfrm>
                                <a:off x="0" y="0"/>
                                <a:ext cx="569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99060" cy="175260"/>
                      <wp:effectExtent l="0" t="0" r="0" b="0"/>
                      <wp:wrapNone/>
                      <wp:docPr id="97" name="Frame97"/>
                      <a:graphic xmlns:a="http://schemas.openxmlformats.org/drawingml/2006/main">
                        <a:graphicData uri="http://schemas.microsoft.com/office/word/2010/wordprocessingShape">
                          <wps:wsp>
                            <wps:cNvSpPr txBox="1"/>
                            <wps:spPr>
                              <a:xfrm>
                                <a:off x="0" y="0"/>
                                <a:ext cx="99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1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42"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156" w:type="dxa"/>
            <w:tcBorders/>
            <w:vAlign w:val="center"/>
          </w:tcPr>
          <w:p>
            <w:pPr>
              <w:pStyle w:val="TableContents"/>
              <w:bidi w:val="0"/>
              <w:spacing w:before="0" w:after="1"/>
              <w:ind w:left="0" w:right="0" w:hanging="0"/>
              <w:jc w:val="left"/>
              <w:rPr/>
            </w:pPr>
            <w:r>
              <w:rPr/>
              <w:t>​</w:t>
            </w:r>
          </w:p>
        </w:tc>
      </w:tr>
      <w:tr>
        <w:trPr/>
        <w:tc>
          <w:tcPr>
            <w:tcW w:w="71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4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56" w:type="dxa"/>
            <w:tcBorders/>
            <w:vAlign w:val="center"/>
          </w:tcPr>
          <w:p>
            <w:pPr>
              <w:pStyle w:val="TableContents"/>
              <w:bidi w:val="0"/>
              <w:spacing w:before="0" w:after="1"/>
              <w:ind w:left="0" w:right="0" w:hanging="0"/>
              <w:jc w:val="left"/>
              <w:rPr/>
            </w:pPr>
            <w:r>
              <w:rPr/>
              <w:t>​</w:t>
            </w:r>
          </w:p>
        </w:tc>
      </w:tr>
      <w:tr>
        <w:trPr/>
        <w:tc>
          <w:tcPr>
            <w:tcW w:w="71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0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10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6" w:type="dxa"/>
            <w:tcBorders/>
            <w:vAlign w:val="center"/>
          </w:tcPr>
          <w:p>
            <w:pPr>
              <w:pStyle w:val="TableContents"/>
              <w:bidi w:val="0"/>
              <w:spacing w:before="0" w:after="1"/>
              <w:ind w:left="0" w:right="0" w:hanging="0"/>
              <w:jc w:val="left"/>
              <w:rPr/>
            </w:pPr>
            <w:r>
              <w:rPr/>
              <w:t>​</w:t>
            </w:r>
          </w:p>
        </w:tc>
      </w:tr>
      <w:tr>
        <w:trPr/>
        <w:tc>
          <w:tcPr>
            <w:tcW w:w="7181"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Cash Flows from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left"/>
              <w:rPr/>
            </w:pPr>
            <w:r>
              <w:rPr/>
              <w:t>​</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8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(213,898)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(190,956)</w:t>
            </w:r>
          </w:p>
        </w:tc>
        <w:tc>
          <w:tcPr>
            <w:tcW w:w="156" w:type="dxa"/>
            <w:tcBorders/>
            <w:vAlign w:val="center"/>
          </w:tcPr>
          <w:p>
            <w:pPr>
              <w:pStyle w:val="TableContents"/>
              <w:bidi w:val="0"/>
              <w:spacing w:before="0" w:after="1"/>
              <w:ind w:left="0" w:right="0" w:hanging="0"/>
              <w:jc w:val="left"/>
              <w:rPr/>
            </w:pPr>
            <w:r>
              <w:rPr/>
              <w:t>​</w:t>
            </w:r>
          </w:p>
        </w:tc>
      </w:tr>
      <w:tr>
        <w:trPr/>
        <w:tc>
          <w:tcPr>
            <w:tcW w:w="7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pPr>
            <w:r>
              <w:rPr/>
              <w:t>​</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32,405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44,733</w:t>
            </w:r>
          </w:p>
        </w:tc>
        <w:tc>
          <w:tcPr>
            <w:tcW w:w="156" w:type="dxa"/>
            <w:tcBorders/>
            <w:vAlign w:val="center"/>
          </w:tcPr>
          <w:p>
            <w:pPr>
              <w:pStyle w:val="TableContents"/>
              <w:bidi w:val="0"/>
              <w:spacing w:before="0" w:after="1"/>
              <w:ind w:left="0" w:right="0" w:hanging="0"/>
              <w:jc w:val="left"/>
              <w:rPr/>
            </w:pPr>
            <w:r>
              <w:rPr/>
              <w:t>​</w:t>
            </w:r>
          </w:p>
        </w:tc>
      </w:tr>
      <w:tr>
        <w:trPr/>
        <w:tc>
          <w:tcPr>
            <w:tcW w:w="7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exchange gains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right"/>
              <w:rPr/>
            </w:pPr>
            <w:r>
              <w:rPr/>
              <w:t>—</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righ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7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right-of-use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5,910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6,184</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 of property and equipment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5,695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4,042</w:t>
            </w:r>
          </w:p>
        </w:tc>
        <w:tc>
          <w:tcPr>
            <w:tcW w:w="156" w:type="dxa"/>
            <w:tcBorders/>
            <w:vAlign w:val="center"/>
          </w:tcPr>
          <w:p>
            <w:pPr>
              <w:pStyle w:val="TableContents"/>
              <w:bidi w:val="0"/>
              <w:spacing w:before="0" w:after="1"/>
              <w:ind w:left="0" w:right="0" w:hanging="0"/>
              <w:jc w:val="left"/>
              <w:rPr/>
            </w:pPr>
            <w:r>
              <w:rPr/>
              <w:t>​</w:t>
            </w:r>
          </w:p>
        </w:tc>
      </w:tr>
      <w:tr>
        <w:trPr/>
        <w:tc>
          <w:tcPr>
            <w:tcW w:w="7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benefit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pPr>
            <w:r>
              <w:rPr/>
              <w:t>—</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Accretion of discounts and premiums on investments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995</w:t>
            </w:r>
          </w:p>
        </w:tc>
        <w:tc>
          <w:tcPr>
            <w:tcW w:w="156" w:type="dxa"/>
            <w:tcBorders/>
            <w:vAlign w:val="center"/>
          </w:tcPr>
          <w:p>
            <w:pPr>
              <w:pStyle w:val="TableContents"/>
              <w:bidi w:val="0"/>
              <w:spacing w:before="0" w:after="1"/>
              <w:ind w:left="0" w:right="0" w:hanging="0"/>
              <w:jc w:val="left"/>
              <w:rPr/>
            </w:pPr>
            <w:r>
              <w:rPr/>
              <w:t>​</w:t>
            </w:r>
          </w:p>
        </w:tc>
      </w:tr>
      <w:tr>
        <w:trPr/>
        <w:tc>
          <w:tcPr>
            <w:tcW w:w="7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write-off of fixed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assets and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lef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7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other assets and long-term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(7,065)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(2,661)</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accounts receivable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righ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7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(9,549)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right"/>
              <w:rPr/>
            </w:pPr>
            <w:r>
              <w:rPr/>
              <w:t>—</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902</w:t>
            </w:r>
          </w:p>
        </w:tc>
        <w:tc>
          <w:tcPr>
            <w:tcW w:w="156" w:type="dxa"/>
            <w:tcBorders/>
            <w:vAlign w:val="center"/>
          </w:tcPr>
          <w:p>
            <w:pPr>
              <w:pStyle w:val="TableContents"/>
              <w:bidi w:val="0"/>
              <w:spacing w:before="0" w:after="1"/>
              <w:ind w:left="0" w:right="0" w:hanging="0"/>
              <w:jc w:val="left"/>
              <w:rPr/>
            </w:pPr>
            <w:r>
              <w:rPr/>
              <w:t>​</w:t>
            </w:r>
          </w:p>
        </w:tc>
      </w:tr>
      <w:tr>
        <w:trPr/>
        <w:tc>
          <w:tcPr>
            <w:tcW w:w="7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expenses and other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(5,562)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(15,055)</w:t>
            </w:r>
          </w:p>
        </w:tc>
        <w:tc>
          <w:tcPr>
            <w:tcW w:w="156" w:type="dxa"/>
            <w:tcBorders/>
            <w:vAlign w:val="center"/>
          </w:tcPr>
          <w:p>
            <w:pPr>
              <w:pStyle w:val="TableContents"/>
              <w:bidi w:val="0"/>
              <w:spacing w:before="0" w:after="1"/>
              <w:ind w:left="0" w:right="0" w:hanging="0"/>
              <w:jc w:val="left"/>
              <w:rPr/>
            </w:pPr>
            <w:r>
              <w:rPr/>
              <w:t>​</w:t>
            </w:r>
          </w:p>
        </w:tc>
      </w:tr>
      <w:tr>
        <w:trPr/>
        <w:tc>
          <w:tcPr>
            <w:tcW w:w="7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(193,767)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(151,437)</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lef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718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left"/>
              <w:rPr/>
            </w:pPr>
            <w:r>
              <w:rPr/>
              <w:t>​</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Maturities of investments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226,633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284,136</w:t>
            </w:r>
          </w:p>
        </w:tc>
        <w:tc>
          <w:tcPr>
            <w:tcW w:w="156" w:type="dxa"/>
            <w:tcBorders/>
            <w:vAlign w:val="center"/>
          </w:tcPr>
          <w:p>
            <w:pPr>
              <w:pStyle w:val="TableContents"/>
              <w:bidi w:val="0"/>
              <w:spacing w:before="0" w:after="1"/>
              <w:ind w:left="0" w:right="0" w:hanging="0"/>
              <w:jc w:val="left"/>
              <w:rPr/>
            </w:pPr>
            <w:r>
              <w:rPr/>
              <w:t>​</w:t>
            </w:r>
          </w:p>
        </w:tc>
      </w:tr>
      <w:tr>
        <w:trPr/>
        <w:tc>
          <w:tcPr>
            <w:tcW w:w="7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Purchase of investments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(5,323)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(85,841)</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paid for acquisition, net of cash acquired</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(209,509)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righ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7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Purchase of property and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(15,184)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(16,016)</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provided by investing activities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182,279</w:t>
            </w:r>
          </w:p>
        </w:tc>
        <w:tc>
          <w:tcPr>
            <w:tcW w:w="156" w:type="dxa"/>
            <w:tcBorders/>
            <w:vAlign w:val="center"/>
          </w:tcPr>
          <w:p>
            <w:pPr>
              <w:pStyle w:val="TableContents"/>
              <w:bidi w:val="0"/>
              <w:spacing w:before="0" w:after="1"/>
              <w:ind w:left="0" w:right="0" w:hanging="0"/>
              <w:jc w:val="left"/>
              <w:rPr/>
            </w:pPr>
            <w:r>
              <w:rPr/>
              <w:t>​</w:t>
            </w:r>
          </w:p>
        </w:tc>
      </w:tr>
      <w:tr>
        <w:trPr/>
        <w:tc>
          <w:tcPr>
            <w:tcW w:w="71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left"/>
              <w:rPr/>
            </w:pPr>
            <w:r>
              <w:rPr/>
              <w:t>​</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8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lef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7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payments related to shares withheld for vested restricted stock units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(2,649)</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the issuance of common stock under employee stock purchase plan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582</w:t>
            </w:r>
          </w:p>
        </w:tc>
        <w:tc>
          <w:tcPr>
            <w:tcW w:w="156" w:type="dxa"/>
            <w:tcBorders/>
            <w:vAlign w:val="center"/>
          </w:tcPr>
          <w:p>
            <w:pPr>
              <w:pStyle w:val="TableContents"/>
              <w:bidi w:val="0"/>
              <w:spacing w:before="0" w:after="1"/>
              <w:ind w:left="0" w:right="0" w:hanging="0"/>
              <w:jc w:val="left"/>
              <w:rPr/>
            </w:pPr>
            <w:r>
              <w:rPr/>
              <w:t>​</w:t>
            </w:r>
          </w:p>
        </w:tc>
      </w:tr>
      <w:tr>
        <w:trPr/>
        <w:tc>
          <w:tcPr>
            <w:tcW w:w="7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the issuance of common stock upon exercise of options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1,417</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the issuance of common stock, net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260,101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7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(used in)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259,197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 of exchange rate changes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righ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718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increase in cash, cash equivalents and restricted cash</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58,279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30,192</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8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Cash Equivalents and Restricted Cash Beginning of Period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238,161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84,313</w:t>
            </w:r>
          </w:p>
        </w:tc>
        <w:tc>
          <w:tcPr>
            <w:tcW w:w="156" w:type="dxa"/>
            <w:tcBorders/>
            <w:vAlign w:val="center"/>
          </w:tcPr>
          <w:p>
            <w:pPr>
              <w:pStyle w:val="TableContents"/>
              <w:bidi w:val="0"/>
              <w:spacing w:before="0" w:after="1"/>
              <w:ind w:left="0" w:right="0" w:hanging="0"/>
              <w:jc w:val="left"/>
              <w:rPr/>
            </w:pPr>
            <w:r>
              <w:rPr/>
              <w:t>​</w:t>
            </w:r>
          </w:p>
        </w:tc>
      </w:tr>
      <w:tr>
        <w:trPr/>
        <w:tc>
          <w:tcPr>
            <w:tcW w:w="718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Cash Equivalents and Restricted Cash End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296,440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114,505</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lef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718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Supplemental disclosure of non-cash investing and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left"/>
              <w:rPr/>
            </w:pPr>
            <w:r>
              <w:rPr/>
              <w:t>​</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Fair value of net assets acquired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222,637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7" w:type="dxa"/>
            <w:tcBorders/>
            <w:vAlign w:val="center"/>
          </w:tcPr>
          <w:p>
            <w:pPr>
              <w:pStyle w:val="TableContents"/>
              <w:bidi w:val="0"/>
              <w:spacing w:before="0" w:after="1"/>
              <w:ind w:left="0" w:right="0" w:hanging="0"/>
              <w:jc w:val="righ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7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unrealized gain (loss) on investments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(2,096)</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 of property and equipment included in accounts payable and accrued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967</w:t>
            </w:r>
          </w:p>
        </w:tc>
        <w:tc>
          <w:tcPr>
            <w:tcW w:w="156" w:type="dxa"/>
            <w:tcBorders/>
            <w:vAlign w:val="center"/>
          </w:tcPr>
          <w:p>
            <w:pPr>
              <w:pStyle w:val="TableContents"/>
              <w:bidi w:val="0"/>
              <w:spacing w:before="0" w:after="1"/>
              <w:ind w:left="0" w:right="0" w:hanging="0"/>
              <w:jc w:val="left"/>
              <w:rPr/>
            </w:pPr>
            <w:r>
              <w:rPr/>
              <w:t>​</w:t>
            </w:r>
          </w:p>
        </w:tc>
      </w:tr>
      <w:tr>
        <w:trPr/>
        <w:tc>
          <w:tcPr>
            <w:tcW w:w="7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capitalized acquisition costs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right"/>
              <w:rPr/>
            </w:pPr>
            <w:r>
              <w:rPr/>
              <w:t>—</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Lease liabilities arising from obtaining right-of-use asset from new leases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553</w:t>
            </w:r>
          </w:p>
        </w:tc>
        <w:tc>
          <w:tcPr>
            <w:tcW w:w="156" w:type="dxa"/>
            <w:tcBorders/>
            <w:vAlign w:val="center"/>
          </w:tcPr>
          <w:p>
            <w:pPr>
              <w:pStyle w:val="TableContents"/>
              <w:bidi w:val="0"/>
              <w:spacing w:before="0" w:after="1"/>
              <w:ind w:left="0" w:right="0" w:hanging="0"/>
              <w:jc w:val="left"/>
              <w:rPr/>
            </w:pPr>
            <w:r>
              <w:rPr/>
              <w:t>​</w:t>
            </w:r>
          </w:p>
        </w:tc>
      </w:tr>
      <w:tr>
        <w:trPr/>
        <w:tc>
          <w:tcPr>
            <w:tcW w:w="7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Lease liabilities arising from obtaining right-of-use asset from lease modifications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7,493</w:t>
            </w:r>
          </w:p>
        </w:tc>
        <w:tc>
          <w:tcPr>
            <w:tcW w:w="15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00"/>
        <w:ind w:left="0" w:right="0" w:hanging="0"/>
        <w:jc w:val="left"/>
        <w:rPr/>
      </w:pPr>
      <w:r>
        <w:rPr/>
        <w:t>​</w:t>
      </w:r>
    </w:p>
    <w:p>
      <w:pPr>
        <w:pStyle w:val="TextBody"/>
        <w:bidi w:val="0"/>
        <w:spacing w:before="0" w:after="200"/>
        <w:ind w:left="0" w:right="0" w:firstLine="547"/>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171" w:name="_4da3a5e7_12ec_43f5_b1da_df4615819d4c"/>
      <w:bookmarkEnd w:id="1171"/>
      <w:r>
        <w:rPr>
          <w:rFonts w:ascii="Times New Roman;Times;serif" w:hAnsi="Times New Roman;Times;serif"/>
          <w:b/>
          <w:sz w:val="20"/>
        </w:rPr>
        <w:t>IOVANCE BIOTHERAPEUTICS,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CONDENSED CONSOLIDATED FINANCIAL STATEMENTS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1. GENERAL ORGANIZATION, BUSINESS AND LIQUIDITY</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General Organization and Business</w:t>
      </w:r>
    </w:p>
    <w:p>
      <w:pPr>
        <w:pStyle w:val="TextBody"/>
        <w:bidi w:val="0"/>
        <w:spacing w:before="0" w:after="240"/>
        <w:ind w:left="0" w:right="0" w:firstLine="547"/>
        <w:jc w:val="left"/>
        <w:rPr>
          <w:rFonts w:ascii="Times New Roman;Times;serif" w:hAnsi="Times New Roman;Times;serif"/>
          <w:sz w:val="20"/>
        </w:rPr>
      </w:pPr>
      <w:r>
        <w:rPr>
          <w:rFonts w:ascii="Times New Roman;Times;serif" w:hAnsi="Times New Roman;Times;serif"/>
          <w:sz w:val="20"/>
        </w:rPr>
        <w:t>Iovance Biotherapeutics, Inc. (the “Company”) is a biopharmaceutical company pioneering a transformational approach to treating cancer by harnessing the human immune system’s ability to recognize and destroy diverse cancer cells using therapies personalized for each patient. The Company’s mission is to be the global leader in innovating, developing and delivering tumor infiltrating lymphocyte (“TIL”) therapies for patients with solid tumor cancers. The Company’s autologous TIL therapy platform uses a centralized, scalable, and proprietary 22-day manufacturing process to grow polyclonal T-cells unique to each patient and yields a cryopreserved, individualized therapy. In May 2023, the Company acquired the worldwide rights to Proleukin® (aldesleukin), a commercialized interleukin-2 (“IL-2”) product used to promote T-cell activity following TIL infusion. The acquisition of Proleukin® provides a new revenue source, secures the IL-2 supply chain and logistics surrounding TIL therapy administration, and lowers cost of goods and clinical trial expenses for Proleukin® used with TIL therapies.</w:t>
      </w:r>
    </w:p>
    <w:p>
      <w:pPr>
        <w:pStyle w:val="TextBody"/>
        <w:bidi w:val="0"/>
        <w:spacing w:before="0" w:after="240"/>
        <w:ind w:left="0" w:right="0" w:firstLine="547"/>
        <w:jc w:val="left"/>
        <w:rPr>
          <w:rFonts w:ascii="Times New Roman;Times;serif" w:hAnsi="Times New Roman;Times;serif"/>
          <w:sz w:val="20"/>
        </w:rPr>
      </w:pPr>
      <w:r>
        <w:rPr>
          <w:rFonts w:ascii="Times New Roman;Times;serif" w:hAnsi="Times New Roman;Times;serif"/>
          <w:sz w:val="20"/>
        </w:rPr>
        <w:t>The Company is currently conducting clinical trials to investigate multiple TIL therapies for multiple indications, including its lead product candidate, lifileucel, for advanced, or metastatic or unresectable, melanoma. The Company completed a rolling Biologics License Application (“BLA”) submission to the U.S. Food and Drug Administration (the “FDA”) for lifileucel for patients with advanced melanoma in March 2023, and the FDA accepted its BLA and granted lifileucel Priority Review in May 2023. The FDA assigned November 25, 2023 as the target action date for a decision under the Prescription Drug User Free Act (“PDUFA”). The Company is also pursuing registrational strategies for lifileucel in advanced cervical cancer and for its TIL therapy LN-145 in metastatic non-small cell lung cancer (“NSCLC”). In addition, the Company is investigating next generation approaches to optimize TIL products, manufacturing processes and treatment regimens, including a first-in-human clinical trial of its lead genetically modified TIL therapy, IOV-4001. The Company is also exploring a shorter manufacturing process, tumor tissue procurement via core biopsy, additional genetically modified TIL therapies including multiple immune checkpoint gene edits, and cytokine-tethered TIL therapies, as well as a novel IL-2 analog, designated IOV-3001, as potential avenues to improve efficacy, manufacturing timelines, sample collection and supportive treatments involved in the overall TIL therapy process and treatment regimen.</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Basis of Presentation of Unaudited Condensed Consolidated Financial Information</w:t>
      </w:r>
    </w:p>
    <w:p>
      <w:pPr>
        <w:pStyle w:val="TextBody"/>
        <w:bidi w:val="0"/>
        <w:spacing w:before="0" w:after="240"/>
        <w:ind w:left="0" w:right="0" w:firstLine="547"/>
        <w:jc w:val="left"/>
        <w:rPr>
          <w:rFonts w:ascii="Times New Roman;Times;serif" w:hAnsi="Times New Roman;Times;serif"/>
          <w:sz w:val="20"/>
        </w:rPr>
      </w:pPr>
      <w:r>
        <w:rPr>
          <w:rFonts w:ascii="Times New Roman;Times;serif" w:hAnsi="Times New Roman;Times;serif"/>
          <w:sz w:val="20"/>
        </w:rPr>
        <w:t>The accompanying unaudited Condensed Consolidated Financial Statements of the Company for the three and six months ended June 30, 2023 and 2022 have been prepared in accordance with accounting principles generally accepted in the United States of America (“GAAP”) for interim financial information and pursuant to the requirements for reporting on Form 10-Q and Regulation S-X. Accordingly, they do not include all the information and footnotes required by GAAP for audited financial statements. However, such information reflects all adjustments (consisting solely of normal recurring adjustments), which are, in the opinion of management, necessary for the fair presentation of the Company's financial position and results of operations. Results shown for interim periods are not necessarily indicative of the results that may be expected for the year ended December 31, 2023 or for any other period. The Condensed Consolidated Balance Sheet as of December 31, 2022 was derived from the audited consolidated financial statements included in the Company's Annual Report on Form 10-K filed with the Securities and Exchange Commission (the “SEC”) on February 28, 2023. These interim financial statements should be read in conjunction with that report. The reporting currency of the Company is U.S. dollars. The functional currency for most of its foreign subsidiaries is their local currency.</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Liquidity</w:t>
      </w:r>
    </w:p>
    <w:p>
      <w:pPr>
        <w:pStyle w:val="TextBody"/>
        <w:bidi w:val="0"/>
        <w:spacing w:lineRule="auto" w:line="240" w:before="0" w:after="0"/>
        <w:ind w:left="0" w:right="0" w:firstLine="547"/>
        <w:jc w:val="left"/>
        <w:rPr>
          <w:rFonts w:ascii="Times New Roman;Times;serif" w:hAnsi="Times New Roman;Times;serif"/>
          <w:sz w:val="20"/>
        </w:rPr>
      </w:pPr>
      <w:r>
        <w:rPr>
          <w:rFonts w:ascii="Times New Roman;Times;serif" w:hAnsi="Times New Roman;Times;serif"/>
          <w:sz w:val="20"/>
        </w:rPr>
        <w:t xml:space="preserve">The Company is currently engaged in the development of therapeutics to fight solid tumor cancers. With the completion of the rolling BLA submission for lifileucel for advanced melanoma in March 2023, the Company expects to generate revenue from the sale of its product lifileucel, if the BLA is approved. Furthermore, upon the completion of the closing of the acquisition of the worldwide rights to Proleukin® (as discussed below in Note 4 - Proleukin® Acquisition) in the second quarter of 2023, the Company began to generate revenue from the sales of Proleukin® during the three months ended June 30, 2023. However, such revenues for Proleukin® and lifileucel may not be material during the 12 months from the date these Condensed Consolidated Financial Statements are issued. The Company has incurred a net loss of </w:t>
      </w:r>
      <w:r>
        <w:rPr>
          <w:rFonts w:ascii="Times New Roman;Times;serif" w:hAnsi="Times New Roman;Times;serif"/>
          <w:b w:val="false"/>
          <w:i w:val="false"/>
          <w:caps w:val="false"/>
          <w:smallCaps w:val="false"/>
          <w:sz w:val="20"/>
        </w:rPr>
        <w:t>$213.9</w:t>
      </w:r>
      <w:r>
        <w:rPr>
          <w:rFonts w:ascii="Times New Roman;Times;serif" w:hAnsi="Times New Roman;Times;serif"/>
          <w:sz w:val="20"/>
        </w:rPr>
        <w:t xml:space="preserve"> million for the six months ended June 30, 2023 and used $193.8 million</w:t>
      </w:r>
      <w:r>
        <w:rPr>
          <w:rFonts w:ascii="Times New Roman;Times;serif" w:hAnsi="Times New Roman;Times;serif"/>
          <w:color w:val="FF0000"/>
          <w:sz w:val="20"/>
        </w:rPr>
        <w:t xml:space="preserve"> </w:t>
      </w:r>
      <w:r>
        <w:rPr>
          <w:rFonts w:ascii="Times New Roman;Times;serif" w:hAnsi="Times New Roman;Times;serif"/>
          <w:sz w:val="20"/>
        </w:rPr>
        <w:t xml:space="preserve">of cash in its operating activities during the six months ended June 30, 2023. As of June 30, 2023, the Company had $317.3 million in cash, cash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equivalents, investments, and restricted cash ($230.0 million of cash and cash equivalents, $20.9 million in short-term investments and $66.4 million in restricted cash).</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Company expects to continue to incur significant expenses to support its preparations for the commercialization and launch of lifileucel (if approved), including continuing to prepare the Iovance Cell Therapy Center (the “</w:t>
      </w:r>
      <w:r>
        <w:rPr>
          <w:rFonts w:ascii="Times New Roman;Times;serif" w:hAnsi="Times New Roman;Times;serif"/>
          <w:i/>
          <w:sz w:val="20"/>
        </w:rPr>
        <w:t>i</w:t>
      </w:r>
      <w:r>
        <w:rPr>
          <w:rFonts w:ascii="Times New Roman;Times;serif" w:hAnsi="Times New Roman;Times;serif"/>
          <w:sz w:val="20"/>
        </w:rPr>
        <w:t xml:space="preserve">CTC”), its manufacturing facility in Philadelphia, to support the Company’s ongoing and planned clinical programs, including its NSCLC registration directed study and its frontline advanced melanoma Phase 3 confirmatory trial, TILVANCE-301, to expand the combination of TIL and immune checkpoint inhibitors (“ICI’s”) in ICI naïve patient cohorts, and to support Proleukin® integration activities during 2023 and beyond. Based on the funds the Company has available as of the date these consolidated financial statements are issued, which include estimated net proceeds (after deducting underwriting and other offering expenses) of $161.4 million from the public offering of its common stock completed on July 13, 2023, the Company believes that it has sufficient capital to fund its anticipated operating expenses and capital expenditures as planned for at least the next twelve months from the date these Condensed Consolidated Financial Statements are issued. </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Concentrations of Risk</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Company is subject to credit risk from its portfolio of cash, cash equivalents, trade accounts receivable and investments. Under its investment policy, the Company limits amounts invested in securities by credit rating, maturity, industry group, investment type and issuer, except for securities issued by the U.S. government. The Company does not believe it is exposed to any significant concentrations of credit risk from these financial instruments. The goals of its investment policy are safety and preservation of principal, diversification of risk, and liquidity of investments sufficient to meet cash flow requirements.</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172" w:name="_Hlk99026576"/>
      <w:bookmarkEnd w:id="1172"/>
      <w:r>
        <w:rPr>
          <w:rFonts w:ascii="Times New Roman;Times;serif" w:hAnsi="Times New Roman;Times;serif"/>
          <w:b/>
          <w:sz w:val="20"/>
        </w:rPr>
        <w:t>NOTE 2. SUMMARY OF SIGNIFICANT ACCOUNTING POLICIES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Cash, Cash Equivalents, and Investments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The Company’s cash and cash equivalents include short-term investments with original maturities of three months or less when purchased. The Company's investments are classified as “available-for-sale.” The Company includes these investments in current assets or non-current assets in the Condensed Consolidated Balance Sheets based on the length of maturity from the reporting date and carries them at fair value. Unrealized gains and losses on available-for-sale securities are recorded in the Condensed Consolidated Statements of Comprehensive Loss. Impairment losses related to credit losses (if any) are recorded as an allowance for credit losses with an offsetting entry to Interest income, net. No impairment losses related to credit losses were recognized for the three and six months ended June 30, 2023 and 2022. The cost of debt securities is adjusted for the amortization of premiums and accretion of discounts to maturity. Such amortization and accretion are included in Interest income, net in the Condensed Consolidated Statements of Operations. Gains and losses on securities sold are recorded based on the specific identification method and are included in Interest income, net in the Condensed Consolidated Statements of Operations. The Company has not incurred any realized gains or losses from sales of securities to date. The Company’s investment policy limits investments to certain types of instruments such as certificates of deposit, money market instruments, obligations issued by the U.S. government and U.S. government agencies as well as corporate debt securities and commercial paper, and places restrictions on maturities and concentration by type and issuer, except for securities issued by the U.S. government. </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Restricted Cash</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The Company maintains a required minimum balance in a segregated bank account in connection with its letters of credit for which amounts are restricted as to their use by the Company. Currently, the Company’s letters of credit are primarily comprised of one for the benefit of the landlord for the </w:t>
      </w:r>
      <w:r>
        <w:rPr>
          <w:rFonts w:ascii="Times New Roman;Times;serif" w:hAnsi="Times New Roman;Times;serif"/>
          <w:i/>
          <w:sz w:val="20"/>
        </w:rPr>
        <w:t>i</w:t>
      </w:r>
      <w:r>
        <w:rPr>
          <w:rFonts w:ascii="Times New Roman;Times;serif" w:hAnsi="Times New Roman;Times;serif"/>
          <w:sz w:val="20"/>
        </w:rPr>
        <w:t xml:space="preserve">CTC used as a security deposit for the lease in the amount $5.45 million and one for $0.6 million for the benefit of the landlord for the Company’s current headquarters’ lease (See Note 12 - Leases), as well as one for $60.0 million, for the future milestone payment as required by the terms of the Option Agreement for the Proleukin® acquisition (See Note 4 – Proleukin® Acquisition). The letter of credit for $5.45 million originally expired on May 28, 2020, however, it automatically extends for additional one-year periods, without written agreement, to May 28 in each succeeding calendar year, through at least 60 days after the lease expiration date. Further, on the expiration of the seventh year of the lease, and each anniversary date thereafter, the letter of credit may be decreased by $1.0 million with a minimum security deposit of $1.5 million maintained through the end of the lease term. The letter of credit with the landlord for the Company’s current headquarters’ lease expires on February 1, 2032, however, it will be automatically extended, without written agreement, for one-year periods to February in each succeeding calendar year. The letter of credit for the $60.0 million expires on May 5, 2024, however, it will be automatically extended, without written agreement,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bookmarkStart w:id="1173" w:name="Tc_1-RR9otol0yjY6vKT9qOaw_5_5"/>
      <w:bookmarkStart w:id="1174" w:name="Tc_OlBH2RozX02FKtCerye74A_5_2"/>
      <w:bookmarkStart w:id="1175" w:name="Tc_zg9UGwXcGk-P0JOi7wZUJw_5_0"/>
      <w:bookmarkStart w:id="1176" w:name="Tc_eqhkZQVcWUa_BepiJzpR5g_4_0"/>
      <w:bookmarkStart w:id="1177" w:name="Tc_jhRoi-bh9EWYeuJKumGm_g_3_5"/>
      <w:bookmarkStart w:id="1178" w:name="Tc_LLWHQCS0wEKYXH44BQQPgQ_3_2"/>
      <w:bookmarkStart w:id="1179" w:name="Tc_t9O8jFOGZ0i89yJ4vSrYcA_3_0"/>
      <w:bookmarkStart w:id="1180" w:name="Tc_x4QcHR_f10O4sM06xrGj3Q_2_5"/>
      <w:bookmarkStart w:id="1181" w:name="Tc_O-vK4TZepEyTLNPv7MB5Wg_2_2"/>
      <w:bookmarkStart w:id="1182" w:name="Tc_1Yg_iVZpjUKDXLipB4onuQ_1_2"/>
      <w:bookmarkStart w:id="1183" w:name="Tc_v_NaV0qIEUWO-MoFLvWC4g_1_0"/>
      <w:bookmarkStart w:id="1184" w:name="_06f9ed0c_aabb_46c7_8de9_a56b88712b5c"/>
      <w:bookmarkEnd w:id="1173"/>
      <w:bookmarkEnd w:id="1174"/>
      <w:bookmarkEnd w:id="1175"/>
      <w:bookmarkEnd w:id="1176"/>
      <w:bookmarkEnd w:id="1177"/>
      <w:bookmarkEnd w:id="1178"/>
      <w:bookmarkEnd w:id="1179"/>
      <w:bookmarkEnd w:id="1180"/>
      <w:bookmarkEnd w:id="1181"/>
      <w:bookmarkEnd w:id="1182"/>
      <w:bookmarkEnd w:id="1183"/>
      <w:bookmarkEnd w:id="1184"/>
      <w:r>
        <w:rPr>
          <w:rFonts w:ascii="Times New Roman;Times;serif" w:hAnsi="Times New Roman;Times;serif"/>
          <w:sz w:val="20"/>
        </w:rPr>
        <w:t>for one-year periods to May in each succeeding calendar year and the final expiration date will be July 20, 2026. Furthermore, the letter of credit will not be automatically extended if a thirty-day written notice is provided prior to the annual extension. As of June 30, 2023 and December 31, 2022, Restricted cash totaled $66.4 million and $6.4 million, respectively, in the Company’s Condensed Consolidated Balance Sheets.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following table provides a reconciliation of cash, cash equivalents, and restricted cash, reported within the Condensed Consolidated Balance Sheets that sum to the total of the same such amounts shown in the Condensed Consolidated Statements of Cash Flows (in thousands):</w:t>
      </w:r>
    </w:p>
    <w:tbl>
      <w:tblPr>
        <w:tblW w:w="6482" w:type="dxa"/>
        <w:jc w:val="left"/>
        <w:tblInd w:w="0" w:type="dxa"/>
        <w:tblLayout w:type="fixed"/>
        <w:tblCellMar>
          <w:top w:w="0" w:type="dxa"/>
          <w:left w:w="0" w:type="dxa"/>
          <w:bottom w:w="0" w:type="dxa"/>
          <w:right w:w="0" w:type="dxa"/>
        </w:tblCellMar>
      </w:tblPr>
      <w:tblGrid>
        <w:gridCol w:w="3946"/>
        <w:gridCol w:w="326"/>
        <w:gridCol w:w="211"/>
        <w:gridCol w:w="781"/>
        <w:gridCol w:w="109"/>
        <w:gridCol w:w="211"/>
        <w:gridCol w:w="898"/>
      </w:tblGrid>
      <w:tr>
        <w:trPr/>
        <w:tc>
          <w:tcPr>
            <w:tcW w:w="39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left"/>
              <w:rPr/>
            </w:pPr>
            <w:r>
              <w:rPr/>
              <w:t>​</w:t>
            </w:r>
          </w:p>
        </w:tc>
      </w:tr>
      <w:tr>
        <w:trPr/>
        <w:tc>
          <w:tcPr>
            <w:tcW w:w="3946" w:type="dxa"/>
            <w:tcBorders/>
            <w:vAlign w:val="center"/>
          </w:tcPr>
          <w:p>
            <w:pPr>
              <w:pStyle w:val="TableContents"/>
              <w:bidi w:val="0"/>
              <w:spacing w:before="0" w:after="1"/>
              <w:ind w:left="0" w:right="0" w:hanging="0"/>
              <w:jc w:val="left"/>
              <w:rPr/>
            </w:pPr>
            <w:r>
              <w:rPr/>
              <w:t xml:space="preserve">​ </w:t>
            </w:r>
          </w:p>
        </w:tc>
        <w:tc>
          <w:tcPr>
            <w:tcW w:w="326" w:type="dxa"/>
            <w:tcBorders/>
            <w:vAlign w:val="center"/>
          </w:tcPr>
          <w:p>
            <w:pPr>
              <w:pStyle w:val="TableContents"/>
              <w:bidi w:val="0"/>
              <w:spacing w:before="0" w:after="1"/>
              <w:ind w:left="0" w:right="0" w:hanging="0"/>
              <w:jc w:val="center"/>
              <w:rPr/>
            </w:pPr>
            <w:r>
              <w:rPr/>
              <w:t>    </w:t>
            </w:r>
          </w:p>
        </w:tc>
        <w:tc>
          <w:tcPr>
            <w:tcW w:w="22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9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center"/>
              <w:rPr/>
            </w:pPr>
            <w:r>
              <w:rPr/>
              <w:t>​</w:t>
            </w:r>
          </w:p>
        </w:tc>
        <w:tc>
          <w:tcPr>
            <w:tcW w:w="110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230,010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108,075</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66,430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6,430</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cash, cash equivalents and restricted cash</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296,440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114,505</w:t>
            </w:r>
          </w:p>
        </w:tc>
      </w:tr>
    </w:tbl>
    <w:p>
      <w:pPr>
        <w:pStyle w:val="TextBody"/>
        <w:bidi w:val="0"/>
        <w:spacing w:before="0" w:after="200"/>
        <w:ind w:left="0" w:right="0" w:firstLine="547"/>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Asset Acquisitions</w:t>
      </w:r>
    </w:p>
    <w:p>
      <w:pPr>
        <w:pStyle w:val="TextBody"/>
        <w:bidi w:val="0"/>
        <w:spacing w:before="0" w:after="0"/>
        <w:ind w:left="0" w:right="0" w:hanging="0"/>
        <w:jc w:val="left"/>
        <w:rPr/>
      </w:pPr>
      <w:r>
        <w:rPr/>
        <w: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The Company evaluates acquisitions of assets using the guidance in Accounting Standard Codification (“ASC”) Topic 805, </w:t>
      </w:r>
      <w:r>
        <w:rPr>
          <w:rFonts w:ascii="Times New Roman;Times;serif" w:hAnsi="Times New Roman;Times;serif"/>
          <w:i/>
          <w:sz w:val="20"/>
        </w:rPr>
        <w:t>Business Combinations</w:t>
      </w:r>
      <w:r>
        <w:rPr>
          <w:rFonts w:ascii="Times New Roman;Times;serif" w:hAnsi="Times New Roman;Times;serif"/>
          <w:sz w:val="20"/>
        </w:rPr>
        <w:t xml:space="preserve"> (“ASC 805”), to determine whether the transaction should be accounted for as a business combination or asset acquisition by first applying a screen test to assess if substantially all of the fair value of the gross assets acquired is concentrated in a single identifiable asset or group of assets. If the screen test is met, the transaction is accounted for as an asset acquisition. If the screen test is not met, further assessment is required to determine whether the Company has acquired inputs and processes that have the ability to create outputs, which would meet the requirements of a business.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If the assets acquired do not constitute a business, the Company accounts for asset acquisitions using the cost accumulation and allocation method. Under this method the cost of the acquisition, including direct acquisition-related costs, is allocated to the assets acquired on a relative fair value basis. Goodwill is not recognized in an asset acquisition and any difference between consideration transferred and the fair value of the net assets acquired is allocated to the identifiable assets acquired based on their relative fair values.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Deferred tax liabilities arising from basis differences in assets acquired are calculated using the simultaneous equations method under ASC 740, </w:t>
      </w:r>
      <w:r>
        <w:rPr>
          <w:rFonts w:ascii="Times New Roman;Times;serif" w:hAnsi="Times New Roman;Times;serif"/>
          <w:i/>
          <w:sz w:val="20"/>
        </w:rPr>
        <w:t>Income Taxes</w:t>
      </w:r>
      <w:r>
        <w:rPr>
          <w:rFonts w:ascii="Times New Roman;Times;serif" w:hAnsi="Times New Roman;Times;serif"/>
          <w:sz w:val="20"/>
        </w:rPr>
        <w:t xml:space="preserve"> (“ASC 740”), and based on the effective tax rate. The resulting deferred tax liability is recorded in the Condensed Consolidated Balance Sheet as of June 30, 2023.</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Contingent consideration in the scope of ASC Topic 815, </w:t>
      </w:r>
      <w:r>
        <w:rPr>
          <w:rFonts w:ascii="Times New Roman;Times;serif" w:hAnsi="Times New Roman;Times;serif"/>
          <w:i/>
          <w:sz w:val="20"/>
        </w:rPr>
        <w:t>Derivatives and Hedging</w:t>
      </w:r>
      <w:r>
        <w:rPr>
          <w:rFonts w:ascii="Times New Roman;Times;serif" w:hAnsi="Times New Roman;Times;serif"/>
          <w:sz w:val="20"/>
        </w:rPr>
        <w:t xml:space="preserve"> (“ASC 815”), is included in the cost of the asset acquisition at its acquisition date fair value. Contingent consideration in the scope of ASC Topic 450, </w:t>
      </w:r>
      <w:r>
        <w:rPr>
          <w:rFonts w:ascii="Times New Roman;Times;serif" w:hAnsi="Times New Roman;Times;serif"/>
          <w:i/>
          <w:sz w:val="20"/>
        </w:rPr>
        <w:t>Contingencies</w:t>
      </w:r>
      <w:r>
        <w:rPr>
          <w:rFonts w:ascii="Times New Roman;Times;serif" w:hAnsi="Times New Roman;Times;serif"/>
          <w:sz w:val="20"/>
        </w:rPr>
        <w:t xml:space="preserve"> (ASC “450”), is recognized when it is both probable and reasonably estimable.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Inventory and Cost of Sales</w:t>
      </w:r>
    </w:p>
    <w:p>
      <w:pPr>
        <w:pStyle w:val="TextBody"/>
        <w:bidi w:val="0"/>
        <w:spacing w:before="0" w:after="0"/>
        <w:ind w:left="0" w:right="0" w:hanging="0"/>
        <w:jc w:val="left"/>
        <w:rPr/>
      </w:pPr>
      <w:r>
        <w:rPr/>
        <w: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Inventory is stated at the lower of cost or net realizable value. Cost includes amounts related to materials, labor and overhead. Net realizable value is the estimated selling price in the ordinary course of business less reasonably predictable costs of completion, disposal and transportation. Inventories presented in the Condensed Consolidated Balance Sheet as of June 30, 2023 pertain solely to </w:t>
      </w:r>
      <w:r>
        <w:rPr>
          <w:rFonts w:ascii="Times New Roman;Times;serif" w:hAnsi="Times New Roman;Times;serif"/>
          <w:sz w:val="20"/>
          <w:shd w:fill="FFFFFF" w:val="clear"/>
        </w:rPr>
        <w:t>Proleukin® and include a step-up of the fair value of inventories as a result of the acquisition of the worldwide rights to Proleukin®. Inventoriable costs incurred such as manufacturing costs for the Company’s product candidates, including lifileucel, are expensed as incurred as research and development expenses prior to regulatory approval.</w:t>
      </w:r>
      <w:r>
        <w:rPr>
          <w:rFonts w:ascii="Times New Roman;Times;serif" w:hAnsi="Times New Roman;Times;serif"/>
          <w:sz w:val="20"/>
        </w:rPr>
        <w:t xml:space="preserve"> If and when regulatory approval of a product is obtained and the approved product is commercially launched, the Company will begin capitalizing manufacturing costs related to the approved product into inventory.</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Cost of sales includes the cost of Proleukin® inventories and other costs that are directly associated with the purchase and sales of Proleukin®. In addition, amortization expense for the fair value step up of Proleukin® inventories and the acquired intangible assets related to the developed technology are included in Cost of Sales.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Trade Accounts Receivable</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Trade accounts receivable are recorded net of allowances for product returns and estimated credit losses. The estimate of allowance for credit losses considers factors, including existing contractual payment and the aging of receivable from its customers. To date, the Company has determined that an allowance for doubtful accounts is not required.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Intangible Assets </w:t>
      </w:r>
    </w:p>
    <w:p>
      <w:pPr>
        <w:pStyle w:val="TextBody"/>
        <w:bidi w:val="0"/>
        <w:spacing w:before="0" w:after="0"/>
        <w:ind w:left="0" w:right="0" w:hanging="0"/>
        <w:jc w:val="left"/>
        <w:rPr/>
      </w:pPr>
      <w:r>
        <w:rPr/>
        <w: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Company’s intangible assets are initially measured based on an allocation of the cost of the acquisition to the assets acquired on a relative fair value basis and are recorded net of accumulated amortization. The Company amortizes the intangible assets on a straight-line basis over their estimated useful lives.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When contingent consideration is a component of the cost of an asset acquisition, the Company capitalizes the amount of incremental cost from the contingent consideration related to the intangible asset acquired in the period the underlying contingency is resolved. When this occurs, the Company will recognize amortization expense on the incremental cost prospectively from the date the incremental costs are capitalized.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The Company reviews intangible assets for impairment at least annually and whenever events or changes in circumstances have occurred which could indicate that the carrying value of the assets are not recoverable. If such indicators are present, the Company assesses the recoverability of affected assets by determining if the carrying value of the assets is less than the sum of the undiscounted future cash flows of the assets. If the assets are found to not be recoverable, the Company measures the amount of impairment by comparing the carrying value of the assets to their fair values. The Company determined that no indicators of impairment existed as of June 30, 2023. </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Leases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The Company determines if an arrangement includes a lease at inception and thereafter, if modified. Operating leases are included in its Condensed Consolidated Balance Sheets as Operating lease right-of-use assets and Operating lease liabilities as of June 30, 2023 and December 31, 2022. Operating lease right-of-use assets represent the Company’s right to use an underlying asset for the lease term and operating lease liabilities represent the Company’s obligation to make lease payments arising from the lease. Operating lease right-of-use assets and liabilities are recognized at the lease commencement date or modification date based on the present value of lease payments over the lease term. In determining the net present value of lease payments, the Company uses an estimated incremental borrowing rate that is applicable to the Company based on the information available at the later of the lease commencement or modification date.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operating lease right-of-use assets also include any lease payments made less lease incentives. The Company’s leases may include options to extend or terminate the lease, which is considered in the lease term when it is reasonably certain that the Company will exercise any such options. Lease expense is recognized on a straight-line basis over the expected lease term and recorded in costs and expenses in the Condensed Consolidated Statements of Operations. The Company has elected not to apply the recognition requirements of Accounting Standards Update (“ASU”) No. 2016-02 and No. 2018-10 (together “Topic 842”) for short-term leases.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For lease agreements entered into by the Company that include lease and non-lease components, such components are generally accounted for separately.</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0"/>
        <w:ind w:left="0" w:right="0" w:hanging="0"/>
        <w:jc w:val="left"/>
        <w:rPr/>
      </w:pPr>
      <w:r>
        <w:rPr/>
        <w: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The Company recognizes revenue from product sales in accordance with ASC 606, </w:t>
      </w:r>
      <w:r>
        <w:rPr>
          <w:rFonts w:ascii="Times New Roman;Times;serif" w:hAnsi="Times New Roman;Times;serif"/>
          <w:i/>
          <w:sz w:val="20"/>
        </w:rPr>
        <w:t>Revenue from Contracts with Customers</w:t>
      </w:r>
      <w:r>
        <w:rPr>
          <w:rFonts w:ascii="Times New Roman;Times;serif" w:hAnsi="Times New Roman;Times;serif"/>
          <w:sz w:val="20"/>
        </w:rPr>
        <w:t xml:space="preserve">. Under ASC 606, revenue is recognized when a customer obtains control of promised goods or services, in an amount that reflects the consideration which the entity expects to receive in exchange for those goods or services. To the extent the transaction price includes variable consideration, the Company estimates the amount of variable consideration that should be included in the transaction price using the most likely method based on historical experience as well as applicable information currently available.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Indirect taxes collected from customers and remitted to government authorities that are related to sales of the Company’s products, primarily in Europe, are excluded from revenues.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200"/>
        <w:ind w:left="0" w:right="0" w:firstLine="547"/>
        <w:jc w:val="left"/>
        <w:rPr>
          <w:rFonts w:ascii="Times New Roman;Times;serif" w:hAnsi="Times New Roman;Times;serif"/>
          <w:sz w:val="20"/>
        </w:rPr>
      </w:pPr>
      <w:bookmarkStart w:id="1185" w:name="_8f0126d7_7e8c_4525_8494_b7ee85f91ddf_3"/>
      <w:bookmarkStart w:id="1186" w:name="_8f0126d7_7e8c_4525_8494_b7ee85f91ddf_2"/>
      <w:bookmarkStart w:id="1187" w:name="_8f0126d7_7e8c_4525_8494_b7ee85f91ddf"/>
      <w:bookmarkEnd w:id="1185"/>
      <w:bookmarkEnd w:id="1186"/>
      <w:bookmarkEnd w:id="1187"/>
      <w:r>
        <w:rPr>
          <w:rFonts w:ascii="Times New Roman;Times;serif" w:hAnsi="Times New Roman;Times;serif"/>
          <w:sz w:val="20"/>
        </w:rPr>
        <w:t xml:space="preserve">Subsequent to the closing of the acquisition of Proleukin® in May 2023, the Company began to sell Proleukin® in licensed markets outside of the U.S. To date, there have been no product sales from Proleukin® in the U.S. market. Product sales for the three and six months ended June 30, 2023 were $0.2 million. Reserves for variable consideration for the market outside of the U.S. were immaterial. </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Stock-Based Compensation</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Company periodically grants stock options to employees and non-employees as compensation for services rendered. The Company accounts for all stock-based payment awards made to employees, including the employee stock purchase plans, and non-employees in accordance with the authoritative guidance provided by the Financial Accounting Standards Board (“FASB”) where the value of the award is measured on the date of grant and recognized over the vesting period. Forfeitures are recognized in the period in which they occur. The Company accounts for stock option grants to non-employees in a similar manner as stock option grants to employees except for the term used in the grant date fair value, therefore no longer requiring a re-measurement at the then-current fair values at each reporting date until the shares underlying the options have vested. The non-employee awards that contain a performance condition that affects the quantity or other terms of the award are measured based on the outcome that is probable.</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The fair value of the Company's common stock option grants is estimated using a Black-Scholes option pricing model, which uses certain assumptions related to risk-free interest rates, expected volatility, expected term of the common stock options, and future dividends. The stock-based compensation expense is recorded based upon the value derived from the Black-Scholes option pricing model. The assumptions used in the Black-Scholes option pricing model could affect compensation expense recorded in future periods.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Company issues restricted stock units (“RSUs”) from time to time as part of its equity incentive plans. The Company measures the compensation cost with respect to RSUs issued to employees based upon the estimated fair value of the equity instruments at the date of the grant, which is recognized as an expense over the period during which an employee is required to provide services in exchange for the awards. The fair value of RSUs is based on the closing price of the Company’s common stock on the grant date. In addition to RSUs that have time-based vesting requirements, from time to time the Company may issue RSUs that include certain performance vesting criteria based upon the satisfaction of stated objectives (“PRSUs”). The Company measures the compensation cost with respect to PRSUs issued to employees based upon the estimated fair value of the equity instruments at the date of grant, which is recognized as an expense over the period that achievement is determined to be probable through the stated service period associated with the award.</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 xml:space="preserve">Accrued Research and Development Costs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Research and development costs are expensed as incurred. Clinical development costs compose a significant component of research and development costs. The Company has a history of contracting with third parties, including contract research organizations (“CROs”), independent clinical investigators, and contract manufacturing organizations (“CMOs”) that perform various clinical trial activities on the Company’s behalf in connection with the ongoing development of the Company’s product candidates. The financial terms of these contracts are subject to negotiations and may vary from contract to contract and may result in an uneven payment flow. The Company accrues and expenses costs for clinical trial activities performed by third parties based upon estimates of work completed to date for each clinical trial in accordance with agreements established with CROs, hospitals, and clinical investigators. Accruals for CROs and CMOs are recorded based on estimates of services received and efforts expended pursuant to agreements established with CROs, CMOs and other outside service providers. The Company determines its estimates through discussions with internal clinical stakeholders and outside service providers as to the progress or stage of completion of clinical trials or services and the contracted fee to be paid for such services.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Included in the Company’s clinical development costs are investigator costs, which are costs associated with treatments administered at clinical sites as required under each clinical study protocol. The Company’s estimates for clinical investigator costs and timing of expense recognition will depend on a number of factors that include, but are not limited to, (i) the overall number of patients that enroll in the trial at each individual site, (ii) the length of study enrollment period, (iii) discontinuation and completion rates of patients, (iv) duration of patient safety follow-ups, (v) the number of sites included in the clinical trial, and (vi) the contracted fee of each participating site for patient treatment while on study, which can vary greatly for several reasons including, but not limited to, geographic region, medical center or physician costs, and overhead costs. In addition, the Company’s estimates for per patient trial costs will vary based on a number of factors that include, but are not limited to, the extent of additional treatments that may be administered by investigators as a result of patient health status, recoverability of patient costs through insurance carriers of patients, and unanticipated cost of injuries incurred as a result of the study treatment. The Company accrues for estimated expenses resulting from obligations under investigator site agreements as the timing of payments does not always timely align with the periods over which the treatments are administered by the clinical investigators. These estimates are typically based on contracted amounts, patient visit data, discussions with internal clinical stakeholders and outside service providers, and historical look-back analysis of actual payments made to date.</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Company makes judgements and estimates in determining the accrual balance in each reporting period.</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 the event advance payments are made to a CRO, CMO or other outside service provider, the payments are recorded within prepaid expenses and other current assets in the Condensed Consolidated Balance Sheets and subsequently recognized as research and development expense in the Condensed Consolidated Statements of Operations when the associated services have been performed. As actual costs become known, the Company adjusts its estimates, liabilities and assets. Inputs used in the determination of estimates discussed above may vary from actual, which will result in adjustments to research and development expense in future periods. Changes in these estimates that result in material changes to the Company’s accruals could materially affect its results of operations. The Company’s historical estimates have not been materially different from actual amounts recorded.</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Selling, general and administrative expense</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Selling, general and administrative expenses consist primarily of salaries and other related costs, including stock-based compensation, for personnel in executive, finance, procurement, legal, investor relations, facilities, business development, marketing, commercial, information technology and human resources functions. Other significant costs include facility costs not otherwise included in research and development expenses and amortization expense for the acquired assembled workforce intangible asset. Selling, general and administrative costs are expensed as incurred, and the Company accrues for services provided by third parties related to such expenses by monitoring the status of services provided and receiving estimates from its service providers and adjusting its accruals as actual costs become known. </w:t>
      </w:r>
    </w:p>
    <w:p>
      <w:pPr>
        <w:pStyle w:val="TextBody"/>
        <w:bidi w:val="0"/>
        <w:spacing w:before="0" w:after="0"/>
        <w:ind w:left="0" w:right="0" w:firstLine="547"/>
        <w:jc w:val="left"/>
        <w:rPr/>
      </w:pPr>
      <w:r>
        <w:rPr/>
        <w: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Net Loss per Share</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Basic net loss per share is computed by dividing the net loss by the weighted average number of common shares outstanding during the period.</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Diluted net loss per share is computed by dividing the net loss by the sum of the weighted average number of shares of common stock outstanding and the dilutive common stock equivalents outstanding during the period. The Company’s potentially dilutive common stock equivalent shares, which include incremental common shares issuable upon (i) the exercise of outstanding stock options, (ii) purchases though the 2020 Employee Stock Purchase Plan (the “2020 ESPP”), (iii) vesting of restricted stock units, and (iv) conversion of preferred stock, are only included in the calculation of diluted net loss per share when their effect is dilutive.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7"/>
        <w:jc w:val="left"/>
        <w:rPr>
          <w:rFonts w:ascii="Times New Roman;Times;serif" w:hAnsi="Times New Roman;Times;serif"/>
          <w:sz w:val="20"/>
        </w:rPr>
      </w:pPr>
      <w:bookmarkStart w:id="1188" w:name="_278ecf15_3931_46a3_89f0_21af8571fd56"/>
      <w:bookmarkStart w:id="1189" w:name="Tc_UZvAksajIkSLLDi6DFK4QA_7_0"/>
      <w:bookmarkStart w:id="1190" w:name="Tc_0ghVHKpMo0uOPlSeV6N-pg_6_0"/>
      <w:bookmarkStart w:id="1191" w:name="Tc_l-OvV34cB0-04E5eWe1F6w_5_0"/>
      <w:bookmarkStart w:id="1192" w:name="Tc_0M6FGRXyAEmWOZbOGIltIQ_4_0"/>
      <w:bookmarkStart w:id="1193" w:name="Tc_m66Nqebmlkygvi-K3sLjZQ_3_0"/>
      <w:bookmarkStart w:id="1194" w:name="Tc_iGH9JacHUUKVdnCLz4H8rw_2_4"/>
      <w:bookmarkStart w:id="1195" w:name="Tc_4gGnmYrLz0eLUqDUxqSrDw_2_2"/>
      <w:bookmarkStart w:id="1196" w:name="Tc_acLdhaKebE-anyN1uN0Dvg_1_2"/>
      <w:bookmarkStart w:id="1197" w:name="_6c42b869_f5c9_40bd_a01a_4d720dcea47b"/>
      <w:bookmarkEnd w:id="1188"/>
      <w:bookmarkEnd w:id="1189"/>
      <w:bookmarkEnd w:id="1190"/>
      <w:bookmarkEnd w:id="1191"/>
      <w:bookmarkEnd w:id="1192"/>
      <w:bookmarkEnd w:id="1193"/>
      <w:bookmarkEnd w:id="1194"/>
      <w:bookmarkEnd w:id="1195"/>
      <w:bookmarkEnd w:id="1196"/>
      <w:bookmarkEnd w:id="1197"/>
      <w:r>
        <w:rPr>
          <w:rFonts w:ascii="Times New Roman;Times;serif" w:hAnsi="Times New Roman;Times;serif"/>
          <w:sz w:val="20"/>
        </w:rPr>
        <w:t>As of June 30, 2023 and 2022, the following outstanding common stock equivalents have been excluded from the calculation of net loss per share because their impact would be anti-dilutive:</w:t>
      </w:r>
    </w:p>
    <w:p>
      <w:pPr>
        <w:pStyle w:val="TextBody"/>
        <w:bidi w:val="0"/>
        <w:spacing w:before="0" w:after="200"/>
        <w:ind w:left="0" w:right="0" w:firstLine="547"/>
        <w:jc w:val="left"/>
        <w:rPr/>
      </w:pPr>
      <w:r>
        <w:rPr/>
        <w:t>​</w:t>
      </w:r>
    </w:p>
    <w:tbl>
      <w:tblPr>
        <w:tblW w:w="6022" w:type="dxa"/>
        <w:jc w:val="left"/>
        <w:tblInd w:w="0" w:type="dxa"/>
        <w:tblLayout w:type="fixed"/>
        <w:tblCellMar>
          <w:top w:w="0" w:type="dxa"/>
          <w:left w:w="0" w:type="dxa"/>
          <w:bottom w:w="0" w:type="dxa"/>
          <w:right w:w="0" w:type="dxa"/>
        </w:tblCellMar>
      </w:tblPr>
      <w:tblGrid>
        <w:gridCol w:w="3181"/>
        <w:gridCol w:w="326"/>
        <w:gridCol w:w="1036"/>
        <w:gridCol w:w="326"/>
        <w:gridCol w:w="1153"/>
      </w:tblGrid>
      <w:tr>
        <w:trPr/>
        <w:tc>
          <w:tcPr>
            <w:tcW w:w="3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19935" cy="175260"/>
                      <wp:effectExtent l="0" t="0" r="0" b="0"/>
                      <wp:wrapNone/>
                      <wp:docPr id="98" name="Frame98"/>
                      <a:graphic xmlns:a="http://schemas.openxmlformats.org/drawingml/2006/main">
                        <a:graphicData uri="http://schemas.microsoft.com/office/word/2010/wordprocessingShape">
                          <wps:wsp>
                            <wps:cNvSpPr txBox="1"/>
                            <wps:spPr>
                              <a:xfrm>
                                <a:off x="0" y="0"/>
                                <a:ext cx="2019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7010" cy="175260"/>
                      <wp:effectExtent l="0" t="0" r="0" b="0"/>
                      <wp:wrapNone/>
                      <wp:docPr id="99" name="Frame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57860" cy="175260"/>
                      <wp:effectExtent l="0" t="0" r="0" b="0"/>
                      <wp:wrapNone/>
                      <wp:docPr id="100" name="Frame10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101"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732155" cy="175260"/>
                      <wp:effectExtent l="0" t="0" r="0" b="0"/>
                      <wp:wrapNone/>
                      <wp:docPr id="102" name="Frame102"/>
                      <a:graphic xmlns:a="http://schemas.openxmlformats.org/drawingml/2006/main">
                        <a:graphicData uri="http://schemas.microsoft.com/office/word/2010/wordprocessingShape">
                          <wps:wsp>
                            <wps:cNvSpPr txBox="1"/>
                            <wps:spPr>
                              <a:xfrm>
                                <a:off x="0" y="0"/>
                                <a:ext cx="732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15"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1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15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19,438,306</w:t>
            </w:r>
          </w:p>
        </w:tc>
        <w:tc>
          <w:tcPr>
            <w:tcW w:w="326" w:type="dxa"/>
            <w:tcBorders/>
            <w:shd w:fill="CCEEFF" w:val="clear"/>
            <w:vAlign w:val="center"/>
          </w:tcPr>
          <w:p>
            <w:pPr>
              <w:pStyle w:val="TableContents"/>
              <w:bidi w:val="0"/>
              <w:spacing w:before="0" w:after="1"/>
              <w:ind w:left="0" w:right="0" w:hanging="0"/>
              <w:jc w:val="left"/>
              <w:rPr>
                <w:color w:val="0000FF"/>
              </w:rPr>
            </w:pPr>
            <w:r>
              <w:rPr>
                <w:color w:val="0000FF"/>
              </w:rPr>
              <w:t>​</w:t>
            </w:r>
          </w:p>
        </w:tc>
        <w:tc>
          <w:tcPr>
            <w:tcW w:w="11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14,519,506</w:t>
            </w:r>
          </w:p>
        </w:tc>
      </w:tr>
      <w:tr>
        <w:trPr/>
        <w:tc>
          <w:tcPr>
            <w:tcW w:w="3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Employee Stock Purchase Plan</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225,110</w:t>
            </w:r>
          </w:p>
        </w:tc>
        <w:tc>
          <w:tcPr>
            <w:tcW w:w="326" w:type="dxa"/>
            <w:tcBorders/>
            <w:vAlign w:val="center"/>
          </w:tcPr>
          <w:p>
            <w:pPr>
              <w:pStyle w:val="TableContents"/>
              <w:bidi w:val="0"/>
              <w:spacing w:before="0" w:after="1"/>
              <w:ind w:left="0" w:right="0" w:hanging="0"/>
              <w:jc w:val="left"/>
              <w:rPr/>
            </w:pPr>
            <w:r>
              <w:rPr/>
              <w:t>​</w:t>
            </w:r>
          </w:p>
        </w:tc>
        <w:tc>
          <w:tcPr>
            <w:tcW w:w="11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193,194</w:t>
            </w:r>
          </w:p>
        </w:tc>
      </w:tr>
      <w:tr>
        <w:trPr/>
        <w:tc>
          <w:tcPr>
            <w:tcW w:w="3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stock units</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4,153,569</w:t>
            </w:r>
          </w:p>
        </w:tc>
        <w:tc>
          <w:tcPr>
            <w:tcW w:w="326" w:type="dxa"/>
            <w:tcBorders/>
            <w:shd w:fill="CCEEFF" w:val="clear"/>
            <w:vAlign w:val="center"/>
          </w:tcPr>
          <w:p>
            <w:pPr>
              <w:pStyle w:val="TableContents"/>
              <w:bidi w:val="0"/>
              <w:spacing w:before="0" w:after="1"/>
              <w:ind w:left="0" w:right="0" w:hanging="0"/>
              <w:jc w:val="left"/>
              <w:rPr>
                <w:color w:val="0000FF"/>
              </w:rPr>
            </w:pPr>
            <w:r>
              <w:rPr>
                <w:color w:val="0000FF"/>
              </w:rPr>
              <w:t>​</w:t>
            </w:r>
          </w:p>
        </w:tc>
        <w:tc>
          <w:tcPr>
            <w:tcW w:w="11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2,499,178</w:t>
            </w:r>
          </w:p>
        </w:tc>
      </w:tr>
      <w:tr>
        <w:trPr/>
        <w:tc>
          <w:tcPr>
            <w:tcW w:w="3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Series A Convertible Preferred Stock*</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97,000</w:t>
            </w:r>
          </w:p>
        </w:tc>
        <w:tc>
          <w:tcPr>
            <w:tcW w:w="326" w:type="dxa"/>
            <w:tcBorders/>
            <w:vAlign w:val="center"/>
          </w:tcPr>
          <w:p>
            <w:pPr>
              <w:pStyle w:val="TableContents"/>
              <w:bidi w:val="0"/>
              <w:spacing w:before="0" w:after="1"/>
              <w:ind w:left="0" w:right="0" w:hanging="0"/>
              <w:jc w:val="left"/>
              <w:rPr>
                <w:color w:val="0000FF"/>
              </w:rPr>
            </w:pPr>
            <w:r>
              <w:rPr>
                <w:color w:val="0000FF"/>
              </w:rPr>
              <w:t>​</w:t>
            </w:r>
          </w:p>
        </w:tc>
        <w:tc>
          <w:tcPr>
            <w:tcW w:w="11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97,000</w:t>
            </w:r>
          </w:p>
        </w:tc>
      </w:tr>
      <w:tr>
        <w:trPr/>
        <w:tc>
          <w:tcPr>
            <w:tcW w:w="3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Series B Convertible Preferred Stock*</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2,842,158</w:t>
            </w:r>
          </w:p>
        </w:tc>
        <w:tc>
          <w:tcPr>
            <w:tcW w:w="326" w:type="dxa"/>
            <w:tcBorders/>
            <w:shd w:fill="CCEEFF" w:val="clear"/>
            <w:vAlign w:val="center"/>
          </w:tcPr>
          <w:p>
            <w:pPr>
              <w:pStyle w:val="TableContents"/>
              <w:bidi w:val="0"/>
              <w:spacing w:before="0" w:after="1"/>
              <w:ind w:left="0" w:right="0" w:hanging="0"/>
              <w:jc w:val="left"/>
              <w:rPr>
                <w:color w:val="0000FF"/>
              </w:rPr>
            </w:pPr>
            <w:r>
              <w:rPr>
                <w:color w:val="0000FF"/>
              </w:rPr>
              <w:t>​</w:t>
            </w:r>
          </w:p>
        </w:tc>
        <w:tc>
          <w:tcPr>
            <w:tcW w:w="11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2,842,158</w:t>
            </w:r>
          </w:p>
        </w:tc>
      </w:tr>
      <w:tr>
        <w:trPr/>
        <w:tc>
          <w:tcPr>
            <w:tcW w:w="31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26,756,143</w:t>
            </w:r>
          </w:p>
        </w:tc>
        <w:tc>
          <w:tcPr>
            <w:tcW w:w="326" w:type="dxa"/>
            <w:tcBorders/>
            <w:vAlign w:val="center"/>
          </w:tcPr>
          <w:p>
            <w:pPr>
              <w:pStyle w:val="TableContents"/>
              <w:bidi w:val="0"/>
              <w:spacing w:before="0" w:after="1"/>
              <w:ind w:left="0" w:right="0" w:hanging="0"/>
              <w:jc w:val="left"/>
              <w:rPr/>
            </w:pPr>
            <w:r>
              <w:rPr/>
              <w:t>​</w:t>
            </w:r>
          </w:p>
        </w:tc>
        <w:tc>
          <w:tcPr>
            <w:tcW w:w="1153"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20,151,036</w:t>
            </w:r>
          </w:p>
        </w:tc>
      </w:tr>
    </w:tbl>
    <w:p>
      <w:pPr>
        <w:pStyle w:val="TextBody"/>
        <w:bidi w:val="0"/>
        <w:spacing w:before="0" w:after="200"/>
        <w:ind w:left="547" w:right="0" w:hanging="0"/>
        <w:jc w:val="left"/>
        <w:rPr>
          <w:rFonts w:ascii="Times New Roman;Times;serif" w:hAnsi="Times New Roman;Times;serif"/>
          <w:b w:val="false"/>
          <w:i/>
          <w:sz w:val="20"/>
        </w:rPr>
      </w:pPr>
      <w:r>
        <w:rPr>
          <w:rFonts w:ascii="Times New Roman;Times;serif" w:hAnsi="Times New Roman;Times;serif"/>
          <w:b w:val="false"/>
          <w:i/>
          <w:sz w:val="20"/>
        </w:rPr>
        <w:t>* on an as-converted basis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dilutive effect of potentially dilutive securities would be reflected in diluted earnings per common share by application of the treasury stock method. Under the treasury stock method, an increase in the fair market value of the Company's common stock could result in a greater dilutive effect from potentially dilutive securities.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00"/>
        <w:ind w:left="0" w:right="0" w:firstLine="547"/>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Significant items subject to such estimates and assumptions include assumptions made in the fair value of intangible assets, inventories acquired as part of the acquisition of Proleukin®, equity awards and related stock-based compensation, assumptions used in measuring operating right-of-use assets and operating lease liabilities, accounting for potential liabilities, including estimates inherent in accruals related to clinical trials, and the realizability of the Company’s deferred tax assets.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Principles of Consolidation</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val="false"/>
          <w:i w:val="false"/>
          <w:caps w:val="false"/>
          <w:smallCaps w:val="false"/>
          <w:sz w:val="20"/>
        </w:rPr>
        <w:t>The accompanying Condensed Consolidated Financial Statements include the accounts of Iovance Biotherapeutics, Inc. and its wholly-owned subsidiaries, Iovance Biotherapeutics Manufacturing LLC, Iovance Biotherapeutics GmbH, Iovance Biotherapeutics B.V., Iovance Biotherapeutics UK Ltd and Clinigen SP Ltd (together, the “UK subsidiaries”), and Iovance Biotherapeutics Canada, Inc. All intercompany accounts and transactions have been eliminated.</w:t>
      </w:r>
      <w:r>
        <w:rPr>
          <w:rFonts w:ascii="Times New Roman;Times;serif" w:hAnsi="Times New Roman;Times;serif"/>
          <w:b/>
          <w:i/>
          <w:caps w:val="false"/>
          <w:smallCaps w:val="false"/>
          <w:sz w:val="20"/>
        </w:rPr>
        <w:t xml:space="preserve"> </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Foreign Currency Translation</w:t>
      </w:r>
    </w:p>
    <w:p>
      <w:pPr>
        <w:pStyle w:val="TextBody"/>
        <w:bidi w:val="0"/>
        <w:spacing w:before="0" w:after="200"/>
        <w:ind w:left="0" w:right="0" w:firstLine="547"/>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assets and liabilities of the Company’s subsidiaries whose functional currencies are not in U.S. dollars are translated into U.S. dollars at the related period-end exchange rate. The U.S. dollar effects that arise from translation of net assets of these subsidiaries at changing rates are recognized in Accumulated Other Comprehensive Income (Loss) in the Condensed Consolidated Balance Sheets. The subsidiaries’ net loss is translated into U.S. dollars by using the average exchange rate for the applicable period. The Condensed Consolidated Financial Statements are presented in U.S. dollars, which is the Company’s reporting currency.</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Segment Reporting</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Company operates in one segment, focused on innovating, developing and commercializing therapies using autologous TIL for the treatment of advanced melanoma and other solid tumor cancers.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 xml:space="preserve">Recent Accounting Standards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There were no applicable recently issued accounting standards nor did we adopt any new accounting standards during either the three or six months ended June 30, 2023. </w:t>
      </w:r>
    </w:p>
    <w:p>
      <w:pPr>
        <w:pStyle w:val="TextBody"/>
        <w:bidi w:val="0"/>
        <w:spacing w:before="0" w:after="200"/>
        <w:ind w:left="0" w:right="0" w:firstLine="547"/>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1198" w:name="Tc_IwqgIEdYz0KE_SRLbOxxzA_6_11"/>
      <w:bookmarkStart w:id="1199" w:name="Tc_i9tYQCygz0uQX4ekt_luSg_6_9"/>
      <w:bookmarkStart w:id="1200" w:name="Tc_Cx1O40pps06DYb6hMP7naQ_6_8"/>
      <w:bookmarkStart w:id="1201" w:name="Tc_EJtPA1Er5E6j00dBMQ4rwA_6_5"/>
      <w:bookmarkStart w:id="1202" w:name="Tc_yXrmVO3nTUaumbSj4sZ-fA_6_2"/>
      <w:bookmarkStart w:id="1203" w:name="Tc_hdsH3ObF30mOoRS1KnPDwQ_6_0"/>
      <w:bookmarkStart w:id="1204" w:name="Tc_cigvdv58Ek6I2sNpIK-bYQ_5_9"/>
      <w:bookmarkStart w:id="1205" w:name="Tc_YX8R-S3rrESLKbgD0hBroQ_5_6"/>
      <w:bookmarkStart w:id="1206" w:name="Tc_sK_fR3h0lEK3snHuxmtr5Q_5_0"/>
      <w:bookmarkStart w:id="1207" w:name="Tc_6PIAHw9-h0qqo5bMyfDmiQ_4_9"/>
      <w:bookmarkStart w:id="1208" w:name="Tc_h03YwzsceUeXP5qkzfXVCw_4_3"/>
      <w:bookmarkStart w:id="1209" w:name="Tc_UV2M0w60nUC0gG-tWFgFFw_4_0"/>
      <w:bookmarkStart w:id="1210" w:name="Tc_gxjLJXQrJECcKurtdYqAug_3_11"/>
      <w:bookmarkStart w:id="1211" w:name="Tc_X1CLqdS70Ear9XZTrN9ntw_3_9"/>
      <w:bookmarkStart w:id="1212" w:name="Tc_cicSbnskbEiqQFUR_BHYqg_3_8"/>
      <w:bookmarkStart w:id="1213" w:name="Tc_dshvDOCkf0Ges8hDDdzedw_3_6"/>
      <w:bookmarkStart w:id="1214" w:name="Tc_AAjIA6XbxEef0MflYH0ikw_3_5"/>
      <w:bookmarkStart w:id="1215" w:name="Tc_QTnfewAc9UGJy-2BEMgC-w_3_2"/>
      <w:bookmarkStart w:id="1216" w:name="Tc_iY8tH4h5P0eMdCkvaSLbtA_3_0"/>
      <w:bookmarkStart w:id="1217" w:name="Tc_RTOdiN5gDke3z8rgyVtJFQ_2_11"/>
      <w:bookmarkStart w:id="1218" w:name="Tc_IOpzIVEJh06e_LZTMEEuXA_2_8"/>
      <w:bookmarkStart w:id="1219" w:name="Tc_qs3d4mJhZkOn9iZO_ynk_Q_2_5"/>
      <w:bookmarkStart w:id="1220" w:name="Tc_Gp-89rEsLEuPZy74rGOg_w_2_2"/>
      <w:bookmarkStart w:id="1221" w:name="Tc_Kb24RW3Md0q5Sv0YoDr2Ng_1_2"/>
      <w:bookmarkStart w:id="1222" w:name="_ef606639_55b6_4843_a65a_7098773d8c67"/>
      <w:bookmarkStart w:id="1223" w:name="Tc_Nnnsnnekuk6GmaN9l6ycDw_5_5"/>
      <w:bookmarkStart w:id="1224" w:name="Tc_TEh-8XliHEqlYaEW7bv8rA_5_2"/>
      <w:bookmarkStart w:id="1225" w:name="Tc_37XuCYLnxUO9__8SIozFxw_5_0"/>
      <w:bookmarkStart w:id="1226" w:name="Tc_oe1H5eevnE-ZwEdppJyoJw_4_0"/>
      <w:bookmarkStart w:id="1227" w:name="Tc_e0cmIUjVtkGfOKu3f-ph8Q_3_5"/>
      <w:bookmarkStart w:id="1228" w:name="Tc_8vsC8uJV5UGw0VEcZDMyww_3_2"/>
      <w:bookmarkStart w:id="1229" w:name="Tc_vHCvSSkjSUyVLqr8Tszspg_3_0"/>
      <w:bookmarkStart w:id="1230" w:name="Tc_onj7B7f3LkSVa9QmsFRUAw_2_5"/>
      <w:bookmarkStart w:id="1231" w:name="Tc_yFwEEyH5LUiIjHDNltZs2g_2_2"/>
      <w:bookmarkStart w:id="1232" w:name="Tc_b01Z-ABZwk6Cpb-a9PVJmg_2_0"/>
      <w:bookmarkStart w:id="1233" w:name="Tc_DWMnMKAHW0eSq7hBqBvKxQ_1_5"/>
      <w:bookmarkStart w:id="1234" w:name="Tc_nz34_iGEj0i5UV0GY7A98Q_1_2"/>
      <w:bookmarkStart w:id="1235" w:name="_6204f270_1533_4746_8b69_a4122079a649"/>
      <w:bookmarkStart w:id="1236" w:name="Tc_xwEYPzOR5kOR6ICocxByIQ_9_11"/>
      <w:bookmarkStart w:id="1237" w:name="Tc_erOU6TkPtEmDRJ20YNAGag_9_8"/>
      <w:bookmarkStart w:id="1238" w:name="Tc_R5YmpoNbKkGa88NXI52cCw_9_5"/>
      <w:bookmarkStart w:id="1239" w:name="Tc_KNaLwIVCakerEfxYxmNfnw_9_2"/>
      <w:bookmarkStart w:id="1240" w:name="Tc_vd_WLli0ZEmYe_1mYUY7EA_9_0"/>
      <w:bookmarkStart w:id="1241" w:name="Tc_ecBEMg7TKUeHA-oE5vsFNw_8_9"/>
      <w:bookmarkStart w:id="1242" w:name="Tc_hPIMMSArsk2IHhmXHDodVQ_8_6"/>
      <w:bookmarkStart w:id="1243" w:name="Tc_j77MrFXu4kC-OW8JTtyaAA_8_0"/>
      <w:bookmarkStart w:id="1244" w:name="Tc_Fhp6MJ5BqkKdXpjrSy1aFQ_7_0"/>
      <w:bookmarkStart w:id="1245" w:name="Tc_p0WobEimnE6Sf15IbfvHcw_6_9"/>
      <w:bookmarkStart w:id="1246" w:name="Tc_clJg5zKyG0qnmvULo18OOg_6_6"/>
      <w:bookmarkStart w:id="1247" w:name="Tc_WijOFWLxTE2poPzV5go4IA_6_0"/>
      <w:bookmarkStart w:id="1248" w:name="Tc_UqS8Nw3lDUGyoz0XrVFQ8Q_5_6"/>
      <w:bookmarkStart w:id="1249" w:name="Tc_Pi-9TAc0O0io4y0pabzj0g_5_0"/>
      <w:bookmarkStart w:id="1250" w:name="Tc_OxexLBumfkGJxof8xpzizg_4_11"/>
      <w:bookmarkStart w:id="1251" w:name="Tc_RnYKclt8j0eQXX-FcS0tsA_4_8"/>
      <w:bookmarkStart w:id="1252" w:name="Tc_GMMC_mJGQEmq3nTmAL5xFQ_4_6"/>
      <w:bookmarkStart w:id="1253" w:name="Tc_2hkSoRri4U2zlPd9hx8z5g_4_5"/>
      <w:bookmarkStart w:id="1254" w:name="Tc_NOY2nfhOZUmZLSrvslojDA_4_2"/>
      <w:bookmarkStart w:id="1255" w:name="Tc_vh99g24Y60qR3Oj_2mzenA_4_0"/>
      <w:bookmarkStart w:id="1256" w:name="Tc_6VcNPPi-jEmAOW2Wl1J4rw_3_11"/>
      <w:bookmarkStart w:id="1257" w:name="Tc_7CEWGDAyTEWfkgjvjb7VTQ_3_8"/>
      <w:bookmarkStart w:id="1258" w:name="Tc_CHlH0aXsZUOBLTuRKMBL8A_3_5"/>
      <w:bookmarkStart w:id="1259" w:name="Tc_2a2YIYlmWkKfgTfOJF5RvA_3_2"/>
      <w:bookmarkStart w:id="1260" w:name="Tc_M1lmxtRKLkmETdj9yTYW4w_3_0"/>
      <w:bookmarkStart w:id="1261" w:name="Tc_3e4rZdIDREuuUZpbVCEj7w_2_8"/>
      <w:bookmarkStart w:id="1262" w:name="Tc_-UldZ7eyRECX_NIOlh5nPw_2_5"/>
      <w:bookmarkStart w:id="1263" w:name="Tc_i4jt69t4l0SuswnrzI6LIQ_2_2"/>
      <w:bookmarkStart w:id="1264" w:name="Tc_HT6y9QrRq0-eRVSRcoRU0Q_1_8"/>
      <w:bookmarkStart w:id="1265" w:name="Tc_uubGzdQOdESF3s_q4blZ0Q_1_5"/>
      <w:bookmarkStart w:id="1266" w:name="_50e9a77a_9031_4d6e_9c23_dd8f453103c8"/>
      <w:bookmarkStart w:id="1267" w:name="Tc_gWcemjmQ4kKVIF5Fk2Y5gQ_7_11"/>
      <w:bookmarkStart w:id="1268" w:name="Tc_uUVl26vAdUyTvixZLPdCCQ_7_8"/>
      <w:bookmarkStart w:id="1269" w:name="Tc__25lqGWfuECmCrGAR_zztA_7_6"/>
      <w:bookmarkStart w:id="1270" w:name="Tc_--MFWzhKK0-uDtKnqng-AA_7_5"/>
      <w:bookmarkStart w:id="1271" w:name="Tc_mengstL0NUSZ8TpmgCgiUw_7_2"/>
      <w:bookmarkStart w:id="1272" w:name="Tc_OOx5bh4_TkmLeANXDS-QMA_7_0"/>
      <w:bookmarkStart w:id="1273" w:name="Tc_TNoSedWq0E2hGapyuvv6Xg_6_9"/>
      <w:bookmarkStart w:id="1274" w:name="Tc_3ZsXLP1d8UWZ5irJR4mC6g_6_6"/>
      <w:bookmarkStart w:id="1275" w:name="Tc_OpQVw8jXLU6IejJ06pZS3Q_6_0"/>
      <w:bookmarkStart w:id="1276" w:name="Tc_bXSeTfcbvkaeVsvJPay9fQ_5_6"/>
      <w:bookmarkStart w:id="1277" w:name="Tc_OcKY5pDSe0e8R2KJLXtl6A_5_0"/>
      <w:bookmarkStart w:id="1278" w:name="Tc_udrr6YEJP0eoMO5vjcUNzA_4_11"/>
      <w:bookmarkStart w:id="1279" w:name="Tc_rCcYVB-W3Eyg9dfuPQmg4g_4_8"/>
      <w:bookmarkStart w:id="1280" w:name="Tc_OOXMYbbk-EaIsVqRhTmcEw_4_6"/>
      <w:bookmarkStart w:id="1281" w:name="Tc_cfQ_GdGTWE6QkpwQ_y6VgQ_4_5"/>
      <w:bookmarkStart w:id="1282" w:name="Tc_JisWbL_RUUSKummyjc4zQQ_4_2"/>
      <w:bookmarkStart w:id="1283" w:name="Tc_feDEdjX6H0iN8odladcHKA_4_0"/>
      <w:bookmarkStart w:id="1284" w:name="Tc_8XlierJIKE-ZVf997ICR0g_3_11"/>
      <w:bookmarkStart w:id="1285" w:name="Tc_T_CdpjImdkKL_KReaqUIWA_3_8"/>
      <w:bookmarkStart w:id="1286" w:name="Tc_O5oIvXIaoUCvjAvB9BVxVA_3_5"/>
      <w:bookmarkStart w:id="1287" w:name="Tc_yJFbJyBk9EaUOGLu6mGTTQ_3_2"/>
      <w:bookmarkStart w:id="1288" w:name="Tc_7-YF5XvjqkucbOKwbFc10A_3_0"/>
      <w:bookmarkStart w:id="1289" w:name="Tc_EkDSXOEYFEGtI8T6J92PNA_2_8"/>
      <w:bookmarkStart w:id="1290" w:name="Tc_PMk6jUepe0CCn0BRo3Ku2w_2_5"/>
      <w:bookmarkStart w:id="1291" w:name="Tc_pnm531HMu0qzcDYPKoEO8w_2_2"/>
      <w:bookmarkStart w:id="1292" w:name="Tc_Pz7puMhEZUKeEaR43r3EZQ_1_8"/>
      <w:bookmarkStart w:id="1293" w:name="Tc_PkX-dM3HlUyAGM0YX_ac4A_1_5"/>
      <w:bookmarkStart w:id="1294" w:name="_1db2213e_942b_4f71_a994_32ac3d638c68"/>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r>
        <w:rPr>
          <w:rFonts w:ascii="Times New Roman;Times;serif" w:hAnsi="Times New Roman;Times;serif"/>
          <w:b/>
          <w:sz w:val="20"/>
        </w:rPr>
        <w:t>NOTE 3. CASH EQUIVALENTS, INVESTMENTS AND RECURRING FAIR VALUE MEASUREMENTS</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The amortized cost and fair value of cash equivalents and investments as of June 30, 2023 and December 31, 2022 were as follows (in thousands):</w:t>
      </w:r>
    </w:p>
    <w:p>
      <w:pPr>
        <w:pStyle w:val="TextBody"/>
        <w:bidi w:val="0"/>
        <w:spacing w:before="0" w:after="200"/>
        <w:ind w:left="0" w:right="0" w:firstLine="547"/>
        <w:jc w:val="left"/>
        <w:rPr/>
      </w:pPr>
      <w:r>
        <w:rPr/>
        <w:t>​</w:t>
      </w:r>
    </w:p>
    <w:tbl>
      <w:tblPr>
        <w:tblW w:w="7128" w:type="dxa"/>
        <w:jc w:val="left"/>
        <w:tblInd w:w="0" w:type="dxa"/>
        <w:tblLayout w:type="fixed"/>
        <w:tblCellMar>
          <w:top w:w="0" w:type="dxa"/>
          <w:left w:w="0" w:type="dxa"/>
          <w:bottom w:w="0" w:type="dxa"/>
          <w:right w:w="0" w:type="dxa"/>
        </w:tblCellMar>
      </w:tblPr>
      <w:tblGrid>
        <w:gridCol w:w="1951"/>
        <w:gridCol w:w="326"/>
        <w:gridCol w:w="211"/>
        <w:gridCol w:w="781"/>
        <w:gridCol w:w="326"/>
        <w:gridCol w:w="335"/>
        <w:gridCol w:w="551"/>
        <w:gridCol w:w="326"/>
        <w:gridCol w:w="335"/>
        <w:gridCol w:w="551"/>
        <w:gridCol w:w="326"/>
        <w:gridCol w:w="211"/>
        <w:gridCol w:w="898"/>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238885" cy="175260"/>
                      <wp:effectExtent l="0" t="0" r="0" b="0"/>
                      <wp:wrapNone/>
                      <wp:docPr id="103" name="Frame103"/>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4" name="Frame1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33985" cy="175260"/>
                      <wp:effectExtent l="0" t="0" r="0" b="0"/>
                      <wp:wrapNone/>
                      <wp:docPr id="105" name="Frame1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495935" cy="175260"/>
                      <wp:effectExtent l="0" t="0" r="0" b="0"/>
                      <wp:wrapNone/>
                      <wp:docPr id="106" name="Frame10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7" name="Frame1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2725" cy="175260"/>
                      <wp:effectExtent l="0" t="0" r="0" b="0"/>
                      <wp:wrapNone/>
                      <wp:docPr id="108" name="Frame108"/>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349885" cy="175260"/>
                      <wp:effectExtent l="0" t="0" r="0" b="0"/>
                      <wp:wrapNone/>
                      <wp:docPr id="109" name="Frame109"/>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07010" cy="175260"/>
                      <wp:effectExtent l="0" t="0" r="0" b="0"/>
                      <wp:wrapNone/>
                      <wp:docPr id="110" name="Frame1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2725" cy="175260"/>
                      <wp:effectExtent l="0" t="0" r="0" b="0"/>
                      <wp:wrapNone/>
                      <wp:docPr id="111" name="Frame111"/>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349885" cy="175260"/>
                      <wp:effectExtent l="0" t="0" r="0" b="0"/>
                      <wp:wrapNone/>
                      <wp:docPr id="112" name="Frame112"/>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113" name="Frame1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33985" cy="175260"/>
                      <wp:effectExtent l="0" t="0" r="0" b="0"/>
                      <wp:wrapNone/>
                      <wp:docPr id="114" name="Frame1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570230" cy="175260"/>
                      <wp:effectExtent l="0" t="0" r="0" b="0"/>
                      <wp:wrapNone/>
                      <wp:docPr id="115" name="Frame115"/>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1"/>
              <w:ind w:left="0" w:right="0" w:hanging="0"/>
              <w:jc w:val="left"/>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center"/>
              <w:rPr/>
            </w:pPr>
            <w:r>
              <w:rPr/>
              <w:t>​</w:t>
            </w:r>
          </w:p>
        </w:tc>
      </w:tr>
      <w:tr>
        <w:trPr/>
        <w:tc>
          <w:tcPr>
            <w:tcW w:w="19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Amortized </w:t>
            </w:r>
          </w:p>
        </w:tc>
        <w:tc>
          <w:tcPr>
            <w:tcW w:w="326" w:type="dxa"/>
            <w:tcBorders/>
            <w:vAlign w:val="center"/>
          </w:tcPr>
          <w:p>
            <w:pPr>
              <w:pStyle w:val="TableContents"/>
              <w:bidi w:val="0"/>
              <w:spacing w:before="0" w:after="1"/>
              <w:ind w:left="0" w:right="0" w:hanging="0"/>
              <w:jc w:val="left"/>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1"/>
              <w:ind w:left="0" w:right="0" w:hanging="0"/>
              <w:jc w:val="left"/>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center"/>
              <w:rPr/>
            </w:pPr>
            <w:r>
              <w:rPr/>
              <w:t>​</w:t>
            </w:r>
          </w:p>
        </w:tc>
      </w:tr>
      <w:tr>
        <w:trPr/>
        <w:tc>
          <w:tcPr>
            <w:tcW w:w="195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As of June 30, 2023</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1"/>
              <w:ind w:left="0" w:right="0" w:hanging="0"/>
              <w:jc w:val="left"/>
              <w:rPr/>
            </w:pPr>
            <w:r>
              <w:rPr/>
              <w:t>    </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vAlign w:val="center"/>
          </w:tcPr>
          <w:p>
            <w:pPr>
              <w:pStyle w:val="TableContents"/>
              <w:bidi w:val="0"/>
              <w:spacing w:before="0" w:after="1"/>
              <w:ind w:left="0" w:right="0" w:hanging="0"/>
              <w:jc w:val="left"/>
              <w:rPr/>
            </w:pPr>
            <w:r>
              <w:rPr/>
              <w:t>    </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1"/>
              <w:ind w:left="0" w:right="0" w:hanging="0"/>
              <w:jc w:val="left"/>
              <w:rPr/>
            </w:pPr>
            <w:r>
              <w:rPr/>
              <w:t>    </w:t>
            </w:r>
          </w:p>
        </w:tc>
        <w:tc>
          <w:tcPr>
            <w:tcW w:w="110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19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15,471</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15,464</w:t>
            </w:r>
          </w:p>
        </w:tc>
      </w:tr>
      <w:tr>
        <w:trPr/>
        <w:tc>
          <w:tcPr>
            <w:tcW w:w="19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5,421</w:t>
            </w:r>
          </w:p>
        </w:tc>
        <w:tc>
          <w:tcPr>
            <w:tcW w:w="326"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w:t>
            </w:r>
          </w:p>
        </w:tc>
        <w:tc>
          <w:tcPr>
            <w:tcW w:w="5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w:t>
            </w:r>
          </w:p>
        </w:tc>
        <w:tc>
          <w:tcPr>
            <w:tcW w:w="5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5,420</w:t>
            </w:r>
          </w:p>
        </w:tc>
      </w:tr>
      <w:tr>
        <w:trPr/>
        <w:tc>
          <w:tcPr>
            <w:tcW w:w="19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175,977</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175,977</w:t>
            </w:r>
          </w:p>
        </w:tc>
      </w:tr>
      <w:tr>
        <w:trPr/>
        <w:tc>
          <w:tcPr>
            <w:tcW w:w="19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investments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196,869</w:t>
            </w:r>
          </w:p>
        </w:tc>
        <w:tc>
          <w:tcPr>
            <w:tcW w:w="326" w:type="dxa"/>
            <w:tcBorders/>
            <w:vAlign w:val="center"/>
          </w:tcPr>
          <w:p>
            <w:pPr>
              <w:pStyle w:val="TableContents"/>
              <w:bidi w:val="0"/>
              <w:spacing w:before="0" w:after="1"/>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196,861</w:t>
            </w:r>
          </w:p>
        </w:tc>
      </w:tr>
    </w:tbl>
    <w:p>
      <w:pPr>
        <w:pStyle w:val="TextBody"/>
        <w:bidi w:val="0"/>
        <w:spacing w:before="0" w:after="200"/>
        <w:ind w:left="0" w:right="0" w:hanging="0"/>
        <w:jc w:val="left"/>
        <w:rPr/>
      </w:pPr>
      <w:r>
        <w:rPr/>
        <w:t>​</w:t>
      </w:r>
    </w:p>
    <w:tbl>
      <w:tblPr>
        <w:tblW w:w="8088" w:type="dxa"/>
        <w:jc w:val="left"/>
        <w:tblInd w:w="0" w:type="dxa"/>
        <w:tblLayout w:type="fixed"/>
        <w:tblCellMar>
          <w:top w:w="0" w:type="dxa"/>
          <w:left w:w="0" w:type="dxa"/>
          <w:bottom w:w="0" w:type="dxa"/>
          <w:right w:w="0" w:type="dxa"/>
        </w:tblCellMar>
      </w:tblPr>
      <w:tblGrid>
        <w:gridCol w:w="2911"/>
        <w:gridCol w:w="326"/>
        <w:gridCol w:w="211"/>
        <w:gridCol w:w="781"/>
        <w:gridCol w:w="326"/>
        <w:gridCol w:w="335"/>
        <w:gridCol w:w="551"/>
        <w:gridCol w:w="326"/>
        <w:gridCol w:w="270"/>
        <w:gridCol w:w="616"/>
        <w:gridCol w:w="326"/>
        <w:gridCol w:w="211"/>
        <w:gridCol w:w="898"/>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848485" cy="175260"/>
                      <wp:effectExtent l="0" t="0" r="0" b="0"/>
                      <wp:wrapNone/>
                      <wp:docPr id="116" name="Frame116"/>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7" name="Frame1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33985" cy="175260"/>
                      <wp:effectExtent l="0" t="0" r="0" b="0"/>
                      <wp:wrapNone/>
                      <wp:docPr id="118" name="Frame1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495935" cy="175260"/>
                      <wp:effectExtent l="0" t="0" r="0" b="0"/>
                      <wp:wrapNone/>
                      <wp:docPr id="119" name="Frame11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120" name="Frame1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2725" cy="175260"/>
                      <wp:effectExtent l="0" t="0" r="0" b="0"/>
                      <wp:wrapNone/>
                      <wp:docPr id="121" name="Frame121"/>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349885" cy="175260"/>
                      <wp:effectExtent l="0" t="0" r="0" b="0"/>
                      <wp:wrapNone/>
                      <wp:docPr id="122" name="Frame122"/>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175260"/>
                      <wp:effectExtent l="0" t="0" r="0" b="0"/>
                      <wp:wrapNone/>
                      <wp:docPr id="123" name="Frame1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71450" cy="175260"/>
                      <wp:effectExtent l="0" t="0" r="0" b="0"/>
                      <wp:wrapNone/>
                      <wp:docPr id="124" name="Frame124"/>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391160" cy="175260"/>
                      <wp:effectExtent l="0" t="0" r="0" b="0"/>
                      <wp:wrapNone/>
                      <wp:docPr id="125" name="Frame125"/>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7010" cy="175260"/>
                      <wp:effectExtent l="0" t="0" r="0" b="0"/>
                      <wp:wrapNone/>
                      <wp:docPr id="126" name="Frame1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33985" cy="175260"/>
                      <wp:effectExtent l="0" t="0" r="0" b="0"/>
                      <wp:wrapNone/>
                      <wp:docPr id="127" name="Frame1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570230" cy="175260"/>
                      <wp:effectExtent l="0" t="0" r="0" b="0"/>
                      <wp:wrapNone/>
                      <wp:docPr id="128" name="Frame128"/>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1"/>
              <w:ind w:left="0" w:right="0" w:hanging="0"/>
              <w:jc w:val="left"/>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center"/>
              <w:rPr/>
            </w:pPr>
            <w:r>
              <w:rPr/>
              <w:t>​</w:t>
            </w:r>
          </w:p>
        </w:tc>
      </w:tr>
      <w:tr>
        <w:trPr/>
        <w:tc>
          <w:tcPr>
            <w:tcW w:w="29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Amortized </w:t>
            </w:r>
          </w:p>
        </w:tc>
        <w:tc>
          <w:tcPr>
            <w:tcW w:w="326" w:type="dxa"/>
            <w:tcBorders/>
            <w:vAlign w:val="center"/>
          </w:tcPr>
          <w:p>
            <w:pPr>
              <w:pStyle w:val="TableContents"/>
              <w:bidi w:val="0"/>
              <w:spacing w:before="0" w:after="1"/>
              <w:ind w:left="0" w:right="0" w:hanging="0"/>
              <w:jc w:val="left"/>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1"/>
              <w:ind w:left="0" w:right="0" w:hanging="0"/>
              <w:jc w:val="left"/>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center"/>
              <w:rPr/>
            </w:pPr>
            <w:r>
              <w:rPr/>
              <w:t>​</w:t>
            </w:r>
          </w:p>
        </w:tc>
      </w:tr>
      <w:tr>
        <w:trPr/>
        <w:tc>
          <w:tcPr>
            <w:tcW w:w="29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As of December 31, 2022</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1"/>
              <w:ind w:left="0" w:right="0" w:hanging="0"/>
              <w:jc w:val="left"/>
              <w:rPr/>
            </w:pPr>
            <w:r>
              <w:rPr/>
              <w:t>    </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vAlign w:val="center"/>
          </w:tcPr>
          <w:p>
            <w:pPr>
              <w:pStyle w:val="TableContents"/>
              <w:bidi w:val="0"/>
              <w:spacing w:before="0" w:after="1"/>
              <w:ind w:left="0" w:right="0" w:hanging="0"/>
              <w:jc w:val="left"/>
              <w:rPr/>
            </w:pPr>
            <w:r>
              <w:rPr/>
              <w:t>    </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1"/>
              <w:ind w:left="0" w:right="0" w:hanging="0"/>
              <w:jc w:val="left"/>
              <w:rPr/>
            </w:pPr>
            <w:r>
              <w:rPr/>
              <w:t>    </w:t>
            </w:r>
          </w:p>
        </w:tc>
        <w:tc>
          <w:tcPr>
            <w:tcW w:w="110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118,570</w:t>
            </w:r>
          </w:p>
        </w:tc>
        <w:tc>
          <w:tcPr>
            <w:tcW w:w="326"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3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2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(850)</w:t>
            </w:r>
          </w:p>
        </w:tc>
        <w:tc>
          <w:tcPr>
            <w:tcW w:w="326"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117,720</w:t>
            </w:r>
          </w:p>
        </w:tc>
      </w:tr>
      <w:tr>
        <w:trPr/>
        <w:tc>
          <w:tcPr>
            <w:tcW w:w="2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government agency securities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11,272</w:t>
            </w:r>
          </w:p>
        </w:tc>
        <w:tc>
          <w:tcPr>
            <w:tcW w:w="326" w:type="dxa"/>
            <w:tcBorders/>
            <w:vAlign w:val="center"/>
          </w:tcPr>
          <w:p>
            <w:pPr>
              <w:pStyle w:val="TableContents"/>
              <w:bidi w:val="0"/>
              <w:spacing w:before="0" w:after="1"/>
              <w:ind w:left="0" w:right="0" w:hanging="0"/>
              <w:jc w:val="left"/>
              <w:rPr>
                <w:color w:val="FF0000"/>
              </w:rPr>
            </w:pPr>
            <w:r>
              <w:rPr>
                <w:color w:val="FF0000"/>
              </w:rPr>
              <w:t>​</w:t>
            </w:r>
          </w:p>
        </w:tc>
        <w:tc>
          <w:tcPr>
            <w:tcW w:w="335" w:type="dxa"/>
            <w:tcBorders/>
            <w:vAlign w:val="center"/>
          </w:tcPr>
          <w:p>
            <w:pPr>
              <w:pStyle w:val="TableContents"/>
              <w:bidi w:val="0"/>
              <w:spacing w:before="0" w:after="1"/>
              <w:ind w:left="0" w:right="0" w:hanging="0"/>
              <w:jc w:val="left"/>
              <w:rPr/>
            </w:pPr>
            <w:r>
              <w:rPr/>
              <w:t> </w:t>
            </w:r>
          </w:p>
        </w:tc>
        <w:tc>
          <w:tcPr>
            <w:tcW w:w="5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color w:val="FF0000"/>
              </w:rPr>
            </w:pPr>
            <w:r>
              <w:rPr>
                <w:color w:val="FF0000"/>
              </w:rPr>
              <w:t>​</w:t>
            </w:r>
          </w:p>
        </w:tc>
        <w:tc>
          <w:tcPr>
            <w:tcW w:w="270" w:type="dxa"/>
            <w:tcBorders/>
            <w:vAlign w:val="center"/>
          </w:tcPr>
          <w:p>
            <w:pPr>
              <w:pStyle w:val="TableContents"/>
              <w:bidi w:val="0"/>
              <w:spacing w:before="0" w:after="1"/>
              <w:ind w:left="0" w:right="0" w:hanging="0"/>
              <w:jc w:val="left"/>
              <w:rPr/>
            </w:pPr>
            <w:r>
              <w:rPr/>
              <w:t> </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1"/>
              <w:ind w:left="0" w:right="0" w:hanging="0"/>
              <w:jc w:val="left"/>
              <w:rPr>
                <w:color w:val="FF0000"/>
              </w:rPr>
            </w:pPr>
            <w:r>
              <w:rPr>
                <w:color w:val="FF0000"/>
              </w:rPr>
              <w:t>​</w:t>
            </w:r>
          </w:p>
        </w:tc>
        <w:tc>
          <w:tcPr>
            <w:tcW w:w="211" w:type="dxa"/>
            <w:tcBorders/>
            <w:vAlign w:val="center"/>
          </w:tcPr>
          <w:p>
            <w:pPr>
              <w:pStyle w:val="TableContents"/>
              <w:bidi w:val="0"/>
              <w:spacing w:before="0" w:after="1"/>
              <w:ind w:left="0" w:right="0" w:hanging="0"/>
              <w:jc w:val="left"/>
              <w:rPr/>
            </w:pPr>
            <w:r>
              <w:rPr/>
              <w:t> </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11,265</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7,230</w:t>
            </w:r>
          </w:p>
        </w:tc>
        <w:tc>
          <w:tcPr>
            <w:tcW w:w="326"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335" w:type="dxa"/>
            <w:tcBorders/>
            <w:shd w:fill="CCEEFF" w:val="clear"/>
            <w:vAlign w:val="center"/>
          </w:tcPr>
          <w:p>
            <w:pPr>
              <w:pStyle w:val="TableContents"/>
              <w:bidi w:val="0"/>
              <w:spacing w:before="0" w:after="1"/>
              <w:ind w:left="0" w:right="0" w:hanging="0"/>
              <w:jc w:val="left"/>
              <w:rPr/>
            </w:pPr>
            <w:r>
              <w:rPr/>
              <w:t>​</w:t>
            </w:r>
          </w:p>
        </w:tc>
        <w:tc>
          <w:tcPr>
            <w:tcW w:w="5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270"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7,230</w:t>
            </w:r>
          </w:p>
        </w:tc>
      </w:tr>
      <w:tr>
        <w:trPr/>
        <w:tc>
          <w:tcPr>
            <w:tcW w:w="2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148,299</w:t>
            </w:r>
          </w:p>
        </w:tc>
        <w:tc>
          <w:tcPr>
            <w:tcW w:w="326" w:type="dxa"/>
            <w:tcBorders/>
            <w:vAlign w:val="center"/>
          </w:tcPr>
          <w:p>
            <w:pPr>
              <w:pStyle w:val="TableContents"/>
              <w:bidi w:val="0"/>
              <w:spacing w:before="0" w:after="1"/>
              <w:ind w:left="0" w:right="0" w:hanging="0"/>
              <w:jc w:val="left"/>
              <w:rPr>
                <w:color w:val="FF0000"/>
              </w:rPr>
            </w:pPr>
            <w:r>
              <w:rPr>
                <w:color w:val="FF0000"/>
              </w:rPr>
              <w:t>​</w:t>
            </w:r>
          </w:p>
        </w:tc>
        <w:tc>
          <w:tcPr>
            <w:tcW w:w="335" w:type="dxa"/>
            <w:tcBorders/>
            <w:vAlign w:val="center"/>
          </w:tcPr>
          <w:p>
            <w:pPr>
              <w:pStyle w:val="TableContents"/>
              <w:bidi w:val="0"/>
              <w:spacing w:before="0" w:after="1"/>
              <w:ind w:left="0" w:right="0" w:hanging="0"/>
              <w:jc w:val="left"/>
              <w:rPr/>
            </w:pPr>
            <w:r>
              <w:rPr/>
              <w:t>​</w:t>
            </w:r>
          </w:p>
        </w:tc>
        <w:tc>
          <w:tcPr>
            <w:tcW w:w="5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vAlign w:val="center"/>
          </w:tcPr>
          <w:p>
            <w:pPr>
              <w:pStyle w:val="TableContents"/>
              <w:bidi w:val="0"/>
              <w:spacing w:before="0" w:after="1"/>
              <w:ind w:left="0" w:right="0" w:hanging="0"/>
              <w:jc w:val="left"/>
              <w:rPr>
                <w:color w:val="FF0000"/>
              </w:rPr>
            </w:pPr>
            <w:r>
              <w:rPr>
                <w:color w:val="FF0000"/>
              </w:rPr>
              <w:t>​</w:t>
            </w:r>
          </w:p>
        </w:tc>
        <w:tc>
          <w:tcPr>
            <w:tcW w:w="270"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w:t>
            </w:r>
          </w:p>
        </w:tc>
        <w:tc>
          <w:tcPr>
            <w:tcW w:w="326" w:type="dxa"/>
            <w:tcBorders/>
            <w:vAlign w:val="center"/>
          </w:tcPr>
          <w:p>
            <w:pPr>
              <w:pStyle w:val="TableContents"/>
              <w:bidi w:val="0"/>
              <w:spacing w:before="0" w:after="1"/>
              <w:ind w:left="0" w:right="0" w:hanging="0"/>
              <w:jc w:val="left"/>
              <w:rPr>
                <w:color w:val="FF0000"/>
              </w:rPr>
            </w:pPr>
            <w:r>
              <w:rPr>
                <w:color w:val="FF0000"/>
              </w:rPr>
              <w:t>​</w:t>
            </w:r>
          </w:p>
        </w:tc>
        <w:tc>
          <w:tcPr>
            <w:tcW w:w="211"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148,254</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88,001</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88,001</w:t>
            </w:r>
          </w:p>
        </w:tc>
      </w:tr>
      <w:tr>
        <w:trPr/>
        <w:tc>
          <w:tcPr>
            <w:tcW w:w="2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investments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373,372</w:t>
            </w:r>
          </w:p>
        </w:tc>
        <w:tc>
          <w:tcPr>
            <w:tcW w:w="326" w:type="dxa"/>
            <w:tcBorders/>
            <w:vAlign w:val="center"/>
          </w:tcPr>
          <w:p>
            <w:pPr>
              <w:pStyle w:val="TableContents"/>
              <w:bidi w:val="0"/>
              <w:spacing w:before="0" w:after="1"/>
              <w:ind w:left="0" w:right="0" w:hanging="0"/>
              <w:jc w:val="left"/>
              <w:rPr>
                <w:color w:val="FF0000"/>
              </w:rPr>
            </w:pPr>
            <w:r>
              <w:rPr>
                <w:color w:val="FF0000"/>
              </w:rPr>
              <w:t>​</w:t>
            </w:r>
          </w:p>
        </w:tc>
        <w:tc>
          <w:tcPr>
            <w:tcW w:w="33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vAlign w:val="center"/>
          </w:tcPr>
          <w:p>
            <w:pPr>
              <w:pStyle w:val="TableContents"/>
              <w:bidi w:val="0"/>
              <w:spacing w:before="0" w:after="1"/>
              <w:ind w:left="0" w:right="0" w:hanging="0"/>
              <w:jc w:val="left"/>
              <w:rPr>
                <w:color w:val="FF0000"/>
              </w:rPr>
            </w:pPr>
            <w:r>
              <w:rPr>
                <w:color w:val="FF0000"/>
              </w:rPr>
              <w:t>​</w:t>
            </w:r>
          </w:p>
        </w:tc>
        <w:tc>
          <w:tcPr>
            <w:tcW w:w="27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(910)</w:t>
            </w:r>
          </w:p>
        </w:tc>
        <w:tc>
          <w:tcPr>
            <w:tcW w:w="326" w:type="dxa"/>
            <w:tcBorders/>
            <w:vAlign w:val="center"/>
          </w:tcPr>
          <w:p>
            <w:pPr>
              <w:pStyle w:val="TableContents"/>
              <w:bidi w:val="0"/>
              <w:spacing w:before="0" w:after="1"/>
              <w:ind w:left="0" w:right="0" w:hanging="0"/>
              <w:jc w:val="left"/>
              <w:rPr>
                <w:color w:val="FF0000"/>
              </w:rPr>
            </w:pPr>
            <w:r>
              <w:rPr>
                <w:color w:val="FF0000"/>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372,470</w:t>
            </w:r>
          </w:p>
        </w:tc>
      </w:tr>
    </w:tbl>
    <w:p>
      <w:pPr>
        <w:pStyle w:val="TextBody"/>
        <w:bidi w:val="0"/>
        <w:spacing w:before="0" w:after="200"/>
        <w:ind w:left="0" w:right="0" w:hanging="0"/>
        <w:jc w:val="left"/>
        <w:rPr/>
      </w:pPr>
      <w:r>
        <w:rPr/>
        <w: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fair value of cash equivalents and investments as of June 30, 2023 and December 31, 2022 are classified as follows in the Company’s Consolidated Balance Sheets (in thousands):</w:t>
      </w:r>
    </w:p>
    <w:tbl>
      <w:tblPr>
        <w:tblW w:w="4608" w:type="dxa"/>
        <w:jc w:val="left"/>
        <w:tblInd w:w="0" w:type="dxa"/>
        <w:tblLayout w:type="fixed"/>
        <w:tblCellMar>
          <w:top w:w="0" w:type="dxa"/>
          <w:left w:w="0" w:type="dxa"/>
          <w:bottom w:w="0" w:type="dxa"/>
          <w:right w:w="0" w:type="dxa"/>
        </w:tblCellMar>
      </w:tblPr>
      <w:tblGrid>
        <w:gridCol w:w="1996"/>
        <w:gridCol w:w="109"/>
        <w:gridCol w:w="211"/>
        <w:gridCol w:w="781"/>
        <w:gridCol w:w="326"/>
        <w:gridCol w:w="225"/>
        <w:gridCol w:w="960"/>
      </w:tblGrid>
      <w:tr>
        <w:trPr/>
        <w:tc>
          <w:tcPr>
            <w:tcW w:w="19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9215" cy="175260"/>
                      <wp:effectExtent l="0" t="0" r="0" b="0"/>
                      <wp:wrapNone/>
                      <wp:docPr id="129" name="Frame1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7010" cy="175260"/>
                      <wp:effectExtent l="0" t="0" r="0" b="0"/>
                      <wp:wrapNone/>
                      <wp:docPr id="130" name="Frame1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1"/>
              <w:ind w:left="0" w:right="0" w:hanging="0"/>
              <w:jc w:val="left"/>
              <w:rPr/>
            </w:pPr>
            <w:r>
              <w:rPr/>
              <w:t>​</w:t>
            </w:r>
          </w:p>
        </w:tc>
        <w:tc>
          <w:tcPr>
            <w:tcW w:w="960" w:type="dxa"/>
            <w:tcBorders/>
            <w:vAlign w:val="center"/>
          </w:tcPr>
          <w:p>
            <w:pPr>
              <w:pStyle w:val="TableContents"/>
              <w:bidi w:val="0"/>
              <w:spacing w:before="0" w:after="1"/>
              <w:ind w:left="0" w:right="0" w:hanging="0"/>
              <w:jc w:val="left"/>
              <w:rPr/>
            </w:pPr>
            <w:r>
              <w:rPr/>
              <w:t>​</w:t>
            </w:r>
          </w:p>
        </w:tc>
      </w:tr>
      <w:tr>
        <w:trPr/>
        <w:tc>
          <w:tcPr>
            <w:tcW w:w="199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Classified as:</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175,977</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132,356</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109" w:type="dxa"/>
            <w:tcBorders/>
            <w:vAlign w:val="center"/>
          </w:tcPr>
          <w:p>
            <w:pPr>
              <w:pStyle w:val="TableContents"/>
              <w:bidi w:val="0"/>
              <w:spacing w:before="0" w:after="1"/>
              <w:ind w:left="0" w:right="0" w:hanging="0"/>
              <w:jc w:val="right"/>
              <w:rPr>
                <w:color w:val="FF0000"/>
              </w:rPr>
            </w:pPr>
            <w:r>
              <w:rPr>
                <w:color w:val="FF000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20,884</w:t>
            </w:r>
          </w:p>
        </w:tc>
        <w:tc>
          <w:tcPr>
            <w:tcW w:w="32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240,114</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investments</w:t>
            </w:r>
          </w:p>
        </w:tc>
        <w:tc>
          <w:tcPr>
            <w:tcW w:w="109" w:type="dxa"/>
            <w:tcBorders/>
            <w:shd w:fill="CCEEFF" w:val="clear"/>
            <w:vAlign w:val="center"/>
          </w:tcPr>
          <w:p>
            <w:pPr>
              <w:pStyle w:val="TableContents"/>
              <w:bidi w:val="0"/>
              <w:spacing w:before="0" w:after="1"/>
              <w:ind w:left="0" w:right="0" w:hanging="0"/>
              <w:jc w:val="right"/>
              <w:rPr>
                <w:color w:val="FF0000"/>
              </w:rPr>
            </w:pPr>
            <w:r>
              <w:rPr>
                <w:color w:val="FF0000"/>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196,861</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372,470</w:t>
            </w:r>
          </w:p>
        </w:tc>
      </w:tr>
    </w:tbl>
    <w:p>
      <w:pPr>
        <w:pStyle w:val="TextBody"/>
        <w:bidi w:val="0"/>
        <w:spacing w:before="0" w:after="200"/>
        <w:ind w:left="0" w:right="0" w:hanging="0"/>
        <w:jc w:val="left"/>
        <w:rPr/>
      </w:pPr>
      <w:r>
        <w:rPr/>
        <w: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Cash equivalents in the tables above exclude cash demand deposits of $54.0 million and $99.4 million as of June 30, 2023 and December 31, 2022, respectively. </w:t>
      </w:r>
      <w:r>
        <w:rPr>
          <w:rFonts w:ascii="Times New Roman;Times;serif" w:hAnsi="Times New Roman;Times;serif"/>
          <w:sz w:val="20"/>
          <w:shd w:fill="FFFFFF" w:val="clear"/>
        </w:rPr>
        <w:t xml:space="preserve">Unrealized gains and losses are included in Accumulated Other Comprehensive Income (Loss), and as of </w:t>
      </w:r>
      <w:r>
        <w:rPr>
          <w:rFonts w:ascii="Times New Roman;Times;serif" w:hAnsi="Times New Roman;Times;serif"/>
          <w:sz w:val="20"/>
        </w:rPr>
        <w:t xml:space="preserve">June 30, 2023 and December 31, 2022 </w:t>
      </w:r>
      <w:r>
        <w:rPr>
          <w:rFonts w:ascii="Times New Roman;Times;serif" w:hAnsi="Times New Roman;Times;serif"/>
          <w:sz w:val="20"/>
          <w:shd w:fill="FFFFFF" w:val="clear"/>
        </w:rPr>
        <w:t xml:space="preserve">no unrealized losses on available-for-sale securities have resulted from credit risk. All available-for-sale securities held as of </w:t>
      </w:r>
      <w:r>
        <w:rPr>
          <w:rFonts w:ascii="Times New Roman;Times;serif" w:hAnsi="Times New Roman;Times;serif"/>
          <w:sz w:val="20"/>
        </w:rPr>
        <w:t xml:space="preserve">June 30, 2023 and December 31, 2022 </w:t>
      </w:r>
      <w:r>
        <w:rPr>
          <w:rFonts w:ascii="Times New Roman;Times;serif" w:hAnsi="Times New Roman;Times;serif"/>
          <w:sz w:val="20"/>
          <w:shd w:fill="FFFFFF" w:val="clear"/>
        </w:rPr>
        <w:t>had contractual maturities of less than one year. No unrealized losses on available-for-sale securities have been in a continuous unrealized loss position for more than 12 months, as of the periods presented. To date, the Company has not recorded any impairment charges on its marketable securities.</w:t>
      </w:r>
      <w:r>
        <w:rPr>
          <w:rFonts w:ascii="Times New Roman;Times;serif" w:hAnsi="Times New Roman;Times;serif"/>
          <w:sz w:val="20"/>
        </w:rPr>
        <w:t xml:space="preserve"> </w:t>
      </w:r>
    </w:p>
    <w:p>
      <w:pPr>
        <w:pStyle w:val="TextBody"/>
        <w:bidi w:val="0"/>
        <w:spacing w:before="0" w:after="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Recurring Fair Value Measurements</w:t>
      </w:r>
    </w:p>
    <w:p>
      <w:pPr>
        <w:pStyle w:val="TextBody"/>
        <w:bidi w:val="0"/>
        <w:spacing w:before="0" w:after="200"/>
        <w:ind w:left="0" w:right="0" w:firstLine="547"/>
        <w:jc w:val="left"/>
        <w:rPr/>
      </w:pPr>
      <w:r>
        <w:rPr/>
        <w:t>​</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As of June 30, 2023 and December 31, 2022, the fair value of the Company’s financial assets that are measured at fair value on a recurring basis, which consist of cash equivalents and short-term and long-term investments classified as available-for-sale securities, are categorized in the table below based upon the lowest level of significant input to the valuations (in thousands):</w:t>
      </w:r>
    </w:p>
    <w:p>
      <w:pPr>
        <w:pStyle w:val="TextBody"/>
        <w:bidi w:val="0"/>
        <w:spacing w:before="0" w:after="200"/>
        <w:ind w:left="0" w:right="0" w:firstLine="547"/>
        <w:jc w:val="left"/>
        <w:rPr/>
      </w:pPr>
      <w:r>
        <w:rPr/>
        <w:t>​</w:t>
      </w:r>
    </w:p>
    <w:tbl>
      <w:tblPr>
        <w:tblW w:w="6769" w:type="dxa"/>
        <w:jc w:val="left"/>
        <w:tblInd w:w="0" w:type="dxa"/>
        <w:tblLayout w:type="fixed"/>
        <w:tblCellMar>
          <w:top w:w="0" w:type="dxa"/>
          <w:left w:w="0" w:type="dxa"/>
          <w:bottom w:w="0" w:type="dxa"/>
          <w:right w:w="0" w:type="dxa"/>
        </w:tblCellMar>
      </w:tblPr>
      <w:tblGrid>
        <w:gridCol w:w="1951"/>
        <w:gridCol w:w="326"/>
        <w:gridCol w:w="211"/>
        <w:gridCol w:w="781"/>
        <w:gridCol w:w="326"/>
        <w:gridCol w:w="211"/>
        <w:gridCol w:w="571"/>
        <w:gridCol w:w="326"/>
        <w:gridCol w:w="239"/>
        <w:gridCol w:w="392"/>
        <w:gridCol w:w="326"/>
        <w:gridCol w:w="211"/>
        <w:gridCol w:w="898"/>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238885" cy="175260"/>
                      <wp:effectExtent l="0" t="0" r="0" b="0"/>
                      <wp:wrapNone/>
                      <wp:docPr id="131" name="Frame131"/>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32"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33985" cy="175260"/>
                      <wp:effectExtent l="0" t="0" r="0" b="0"/>
                      <wp:wrapNone/>
                      <wp:docPr id="133" name="Frame1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495935" cy="175260"/>
                      <wp:effectExtent l="0" t="0" r="0" b="0"/>
                      <wp:wrapNone/>
                      <wp:docPr id="134" name="Frame13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35" name="Frame1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33985" cy="175260"/>
                      <wp:effectExtent l="0" t="0" r="0" b="0"/>
                      <wp:wrapNone/>
                      <wp:docPr id="136" name="Frame1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362585" cy="175260"/>
                      <wp:effectExtent l="0" t="0" r="0" b="0"/>
                      <wp:wrapNone/>
                      <wp:docPr id="137" name="Frame13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8"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51765" cy="175260"/>
                      <wp:effectExtent l="0" t="0" r="0" b="0"/>
                      <wp:wrapNone/>
                      <wp:docPr id="139" name="Frame139"/>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48920" cy="175260"/>
                      <wp:effectExtent l="0" t="0" r="0" b="0"/>
                      <wp:wrapNone/>
                      <wp:docPr id="140" name="Frame140"/>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07010" cy="175260"/>
                      <wp:effectExtent l="0" t="0" r="0" b="0"/>
                      <wp:wrapNone/>
                      <wp:docPr id="141" name="Frame1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33985" cy="175260"/>
                      <wp:effectExtent l="0" t="0" r="0" b="0"/>
                      <wp:wrapNone/>
                      <wp:docPr id="142" name="Frame1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570230" cy="175260"/>
                      <wp:effectExtent l="0" t="0" r="0" b="0"/>
                      <wp:wrapNone/>
                      <wp:docPr id="143" name="Frame143"/>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492"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 at Fair Value as of June 30, 2023</w:t>
            </w:r>
          </w:p>
        </w:tc>
      </w:tr>
      <w:tr>
        <w:trPr/>
        <w:tc>
          <w:tcPr>
            <w:tcW w:w="19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1"/>
              <w:ind w:left="0" w:right="0" w:hanging="0"/>
              <w:jc w:val="left"/>
              <w:rPr/>
            </w:pPr>
            <w:r>
              <w:rPr/>
              <w:t>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vAlign w:val="center"/>
          </w:tcPr>
          <w:p>
            <w:pPr>
              <w:pStyle w:val="TableContents"/>
              <w:bidi w:val="0"/>
              <w:spacing w:before="0" w:after="1"/>
              <w:ind w:left="0" w:right="0" w:hanging="0"/>
              <w:jc w:val="left"/>
              <w:rPr/>
            </w:pPr>
            <w:r>
              <w:rPr/>
              <w:t>    </w:t>
            </w:r>
          </w:p>
        </w:tc>
        <w:tc>
          <w:tcPr>
            <w:tcW w:w="110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9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15,464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15,464</w:t>
            </w:r>
          </w:p>
        </w:tc>
      </w:tr>
      <w:tr>
        <w:trPr/>
        <w:tc>
          <w:tcPr>
            <w:tcW w:w="19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26" w:type="dxa"/>
            <w:tcBorders/>
            <w:vAlign w:val="center"/>
          </w:tcPr>
          <w:p>
            <w:pPr>
              <w:pStyle w:val="TableContents"/>
              <w:bidi w:val="0"/>
              <w:spacing w:before="0" w:after="1"/>
              <w:ind w:left="0" w:right="0" w:hanging="0"/>
              <w:jc w:val="right"/>
              <w:rPr>
                <w:color w:val="FF0000"/>
              </w:rPr>
            </w:pPr>
            <w:r>
              <w:rPr>
                <w:color w:val="FF0000"/>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5,420</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5,420</w:t>
            </w:r>
          </w:p>
        </w:tc>
      </w:tr>
      <w:tr>
        <w:trPr/>
        <w:tc>
          <w:tcPr>
            <w:tcW w:w="19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shd w:fill="CCEEFF" w:val="clear"/>
            <w:vAlign w:val="center"/>
          </w:tcPr>
          <w:p>
            <w:pPr>
              <w:pStyle w:val="TableContents"/>
              <w:bidi w:val="0"/>
              <w:spacing w:before="0" w:after="1"/>
              <w:ind w:left="0" w:right="0" w:hanging="0"/>
              <w:jc w:val="right"/>
              <w:rPr>
                <w:color w:val="FF0000"/>
              </w:rPr>
            </w:pPr>
            <w:r>
              <w:rPr>
                <w:color w:val="FF000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175,977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175,977</w:t>
            </w:r>
          </w:p>
        </w:tc>
      </w:tr>
      <w:tr>
        <w:trPr/>
        <w:tc>
          <w:tcPr>
            <w:tcW w:w="19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191,441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5,420</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196,861</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left"/>
        <w:rPr/>
      </w:pPr>
      <w:bookmarkStart w:id="1295" w:name="Tc_6XJI9SfG40G5-zUcTNEIQA_8_11"/>
      <w:bookmarkStart w:id="1296" w:name="Tc_6fOyMWpeQ025GoxlBc8Ssg_8_9"/>
      <w:bookmarkStart w:id="1297" w:name="Tc_onyTAT6-AUO7ARrkcLj8ZQ_8_8"/>
      <w:bookmarkStart w:id="1298" w:name="Tc_IhNjB3NCv0KxAq_ZmOPwpQ_8_5"/>
      <w:bookmarkStart w:id="1299" w:name="Tc_9UIw5RreBU2Q1Y9sBQfz0w_8_2"/>
      <w:bookmarkStart w:id="1300" w:name="Tc_XLIRrUK6t0aNiHPGiS1bYQ_8_0"/>
      <w:bookmarkStart w:id="1301" w:name="Tc_zz0lktX5Ik-Q-aY83DTAKQ_7_9"/>
      <w:bookmarkStart w:id="1302" w:name="Tc_LUSKRXM3REOKI_4VR-77Fg_7_6"/>
      <w:bookmarkStart w:id="1303" w:name="Tc_bIrenOS6RUGplOmA_0NNHQ_7_0"/>
      <w:bookmarkStart w:id="1304" w:name="Tc_HAcoReAclk20HoxTYHPbBg_6_9"/>
      <w:bookmarkStart w:id="1305" w:name="Tc_70pl8ymL3k6ZRelG3T757w_6_3"/>
      <w:bookmarkStart w:id="1306" w:name="Tc_g6PY9x20b02iJmh7WvDjxw_6_0"/>
      <w:bookmarkStart w:id="1307" w:name="Tc_dxdZhWp590C5ED1t32G8iA_5_9"/>
      <w:bookmarkStart w:id="1308" w:name="Tc_CVWlehj-hUycPhOSQJ_g9Q_5_3"/>
      <w:bookmarkStart w:id="1309" w:name="Tc_XqUuyrJvA0-vhz8f3not8g_5_0"/>
      <w:bookmarkStart w:id="1310" w:name="Tc_g2FAR3_ZgEqQq7gTL76QTw_4_9"/>
      <w:bookmarkStart w:id="1311" w:name="Tc_UiKOTgLK-0qzS8y5sKBplw_4_3"/>
      <w:bookmarkStart w:id="1312" w:name="Tc_9Dw1unXwiUaVF_edbbMXCA_4_0"/>
      <w:bookmarkStart w:id="1313" w:name="Tc_Bpf2KEYMf0Szc6dCvcin0w_3_11"/>
      <w:bookmarkStart w:id="1314" w:name="Tc_WrFCaBusw0qgltu4AL3fuQ_3_9"/>
      <w:bookmarkStart w:id="1315" w:name="Tc_r8fLsyk-jUGezGy9mReRqQ_3_8"/>
      <w:bookmarkStart w:id="1316" w:name="Tc_XtsHhpnAeUyFPHN4iQiZSw_3_6"/>
      <w:bookmarkStart w:id="1317" w:name="Tc_ON3PFjygT0iwK93yx5LVpg_3_5"/>
      <w:bookmarkStart w:id="1318" w:name="Tc_UJrrJZfhvUOymyJ_3KtmUw_3_2"/>
      <w:bookmarkStart w:id="1319" w:name="Tc_8lKYn3urRUq6kG9XmZ_74w_3_0"/>
      <w:bookmarkStart w:id="1320" w:name="Tc_FckoIIA9kkuckUBXtmRSOA_2_11"/>
      <w:bookmarkStart w:id="1321" w:name="Tc_eIMLNP4TrUKHMTjyzRcoXw_2_8"/>
      <w:bookmarkStart w:id="1322" w:name="Tc_HjAOdcOgK0GCcv_kJ4yV6w_2_5"/>
      <w:bookmarkStart w:id="1323" w:name="Tc_tOhEupr70UyhgDH-mKVHRg_2_2"/>
      <w:bookmarkStart w:id="1324" w:name="Tc_Dlnpqx9c0kKhlBDwQecVRA_1_2"/>
      <w:bookmarkStart w:id="1325" w:name="_110a36d9_7e25_4db0_bfb1_58cd3c1f2723"/>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r>
        <w:rPr/>
        <w:t>​</w:t>
      </w:r>
    </w:p>
    <w:tbl>
      <w:tblPr>
        <w:tblW w:w="7939" w:type="dxa"/>
        <w:jc w:val="left"/>
        <w:tblInd w:w="0" w:type="dxa"/>
        <w:tblLayout w:type="fixed"/>
        <w:tblCellMar>
          <w:top w:w="0" w:type="dxa"/>
          <w:left w:w="0" w:type="dxa"/>
          <w:bottom w:w="0" w:type="dxa"/>
          <w:right w:w="0" w:type="dxa"/>
        </w:tblCellMar>
      </w:tblPr>
      <w:tblGrid>
        <w:gridCol w:w="2911"/>
        <w:gridCol w:w="326"/>
        <w:gridCol w:w="211"/>
        <w:gridCol w:w="781"/>
        <w:gridCol w:w="326"/>
        <w:gridCol w:w="211"/>
        <w:gridCol w:w="781"/>
        <w:gridCol w:w="326"/>
        <w:gridCol w:w="239"/>
        <w:gridCol w:w="392"/>
        <w:gridCol w:w="326"/>
        <w:gridCol w:w="211"/>
        <w:gridCol w:w="898"/>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848485" cy="175260"/>
                      <wp:effectExtent l="0" t="0" r="0" b="0"/>
                      <wp:wrapNone/>
                      <wp:docPr id="144" name="Frame144"/>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45" name="Frame1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33985" cy="175260"/>
                      <wp:effectExtent l="0" t="0" r="0" b="0"/>
                      <wp:wrapNone/>
                      <wp:docPr id="146" name="Frame1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495935" cy="175260"/>
                      <wp:effectExtent l="0" t="0" r="0" b="0"/>
                      <wp:wrapNone/>
                      <wp:docPr id="147" name="Frame14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7010" cy="175260"/>
                      <wp:effectExtent l="0" t="0" r="0" b="0"/>
                      <wp:wrapNone/>
                      <wp:docPr id="148" name="Frame1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33985" cy="175260"/>
                      <wp:effectExtent l="0" t="0" r="0" b="0"/>
                      <wp:wrapNone/>
                      <wp:docPr id="149" name="Frame1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495935" cy="175260"/>
                      <wp:effectExtent l="0" t="0" r="0" b="0"/>
                      <wp:wrapNone/>
                      <wp:docPr id="150" name="Frame15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51" name="Frame1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51765" cy="175260"/>
                      <wp:effectExtent l="0" t="0" r="0" b="0"/>
                      <wp:wrapNone/>
                      <wp:docPr id="152" name="Frame152"/>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48920" cy="175260"/>
                      <wp:effectExtent l="0" t="0" r="0" b="0"/>
                      <wp:wrapNone/>
                      <wp:docPr id="153" name="Frame153"/>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4" name="Frame1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33985" cy="175260"/>
                      <wp:effectExtent l="0" t="0" r="0" b="0"/>
                      <wp:wrapNone/>
                      <wp:docPr id="155" name="Frame1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570230" cy="175260"/>
                      <wp:effectExtent l="0" t="0" r="0" b="0"/>
                      <wp:wrapNone/>
                      <wp:docPr id="156" name="Frame156"/>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702"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 at Fair Value as of December 31, 2022</w:t>
            </w:r>
          </w:p>
        </w:tc>
      </w:tr>
      <w:tr>
        <w:trPr/>
        <w:tc>
          <w:tcPr>
            <w:tcW w:w="29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1"/>
              <w:ind w:left="0" w:right="0" w:hanging="0"/>
              <w:jc w:val="left"/>
              <w:rPr/>
            </w:pPr>
            <w:r>
              <w:rPr/>
              <w:t>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vAlign w:val="center"/>
          </w:tcPr>
          <w:p>
            <w:pPr>
              <w:pStyle w:val="TableContents"/>
              <w:bidi w:val="0"/>
              <w:spacing w:before="0" w:after="1"/>
              <w:ind w:left="0" w:right="0" w:hanging="0"/>
              <w:jc w:val="left"/>
              <w:rPr/>
            </w:pPr>
            <w:r>
              <w:rPr/>
              <w:t>    </w:t>
            </w:r>
          </w:p>
        </w:tc>
        <w:tc>
          <w:tcPr>
            <w:tcW w:w="110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117,720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117,720</w:t>
            </w:r>
          </w:p>
        </w:tc>
      </w:tr>
      <w:tr>
        <w:trPr/>
        <w:tc>
          <w:tcPr>
            <w:tcW w:w="2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government agency securities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11,265</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39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11,265</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7,230</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7,230</w:t>
            </w:r>
          </w:p>
        </w:tc>
      </w:tr>
      <w:tr>
        <w:trPr/>
        <w:tc>
          <w:tcPr>
            <w:tcW w:w="2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148,254</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148,254</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shd w:fill="CCEEFF" w:val="clear"/>
            <w:vAlign w:val="center"/>
          </w:tcPr>
          <w:p>
            <w:pPr>
              <w:pStyle w:val="TableContents"/>
              <w:bidi w:val="0"/>
              <w:spacing w:before="0" w:after="1"/>
              <w:ind w:left="0" w:right="0" w:hanging="0"/>
              <w:jc w:val="right"/>
              <w:rPr>
                <w:color w:val="FF0000"/>
              </w:rPr>
            </w:pPr>
            <w:r>
              <w:rPr>
                <w:color w:val="FF000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88,001</w:t>
            </w:r>
          </w:p>
        </w:tc>
        <w:tc>
          <w:tcPr>
            <w:tcW w:w="326"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88,001</w:t>
            </w:r>
          </w:p>
        </w:tc>
      </w:tr>
      <w:tr>
        <w:trPr/>
        <w:tc>
          <w:tcPr>
            <w:tcW w:w="2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205,721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166,749</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372,470</w:t>
            </w:r>
          </w:p>
        </w:tc>
      </w:tr>
    </w:tbl>
    <w:p>
      <w:pPr>
        <w:pStyle w:val="TextBody"/>
        <w:bidi w:val="0"/>
        <w:spacing w:before="0" w:after="200"/>
        <w:ind w:left="0" w:right="0" w:firstLine="547"/>
        <w:jc w:val="left"/>
        <w:rPr/>
      </w:pPr>
      <w:r>
        <w:rPr/>
        <w: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Level 2 assets consist of commercial paper and government agency securities. Level 2 inputs for the valuations are limited to quoted prices for similar assets or liabilities in active markets and inputs other than quoted prices that are observable for the asset.</w:t>
      </w:r>
    </w:p>
    <w:p>
      <w:pPr>
        <w:pStyle w:val="TextBody"/>
        <w:bidi w:val="0"/>
        <w:spacing w:before="0" w:after="200"/>
        <w:ind w:left="0" w:right="0" w:firstLine="547"/>
        <w:jc w:val="left"/>
        <w:rPr/>
      </w:pPr>
      <w:r>
        <w:rPr/>
        <w:t>​</w:t>
      </w:r>
    </w:p>
    <w:p>
      <w:pPr>
        <w:pStyle w:val="TextBody"/>
        <w:bidi w:val="0"/>
        <w:spacing w:before="0" w:after="200"/>
        <w:ind w:left="0" w:right="0" w:hanging="0"/>
        <w:jc w:val="left"/>
        <w:rPr>
          <w:rFonts w:ascii="Times New Roman;Times;serif" w:hAnsi="Times New Roman;Times;serif"/>
          <w:sz w:val="20"/>
        </w:rPr>
      </w:pPr>
      <w:bookmarkStart w:id="1326" w:name="Tc_KdezJ9IF2E-EmDeuTC9d1w_7_2"/>
      <w:bookmarkStart w:id="1327" w:name="Tc_bMphFnh5j0SXPzGZpRHUSw_7_0"/>
      <w:bookmarkStart w:id="1328" w:name="Tc_n-soKqeJbUCCSeiqYHASKw_6_0"/>
      <w:bookmarkStart w:id="1329" w:name="Tc_OTAbUkrh7EKkx7R-ReEz7Q_5_0"/>
      <w:bookmarkStart w:id="1330" w:name="Tc_vHt0r4Q15EuMVLu4JLMj2A_4_0"/>
      <w:bookmarkStart w:id="1331" w:name="Tc_q7zfEfIPNUCXJO9qZuDMuA_3_0"/>
      <w:bookmarkStart w:id="1332" w:name="Tc_sdY_fboeNk6udEzTxgvQ0g_2_2"/>
      <w:bookmarkStart w:id="1333" w:name="Tc_usFR9jikfEGbqlCwzXuesg_2_0"/>
      <w:bookmarkStart w:id="1334" w:name="Tc_8iVEIqt9iUWDWKbkVTVdrQ_1_3"/>
      <w:bookmarkStart w:id="1335" w:name="_ce180fd6_613c_4245_b8e1_22be17c388f9"/>
      <w:bookmarkEnd w:id="1326"/>
      <w:bookmarkEnd w:id="1327"/>
      <w:bookmarkEnd w:id="1328"/>
      <w:bookmarkEnd w:id="1329"/>
      <w:bookmarkEnd w:id="1330"/>
      <w:bookmarkEnd w:id="1331"/>
      <w:bookmarkEnd w:id="1332"/>
      <w:bookmarkEnd w:id="1333"/>
      <w:bookmarkEnd w:id="1334"/>
      <w:bookmarkEnd w:id="1335"/>
      <w:r>
        <w:rPr>
          <w:rFonts w:ascii="Times New Roman;Times;serif" w:hAnsi="Times New Roman;Times;serif"/>
          <w:b/>
          <w:sz w:val="20"/>
        </w:rPr>
        <w:t>NOTE 4. PROLEUKIN</w:t>
      </w:r>
      <w:r>
        <w:rPr>
          <w:rFonts w:ascii="Times New Roman;Times;serif" w:hAnsi="Times New Roman;Times;serif"/>
          <w:sz w:val="20"/>
        </w:rPr>
        <w:t xml:space="preserve">® </w:t>
      </w:r>
      <w:r>
        <w:rPr>
          <w:rFonts w:ascii="Times New Roman;Times;serif" w:hAnsi="Times New Roman;Times;serif"/>
          <w:b/>
          <w:sz w:val="20"/>
        </w:rPr>
        <w:t>ACQUISITION</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On January 23, 2023, the Company and its newly formed, wholly owned subsidiary, Iovance Biotherapeutics UK Ltd (the “Purchaser”) entered into an Option Agreement (the “Option Agreement”) with Clinigen Holdings Limited, Clinigen Healthcare Limited, and Clinigen, Inc. (collectively “Clinigen”), a global pharmaceutical services company, pursuant to which the Purchaser would acquire the worldwide rights for the manufacturing, supply, commercialization and sale of Proleukin® (aldesleukin) (the “Acquisition”).</w:t>
      </w:r>
    </w:p>
    <w:p>
      <w:pPr>
        <w:pStyle w:val="TextBody"/>
        <w:bidi w:val="0"/>
        <w:spacing w:before="0" w:after="0"/>
        <w:ind w:left="0" w:right="0" w:firstLine="408"/>
        <w:jc w:val="left"/>
        <w:rPr/>
      </w:pPr>
      <w:r>
        <w:rPr/>
        <w:t>​</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On May 18, 2023, the Company completed the Acquisition and specifically acquired (i) all issued and outstanding shares of Clinigen SP Limited (the “Target”), (ii) the business of the Target and Clinigen (the “Proleukin® Business”) comprising the manufacturing, supply, commercialization and the generation of income from the Product rights and the undertaking of an active role in the development, maintenance and exploitation of those rights, and (iii) certain specified assets identified in the Option Agreement. Pursuant to the Option Agreement, the Company paid to Clinigen (i) an upfront payment of £166.9 million (or approximately $207.2 million), including the applicable stamp-tax payment, and (ii) a payment for certain inventory of £2.4 million (or approximately $3.0 million) using existing cash on hand. The Option Agreement includes potential future contingent payments, as discussed below. </w:t>
      </w:r>
    </w:p>
    <w:p>
      <w:pPr>
        <w:pStyle w:val="TextBody"/>
        <w:bidi w:val="0"/>
        <w:spacing w:before="0" w:after="0"/>
        <w:ind w:left="0" w:right="0" w:firstLine="408"/>
        <w:jc w:val="left"/>
        <w:rPr/>
      </w:pPr>
      <w:r>
        <w:rPr/>
        <w:t>​</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The Acquisition was accounted for as an asset acquisition because substantially all of the fair value of the acquired assets was concentrated in the acquired developed technology related to the intellectual property rights of Proleukin® and therefore the Acquisition does not meet the definition of a business in accordance with ASC 805. The Proleukin® Business operations have been included in the Company’s Condensed Consolidated Financial Statements commencing from the acquisition date. </w:t>
      </w:r>
    </w:p>
    <w:p>
      <w:pPr>
        <w:pStyle w:val="TextBody"/>
        <w:bidi w:val="0"/>
        <w:spacing w:before="0" w:after="0"/>
        <w:ind w:left="0" w:right="0" w:firstLine="408"/>
        <w:jc w:val="left"/>
        <w:rPr/>
      </w:pPr>
      <w:r>
        <w:rPr/>
        <w:t>​</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The following table summarizes the total cash consideration and allocated acquisition date fair values of assets acquired and liabilities assumed (in thousands):</w:t>
      </w:r>
    </w:p>
    <w:p>
      <w:pPr>
        <w:pStyle w:val="TextBody"/>
        <w:bidi w:val="0"/>
        <w:spacing w:before="0" w:after="0"/>
        <w:ind w:left="0" w:right="0" w:firstLine="408"/>
        <w:jc w:val="left"/>
        <w:rPr/>
      </w:pPr>
      <w:r>
        <w:rPr/>
        <w:t>​</w:t>
      </w:r>
    </w:p>
    <w:tbl>
      <w:tblPr>
        <w:tblW w:w="3394" w:type="dxa"/>
        <w:jc w:val="left"/>
        <w:tblInd w:w="0" w:type="dxa"/>
        <w:tblLayout w:type="fixed"/>
        <w:tblCellMar>
          <w:top w:w="0" w:type="dxa"/>
          <w:left w:w="0" w:type="dxa"/>
          <w:bottom w:w="0" w:type="dxa"/>
          <w:right w:w="0" w:type="dxa"/>
        </w:tblCellMar>
      </w:tblPr>
      <w:tblGrid>
        <w:gridCol w:w="2191"/>
        <w:gridCol w:w="109"/>
        <w:gridCol w:w="196"/>
        <w:gridCol w:w="898"/>
      </w:tblGrid>
      <w:tr>
        <w:trPr/>
        <w:tc>
          <w:tcPr>
            <w:tcW w:w="2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391285" cy="175260"/>
                      <wp:effectExtent l="0" t="0" r="0" b="0"/>
                      <wp:wrapNone/>
                      <wp:docPr id="157" name="Frame157"/>
                      <a:graphic xmlns:a="http://schemas.openxmlformats.org/drawingml/2006/main">
                        <a:graphicData uri="http://schemas.microsoft.com/office/word/2010/wordprocessingShape">
                          <wps:wsp>
                            <wps:cNvSpPr txBox="1"/>
                            <wps:spPr>
                              <a:xfrm>
                                <a:off x="0" y="0"/>
                                <a:ext cx="139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9215" cy="175260"/>
                      <wp:effectExtent l="0" t="0" r="0" b="0"/>
                      <wp:wrapNone/>
                      <wp:docPr id="158" name="Frame1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24460" cy="175260"/>
                      <wp:effectExtent l="0" t="0" r="0" b="0"/>
                      <wp:wrapNone/>
                      <wp:docPr id="159" name="Frame15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570230" cy="175260"/>
                      <wp:effectExtent l="0" t="0" r="0" b="0"/>
                      <wp:wrapNone/>
                      <wp:docPr id="160" name="Frame160"/>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Amounts</w:t>
            </w:r>
          </w:p>
        </w:tc>
      </w:tr>
      <w:tr>
        <w:trPr/>
        <w:tc>
          <w:tcPr>
            <w:tcW w:w="219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Cash</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219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Inventory</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9,688</w:t>
            </w:r>
          </w:p>
        </w:tc>
      </w:tr>
      <w:tr>
        <w:trPr/>
        <w:tc>
          <w:tcPr>
            <w:tcW w:w="219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Developed technology</w:t>
            </w:r>
          </w:p>
        </w:tc>
        <w:tc>
          <w:tcPr>
            <w:tcW w:w="109"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232,665</w:t>
            </w:r>
          </w:p>
        </w:tc>
      </w:tr>
      <w:tr>
        <w:trPr/>
        <w:tc>
          <w:tcPr>
            <w:tcW w:w="219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Assembled workforce</w:t>
            </w:r>
          </w:p>
        </w:tc>
        <w:tc>
          <w:tcPr>
            <w:tcW w:w="109"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w:t>
            </w:r>
          </w:p>
        </w:tc>
      </w:tr>
      <w:tr>
        <w:trPr/>
        <w:tc>
          <w:tcPr>
            <w:tcW w:w="2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liability</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(20,352)</w:t>
            </w:r>
          </w:p>
        </w:tc>
      </w:tr>
      <w:tr>
        <w:trPr/>
        <w:tc>
          <w:tcPr>
            <w:tcW w:w="2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 of Acquisition</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898"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222,672</w:t>
            </w:r>
          </w:p>
        </w:tc>
      </w:tr>
    </w:tbl>
    <w:p>
      <w:pPr>
        <w:pStyle w:val="TextBody"/>
        <w:bidi w:val="0"/>
        <w:spacing w:before="0" w:after="0"/>
        <w:ind w:left="0" w:right="0" w:hanging="0"/>
        <w:jc w:val="left"/>
        <w:rPr/>
      </w:pPr>
      <w:r>
        <w:rPr/>
        <w:t>​</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The $222.7 million of total cost of the Acquisition consisted of (i) a $210.2 million of cash payment to Clinigen and (ii) $12.5 million of direct transaction costs incurred by the Company. The Option Agreement additionally provides for contingent cash payments consisting of (i) a milestone payment of £41.7 million, or approximately $50.0 million, upon first approval of lifileucel in advanced melanoma, (ii) deferred consideration based on double digit rates on global net sales (as defined in the Option Agreement) payable from the Company to the sellers following the completion of the Acquisition over a deferred consideration term of twelve years, and (iii) after the deferred consideration term, earnout payments payable from the Company to sellers following the completion of the transaction if deferred consideration payments are equal or greater than the deferred consideration amount provided for in the Option Agreement. These contingent payments were determined to be within the scope of ASC 450 and will be recognized when they are both probable and estimable. The recognition criteria have not been met as of the acquisition date or as of June 30, 2023.</w:t>
      </w:r>
    </w:p>
    <w:p>
      <w:pPr>
        <w:pStyle w:val="TextBody"/>
        <w:bidi w:val="0"/>
        <w:spacing w:before="0" w:after="0"/>
        <w:ind w:left="0" w:right="0" w:firstLine="408"/>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The net assets acquired in the Acquisition were recorded by allocating the total cost of the Acquisition to the assets acquired on a relative fair value basis based on their estimated fair values as of May 18, 2023, which is the date that the Acquisition was completed. </w:t>
      </w:r>
    </w:p>
    <w:p>
      <w:pPr>
        <w:pStyle w:val="TextBody"/>
        <w:bidi w:val="0"/>
        <w:spacing w:before="0" w:after="0"/>
        <w:ind w:left="0" w:right="0" w:firstLine="408"/>
        <w:jc w:val="left"/>
        <w:rPr/>
      </w:pPr>
      <w:r>
        <w:rPr/>
        <w:t>​</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The fair value of the developed technology was estimated using a multi-period excess earnings income approach that discounts expected cash flows to present value by applying a discount rate that represents the estimated rate that market participants would use to value the intangible assets. The fair value of the developed technology is being amortized over an expected useful life of 15 years and is recorded as Cost of Sales in the Company’s Condensed Consolidated Statement of Operations. </w:t>
      </w:r>
    </w:p>
    <w:p>
      <w:pPr>
        <w:pStyle w:val="TextBody"/>
        <w:bidi w:val="0"/>
        <w:spacing w:before="0" w:after="0"/>
        <w:ind w:left="0" w:right="0" w:firstLine="408"/>
        <w:jc w:val="left"/>
        <w:rPr/>
      </w:pPr>
      <w:r>
        <w:rPr/>
        <w:t>​</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The fair value of the assembled workforce was estimated using a replacement cost less depreciation method. The fair value of the assembled workforce is being amortized over an expected useful life of 3 years and is recorded as Selling, General and Administrative expense in the Company’s Condensed Consolidated Statement of Operations. </w:t>
      </w:r>
    </w:p>
    <w:p>
      <w:pPr>
        <w:pStyle w:val="TextBody"/>
        <w:bidi w:val="0"/>
        <w:spacing w:before="0" w:after="0"/>
        <w:ind w:left="0" w:right="0" w:firstLine="408"/>
        <w:jc w:val="left"/>
        <w:rPr/>
      </w:pPr>
      <w:r>
        <w:rPr/>
        <w:t>​</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The fair value of the acquired inventory was determined using the comparative sales method of the market approach, which uses historical and expected average selling prices of inventory as the base amount to which adjustment for costs to complete for work-in-process, cost of disposal and reasonable profit allowance are applied. The inventory fair value adjustment is being amortized as cost of sales as the acquired inventories are sold. </w:t>
      </w:r>
    </w:p>
    <w:p>
      <w:pPr>
        <w:pStyle w:val="TextBody"/>
        <w:bidi w:val="0"/>
        <w:spacing w:before="0" w:after="0"/>
        <w:ind w:left="0" w:right="0" w:firstLine="408"/>
        <w:jc w:val="left"/>
        <w:rPr/>
      </w:pPr>
      <w:r>
        <w:rPr/>
        <w:t>​</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A deferred tax liability was recognized on the temporary differences related to the book and tax basis of the acquired intangible assets. The deferred tax liability and resulting adjustment to the carrying amount of the acquired intangibles was calculated using the simultaneous equations method under ASC 740. The tax rate used is based on the estimated statutory rates in the United Kingdom as this is where the intangible assets are domiciled.</w:t>
      </w:r>
    </w:p>
    <w:p>
      <w:pPr>
        <w:pStyle w:val="TextBody"/>
        <w:bidi w:val="0"/>
        <w:spacing w:before="0" w:after="0"/>
        <w:ind w:left="0" w:right="0" w:firstLine="408"/>
        <w:jc w:val="left"/>
        <w:rPr/>
      </w:pPr>
      <w:r>
        <w:rPr/>
        <w:t>​</w:t>
      </w:r>
    </w:p>
    <w:p>
      <w:pPr>
        <w:pStyle w:val="TextBody"/>
        <w:bidi w:val="0"/>
        <w:spacing w:before="0" w:after="0"/>
        <w:ind w:left="0" w:right="0" w:firstLine="408"/>
        <w:jc w:val="left"/>
        <w:rPr/>
      </w:pPr>
      <w:r>
        <w:rPr/>
        <w:t>​</w:t>
      </w:r>
    </w:p>
    <w:p>
      <w:pPr>
        <w:pStyle w:val="TextBody"/>
        <w:bidi w:val="0"/>
        <w:spacing w:before="0" w:after="200"/>
        <w:ind w:left="0" w:right="0" w:hanging="0"/>
        <w:jc w:val="left"/>
        <w:rPr>
          <w:rFonts w:ascii="Times New Roman;Times;serif" w:hAnsi="Times New Roman;Times;serif"/>
          <w:b/>
          <w:sz w:val="20"/>
        </w:rPr>
      </w:pPr>
      <w:bookmarkStart w:id="1336" w:name="Tc_Gp2g2XTwcEej3j-g5pWxHA_7_0"/>
      <w:bookmarkStart w:id="1337" w:name="Tc_bsYYTOCmWEq3D5gY9Ub2kw_6_6"/>
      <w:bookmarkStart w:id="1338" w:name="Tc_k2WVWG7RVkuqAVFsQKrb1Q_6_4"/>
      <w:bookmarkStart w:id="1339" w:name="Tc_YSkIvQ2coEedpCcYdlTdSA_6_2"/>
      <w:bookmarkStart w:id="1340" w:name="Tc_NDMXX50iUU61rLg7dq7rng_6_0"/>
      <w:bookmarkStart w:id="1341" w:name="Tc_PQ2mSvPwxEKGmqVW2EpEXA_5_0"/>
      <w:bookmarkStart w:id="1342" w:name="Tc_G2kv3xU5ZkeMQuEE-bFFAw_4_6"/>
      <w:bookmarkStart w:id="1343" w:name="Tc_VHabhmrflES9DPYGObcBXw_4_4"/>
      <w:bookmarkStart w:id="1344" w:name="Tc_sDj4R9JHIEyVls4ta9flow_4_2"/>
      <w:bookmarkStart w:id="1345" w:name="Tc_gxoUPbN660-jAxn8S4bf6A_4_0"/>
      <w:bookmarkStart w:id="1346" w:name="Tc_XQxuRyc-wkOWTPAASRkhSQ_3_0"/>
      <w:bookmarkStart w:id="1347" w:name="Tc_WkPfigMGn0mnF-pbQBEJDA_2_6"/>
      <w:bookmarkStart w:id="1348" w:name="Tc_a1ZhIMwo90yPunwx-IgsBw_2_4"/>
      <w:bookmarkStart w:id="1349" w:name="Tc_i-Q_FMB400iqmH8kJF7z2Q_2_2"/>
      <w:bookmarkStart w:id="1350" w:name="Tc_bE-MTBx5YUSngoKqSScGNg_1_2"/>
      <w:bookmarkStart w:id="1351" w:name="_9f854c6b_5a1f_43d0_ba2e_70484d17778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r>
        <w:rPr>
          <w:rFonts w:ascii="Times New Roman;Times;serif" w:hAnsi="Times New Roman;Times;serif"/>
          <w:b/>
          <w:sz w:val="20"/>
        </w:rPr>
        <w:t>NOTE 5. INTANGIBLE ASSETS, NET</w:t>
      </w:r>
    </w:p>
    <w:p>
      <w:pPr>
        <w:pStyle w:val="TextBody"/>
        <w:bidi w:val="0"/>
        <w:spacing w:before="0" w:after="0"/>
        <w:ind w:left="0" w:right="0" w:firstLine="547"/>
        <w:jc w:val="left"/>
        <w:rPr>
          <w:rFonts w:ascii="Times New Roman;Times;serif" w:hAnsi="Times New Roman;Times;serif"/>
          <w:sz w:val="20"/>
          <w:shd w:fill="FFFFFF" w:val="clear"/>
        </w:rPr>
      </w:pPr>
      <w:r>
        <w:rPr>
          <w:rFonts w:ascii="Times New Roman;Times;serif" w:hAnsi="Times New Roman;Times;serif"/>
          <w:sz w:val="20"/>
          <w:shd w:fill="FFFFFF" w:val="clear"/>
        </w:rPr>
        <w:t>The gross carrying amounts and net book value of intangible assets as of June 30, 2023 are as follows (in thousands):</w:t>
      </w:r>
    </w:p>
    <w:p>
      <w:pPr>
        <w:pStyle w:val="TextBody"/>
        <w:bidi w:val="0"/>
        <w:spacing w:before="0" w:after="0"/>
        <w:ind w:left="0" w:right="0" w:firstLine="408"/>
        <w:jc w:val="left"/>
        <w:rPr>
          <w:shd w:fill="FFFFFF" w:val="clear"/>
        </w:rPr>
      </w:pPr>
      <w:r>
        <w:rPr>
          <w:shd w:fill="FFFFFF" w:val="clear"/>
        </w:rPr>
        <w:t>​</w:t>
      </w:r>
    </w:p>
    <w:tbl>
      <w:tblPr>
        <w:tblW w:w="10205" w:type="dxa"/>
        <w:jc w:val="left"/>
        <w:tblInd w:w="0" w:type="dxa"/>
        <w:tblLayout w:type="fixed"/>
        <w:tblCellMar>
          <w:top w:w="0" w:type="dxa"/>
          <w:left w:w="0" w:type="dxa"/>
          <w:bottom w:w="0" w:type="dxa"/>
          <w:right w:w="0" w:type="dxa"/>
        </w:tblCellMar>
      </w:tblPr>
      <w:tblGrid>
        <w:gridCol w:w="5058"/>
        <w:gridCol w:w="109"/>
        <w:gridCol w:w="336"/>
        <w:gridCol w:w="1342"/>
        <w:gridCol w:w="435"/>
        <w:gridCol w:w="1402"/>
        <w:gridCol w:w="291"/>
        <w:gridCol w:w="1232"/>
      </w:tblGrid>
      <w:tr>
        <w:trPr/>
        <w:tc>
          <w:tcPr>
            <w:tcW w:w="50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3211830" cy="175260"/>
                      <wp:effectExtent l="0" t="0" r="0" b="0"/>
                      <wp:wrapNone/>
                      <wp:docPr id="161" name="Frame161"/>
                      <a:graphic xmlns:a="http://schemas.openxmlformats.org/drawingml/2006/main">
                        <a:graphicData uri="http://schemas.microsoft.com/office/word/2010/wordprocessingShape">
                          <wps:wsp>
                            <wps:cNvSpPr txBox="1"/>
                            <wps:spPr>
                              <a:xfrm>
                                <a:off x="0" y="0"/>
                                <a:ext cx="3211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9215" cy="175260"/>
                      <wp:effectExtent l="0" t="0" r="0" b="0"/>
                      <wp:wrapNone/>
                      <wp:docPr id="162" name="Frame1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3360" cy="175260"/>
                      <wp:effectExtent l="0" t="0" r="0" b="0"/>
                      <wp:wrapNone/>
                      <wp:docPr id="163" name="Frame163"/>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852170" cy="175260"/>
                      <wp:effectExtent l="0" t="0" r="0" b="0"/>
                      <wp:wrapNone/>
                      <wp:docPr id="164" name="Frame164"/>
                      <a:graphic xmlns:a="http://schemas.openxmlformats.org/drawingml/2006/main">
                        <a:graphicData uri="http://schemas.microsoft.com/office/word/2010/wordprocessingShape">
                          <wps:wsp>
                            <wps:cNvSpPr txBox="1"/>
                            <wps:spPr>
                              <a:xfrm>
                                <a:off x="0" y="0"/>
                                <a:ext cx="852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76225" cy="175260"/>
                      <wp:effectExtent l="0" t="0" r="0" b="0"/>
                      <wp:wrapNone/>
                      <wp:docPr id="165" name="Frame165"/>
                      <a:graphic xmlns:a="http://schemas.openxmlformats.org/drawingml/2006/main">
                        <a:graphicData uri="http://schemas.microsoft.com/office/word/2010/wordprocessingShape">
                          <wps:wsp>
                            <wps:cNvSpPr txBox="1"/>
                            <wps:spPr>
                              <a:xfrm>
                                <a:off x="0" y="0"/>
                                <a:ext cx="276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890270" cy="175260"/>
                      <wp:effectExtent l="0" t="0" r="0" b="0"/>
                      <wp:wrapNone/>
                      <wp:docPr id="166" name="Frame166"/>
                      <a:graphic xmlns:a="http://schemas.openxmlformats.org/drawingml/2006/main">
                        <a:graphicData uri="http://schemas.microsoft.com/office/word/2010/wordprocessingShape">
                          <wps:wsp>
                            <wps:cNvSpPr txBox="1"/>
                            <wps:spPr>
                              <a:xfrm>
                                <a:off x="0" y="0"/>
                                <a:ext cx="890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84785" cy="175260"/>
                      <wp:effectExtent l="0" t="0" r="0" b="0"/>
                      <wp:wrapNone/>
                      <wp:docPr id="167" name="Frame167"/>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782320" cy="175260"/>
                      <wp:effectExtent l="0" t="0" r="0" b="0"/>
                      <wp:wrapNone/>
                      <wp:docPr id="168" name="Frame168"/>
                      <a:graphic xmlns:a="http://schemas.openxmlformats.org/drawingml/2006/main">
                        <a:graphicData uri="http://schemas.microsoft.com/office/word/2010/wordprocessingShape">
                          <wps:wsp>
                            <wps:cNvSpPr txBox="1"/>
                            <wps:spPr>
                              <a:xfrm>
                                <a:off x="0" y="0"/>
                                <a:ext cx="782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5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03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2023</w:t>
            </w:r>
          </w:p>
        </w:tc>
      </w:tr>
      <w:tr>
        <w:trPr/>
        <w:tc>
          <w:tcPr>
            <w:tcW w:w="505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carrying amounts</w:t>
            </w:r>
          </w:p>
        </w:tc>
        <w:tc>
          <w:tcPr>
            <w:tcW w:w="18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amortization</w:t>
            </w:r>
          </w:p>
        </w:tc>
        <w:tc>
          <w:tcPr>
            <w:tcW w:w="15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Intangible assets, net</w:t>
            </w:r>
          </w:p>
        </w:tc>
      </w:tr>
      <w:tr>
        <w:trPr/>
        <w:tc>
          <w:tcPr>
            <w:tcW w:w="5058"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Intangible assets:</w:t>
            </w:r>
          </w:p>
        </w:tc>
        <w:tc>
          <w:tcPr>
            <w:tcW w:w="109" w:type="dxa"/>
            <w:tcBorders/>
            <w:shd w:fill="CCEEFF" w:val="clear"/>
            <w:vAlign w:val="center"/>
          </w:tcPr>
          <w:p>
            <w:pPr>
              <w:pStyle w:val="TableContents"/>
              <w:bidi w:val="0"/>
              <w:spacing w:before="0" w:after="0"/>
              <w:ind w:left="0" w:right="0" w:hanging="0"/>
              <w:jc w:val="both"/>
              <w:rPr/>
            </w:pPr>
            <w:r>
              <w:rPr/>
              <w:t>​</w:t>
            </w:r>
          </w:p>
        </w:tc>
        <w:tc>
          <w:tcPr>
            <w:tcW w:w="336" w:type="dxa"/>
            <w:tcBorders/>
            <w:shd w:fill="CCEEFF" w:val="clear"/>
            <w:vAlign w:val="center"/>
          </w:tcPr>
          <w:p>
            <w:pPr>
              <w:pStyle w:val="TableContents"/>
              <w:bidi w:val="0"/>
              <w:spacing w:before="0" w:after="0"/>
              <w:ind w:left="0" w:right="0" w:hanging="0"/>
              <w:jc w:val="left"/>
              <w:rPr/>
            </w:pPr>
            <w:r>
              <w:rPr/>
              <w:t>​</w:t>
            </w:r>
          </w:p>
        </w:tc>
        <w:tc>
          <w:tcPr>
            <w:tcW w:w="1342"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left"/>
              <w:rPr/>
            </w:pPr>
            <w:r>
              <w:rPr/>
              <w:t>​</w:t>
            </w:r>
          </w:p>
        </w:tc>
        <w:tc>
          <w:tcPr>
            <w:tcW w:w="1402"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1232" w:type="dxa"/>
            <w:tcBorders/>
            <w:shd w:fill="CCEEFF" w:val="clear"/>
            <w:vAlign w:val="center"/>
          </w:tcPr>
          <w:p>
            <w:pPr>
              <w:pStyle w:val="TableContents"/>
              <w:bidi w:val="0"/>
              <w:spacing w:before="0" w:after="0"/>
              <w:ind w:left="0" w:right="0" w:hanging="0"/>
              <w:jc w:val="left"/>
              <w:rPr/>
            </w:pPr>
            <w:r>
              <w:rPr/>
              <w:t>​</w:t>
            </w:r>
          </w:p>
        </w:tc>
      </w:tr>
      <w:tr>
        <w:trPr/>
        <w:tc>
          <w:tcPr>
            <w:tcW w:w="50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109" w:type="dxa"/>
            <w:tcBorders/>
            <w:vAlign w:val="center"/>
          </w:tcPr>
          <w:p>
            <w:pPr>
              <w:pStyle w:val="TableContents"/>
              <w:bidi w:val="0"/>
              <w:spacing w:before="0" w:after="0"/>
              <w:ind w:left="0" w:right="0" w:hanging="0"/>
              <w:jc w:val="both"/>
              <w:rPr/>
            </w:pPr>
            <w:r>
              <w:rPr/>
              <w:t>​</w:t>
            </w:r>
          </w:p>
        </w:tc>
        <w:tc>
          <w:tcPr>
            <w:tcW w:w="33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w:t>
            </w:r>
          </w:p>
        </w:tc>
        <w:tc>
          <w:tcPr>
            <w:tcW w:w="13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236,793</w:t>
            </w:r>
          </w:p>
        </w:tc>
        <w:tc>
          <w:tcPr>
            <w:tcW w:w="435"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w:t>
            </w:r>
          </w:p>
        </w:tc>
        <w:tc>
          <w:tcPr>
            <w:tcW w:w="14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(1,903)</w:t>
            </w:r>
          </w:p>
        </w:tc>
        <w:tc>
          <w:tcPr>
            <w:tcW w:w="29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w:t>
            </w:r>
          </w:p>
        </w:tc>
        <w:tc>
          <w:tcPr>
            <w:tcW w:w="12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234,890</w:t>
            </w:r>
          </w:p>
        </w:tc>
      </w:tr>
      <w:tr>
        <w:trPr/>
        <w:tc>
          <w:tcPr>
            <w:tcW w:w="50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Assembled workforce</w:t>
            </w:r>
          </w:p>
        </w:tc>
        <w:tc>
          <w:tcPr>
            <w:tcW w:w="109" w:type="dxa"/>
            <w:tcBorders/>
            <w:shd w:fill="CCEEFF" w:val="clear"/>
            <w:vAlign w:val="center"/>
          </w:tcPr>
          <w:p>
            <w:pPr>
              <w:pStyle w:val="TableContents"/>
              <w:bidi w:val="0"/>
              <w:spacing w:before="0" w:after="0"/>
              <w:ind w:left="0" w:right="0" w:hanging="0"/>
              <w:jc w:val="both"/>
              <w:rPr/>
            </w:pPr>
            <w:r>
              <w:rPr/>
              <w:t>​</w:t>
            </w:r>
          </w:p>
        </w:tc>
        <w:tc>
          <w:tcPr>
            <w:tcW w:w="3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3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w:t>
            </w:r>
          </w:p>
        </w:tc>
        <w:tc>
          <w:tcPr>
            <w:tcW w:w="435" w:type="dxa"/>
            <w:tcBorders/>
            <w:shd w:fill="CCEEFF" w:val="clear"/>
            <w:vAlign w:val="center"/>
          </w:tcPr>
          <w:p>
            <w:pPr>
              <w:pStyle w:val="TableContents"/>
              <w:bidi w:val="0"/>
              <w:spacing w:before="0" w:after="0"/>
              <w:ind w:left="0" w:right="0" w:hanging="0"/>
              <w:jc w:val="right"/>
              <w:rPr/>
            </w:pPr>
            <w:r>
              <w:rPr/>
              <w:t>​</w:t>
            </w:r>
          </w:p>
        </w:tc>
        <w:tc>
          <w:tcPr>
            <w:tcW w:w="14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291" w:type="dxa"/>
            <w:tcBorders/>
            <w:shd w:fill="CCEEFF" w:val="clear"/>
            <w:vAlign w:val="center"/>
          </w:tcPr>
          <w:p>
            <w:pPr>
              <w:pStyle w:val="TableContents"/>
              <w:bidi w:val="0"/>
              <w:spacing w:before="0" w:after="0"/>
              <w:ind w:left="0" w:right="0" w:hanging="0"/>
              <w:jc w:val="right"/>
              <w:rPr/>
            </w:pPr>
            <w:r>
              <w:rPr/>
              <w:t>​</w:t>
            </w:r>
          </w:p>
        </w:tc>
        <w:tc>
          <w:tcPr>
            <w:tcW w:w="12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w:t>
            </w:r>
          </w:p>
        </w:tc>
      </w:tr>
      <w:tr>
        <w:trPr/>
        <w:tc>
          <w:tcPr>
            <w:tcW w:w="50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Intangible Assets</w:t>
            </w:r>
          </w:p>
        </w:tc>
        <w:tc>
          <w:tcPr>
            <w:tcW w:w="109" w:type="dxa"/>
            <w:tcBorders/>
            <w:vAlign w:val="center"/>
          </w:tcPr>
          <w:p>
            <w:pPr>
              <w:pStyle w:val="TableContents"/>
              <w:bidi w:val="0"/>
              <w:spacing w:before="0" w:after="0"/>
              <w:ind w:left="0" w:right="0" w:hanging="0"/>
              <w:jc w:val="both"/>
              <w:rPr/>
            </w:pPr>
            <w:r>
              <w:rPr/>
              <w:t>​</w:t>
            </w:r>
          </w:p>
        </w:tc>
        <w:tc>
          <w:tcPr>
            <w:tcW w:w="3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w:t>
            </w:r>
          </w:p>
        </w:tc>
        <w:tc>
          <w:tcPr>
            <w:tcW w:w="13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237,440</w:t>
            </w:r>
          </w:p>
        </w:tc>
        <w:tc>
          <w:tcPr>
            <w:tcW w:w="435"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w:t>
            </w:r>
          </w:p>
        </w:tc>
        <w:tc>
          <w:tcPr>
            <w:tcW w:w="140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(1,929)</w:t>
            </w:r>
          </w:p>
        </w:tc>
        <w:tc>
          <w:tcPr>
            <w:tcW w:w="29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w:t>
            </w:r>
          </w:p>
        </w:tc>
        <w:tc>
          <w:tcPr>
            <w:tcW w:w="123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235,511</w:t>
            </w:r>
          </w:p>
        </w:tc>
      </w:tr>
      <w:tr>
        <w:trPr/>
        <w:tc>
          <w:tcPr>
            <w:tcW w:w="50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Amounts are translated using the foreign exchange rate as of 6/30/2023.</w:t>
            </w:r>
          </w:p>
        </w:tc>
        <w:tc>
          <w:tcPr>
            <w:tcW w:w="109" w:type="dxa"/>
            <w:tcBorders/>
            <w:vAlign w:val="center"/>
          </w:tcPr>
          <w:p>
            <w:pPr>
              <w:pStyle w:val="TableContents"/>
              <w:bidi w:val="0"/>
              <w:spacing w:before="0" w:after="0"/>
              <w:ind w:left="0" w:right="0" w:hanging="0"/>
              <w:jc w:val="both"/>
              <w:rPr/>
            </w:pPr>
            <w:r>
              <w:rPr/>
              <w:t>​</w:t>
            </w:r>
          </w:p>
        </w:tc>
        <w:tc>
          <w:tcPr>
            <w:tcW w:w="336" w:type="dxa"/>
            <w:tcBorders/>
            <w:vAlign w:val="center"/>
          </w:tcPr>
          <w:p>
            <w:pPr>
              <w:pStyle w:val="TableContents"/>
              <w:bidi w:val="0"/>
              <w:spacing w:before="0" w:after="0"/>
              <w:ind w:left="0" w:right="0" w:hanging="0"/>
              <w:jc w:val="center"/>
              <w:rPr/>
            </w:pPr>
            <w:r>
              <w:rPr/>
              <w:t>​</w:t>
            </w:r>
          </w:p>
        </w:tc>
        <w:tc>
          <w:tcPr>
            <w:tcW w:w="1342" w:type="dxa"/>
            <w:tcBorders/>
            <w:vAlign w:val="center"/>
          </w:tcPr>
          <w:p>
            <w:pPr>
              <w:pStyle w:val="TableContents"/>
              <w:bidi w:val="0"/>
              <w:spacing w:before="0" w:after="0"/>
              <w:ind w:left="0" w:right="0" w:hanging="0"/>
              <w:jc w:val="right"/>
              <w:rPr/>
            </w:pPr>
            <w:r>
              <w:rPr/>
              <w:t>​</w:t>
            </w:r>
          </w:p>
        </w:tc>
        <w:tc>
          <w:tcPr>
            <w:tcW w:w="435" w:type="dxa"/>
            <w:tcBorders/>
            <w:vAlign w:val="center"/>
          </w:tcPr>
          <w:p>
            <w:pPr>
              <w:pStyle w:val="TableContents"/>
              <w:bidi w:val="0"/>
              <w:spacing w:before="0" w:after="0"/>
              <w:ind w:left="0" w:right="0" w:hanging="0"/>
              <w:jc w:val="center"/>
              <w:rPr/>
            </w:pPr>
            <w:r>
              <w:rPr/>
              <w:t>​</w:t>
            </w:r>
          </w:p>
        </w:tc>
        <w:tc>
          <w:tcPr>
            <w:tcW w:w="1402"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hanging="0"/>
              <w:jc w:val="center"/>
              <w:rPr/>
            </w:pPr>
            <w:r>
              <w:rPr/>
              <w:t>​</w:t>
            </w:r>
          </w:p>
        </w:tc>
        <w:tc>
          <w:tcPr>
            <w:tcW w:w="1232"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547"/>
        <w:jc w:val="left"/>
        <w:rPr>
          <w:rFonts w:ascii="Times New Roman;Times;serif" w:hAnsi="Times New Roman;Times;serif"/>
          <w:sz w:val="20"/>
          <w:shd w:fill="FFFFFF" w:val="clear"/>
        </w:rPr>
      </w:pPr>
      <w:r>
        <w:rPr>
          <w:rFonts w:ascii="Times New Roman;Times;serif" w:hAnsi="Times New Roman;Times;serif"/>
          <w:sz w:val="20"/>
          <w:shd w:fill="FFFFFF" w:val="clear"/>
        </w:rPr>
        <w:t>The Company recognized $1.9 million of amortization expense during the three and six months ended June 30, 2023. Amortization expense for the developed technology and assembled workforce is recorded in Cost of Sales and Selling, General and Administrative expense, respectively, in the Condensed Consolidated Statement of Operations for the three and six months ended June 30, 2023. There was no such expense recorded in the three and six months ended June 30, 2022.</w:t>
      </w:r>
    </w:p>
    <w:p>
      <w:pPr>
        <w:pStyle w:val="TextBody"/>
        <w:bidi w:val="0"/>
        <w:spacing w:before="0" w:after="0"/>
        <w:ind w:left="0" w:right="0" w:firstLine="408"/>
        <w:jc w:val="left"/>
        <w:rPr>
          <w:shd w:fill="FFFFFF" w:val="clear"/>
        </w:rPr>
      </w:pPr>
      <w:r>
        <w:rPr>
          <w:shd w:fill="FFFFFF" w:val="clear"/>
        </w:rPr>
        <w:t>​</w:t>
      </w:r>
    </w:p>
    <w:p>
      <w:pPr>
        <w:pStyle w:val="TextBody"/>
        <w:bidi w:val="0"/>
        <w:spacing w:before="0" w:after="0"/>
        <w:ind w:left="0" w:right="0" w:firstLine="547"/>
        <w:jc w:val="left"/>
        <w:rPr>
          <w:rFonts w:ascii="Times New Roman;Times;serif" w:hAnsi="Times New Roman;Times;serif"/>
          <w:sz w:val="20"/>
          <w:shd w:fill="FFFFFF" w:val="clear"/>
        </w:rPr>
      </w:pPr>
      <w:r>
        <w:rPr>
          <w:rFonts w:ascii="Times New Roman;Times;serif" w:hAnsi="Times New Roman;Times;serif"/>
          <w:sz w:val="20"/>
          <w:shd w:fill="FFFFFF" w:val="clear"/>
        </w:rPr>
        <w:t>The total estimated amortization of the Company’s intangible assets for the remaining six months ending December 31, 2023, and the years ending December 31, 2024, 2025, 2026, 2027 and 2028, are $7.9 million, $15.7 million, $15.7 million, $15.6 million, $15.5 million and $15.5 million, respectively.</w:t>
      </w:r>
    </w:p>
    <w:p>
      <w:pPr>
        <w:pStyle w:val="TextBody"/>
        <w:bidi w:val="0"/>
        <w:spacing w:before="0" w:after="0"/>
        <w:ind w:left="0" w:right="0" w:firstLine="408"/>
        <w:jc w:val="left"/>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1352" w:name="Tc_-J5xEVDpY0KLA4dmmvpTJQ_5_6"/>
      <w:bookmarkStart w:id="1353" w:name="Tc_WmRJ7sGNMUONuGgBBReRhg_5_5"/>
      <w:bookmarkStart w:id="1354" w:name="Tc_8uv4PuDg5km-ZLY5gzhVsQ_5_2"/>
      <w:bookmarkStart w:id="1355" w:name="Tc_mGnSNb7ZPEWsP7h5V8GQsg_5_0"/>
      <w:bookmarkStart w:id="1356" w:name="Tc_2mCSemeuokCBbQWVvNDCOQ_4_6"/>
      <w:bookmarkStart w:id="1357" w:name="Tc_vJwYNfiaNUuc80nK9-4EJg_4_0"/>
      <w:bookmarkStart w:id="1358" w:name="Tc_3tPYkXEjZE-RBgf6fURoJA_3_6"/>
      <w:bookmarkStart w:id="1359" w:name="Tc_S_gwPLKy5ESRQMGhw0u_iw_3_5"/>
      <w:bookmarkStart w:id="1360" w:name="Tc_Df8ZZRc9AEihArXDkfAfyg_3_2"/>
      <w:bookmarkStart w:id="1361" w:name="Tc_YtMrm5s66Uy1lhXBEiYwNg_3_0"/>
      <w:bookmarkStart w:id="1362" w:name="Tc_Gp-1sAXqEEOYyXzvis-7hA_2_6"/>
      <w:bookmarkStart w:id="1363" w:name="Tc_fWG73pQjFkOXF8CfrJSU0Q_2_3"/>
      <w:bookmarkStart w:id="1364" w:name="Tc_ObctTcgyDEuhZWOo9zEiJw_1_6"/>
      <w:bookmarkStart w:id="1365" w:name="Tc_56T1P5OcSUKm7-FOg-GIhw_1_3"/>
      <w:bookmarkStart w:id="1366" w:name="_faba4df0_e6a5_4bf7_87d3_514364528174"/>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r>
        <w:rPr>
          <w:rFonts w:ascii="Times New Roman;Times;serif" w:hAnsi="Times New Roman;Times;serif"/>
          <w:b/>
          <w:sz w:val="20"/>
        </w:rPr>
        <w:t>NOTE 6. INVENTORY</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Inventories presented in the Condensed Consolidated Balance Sheet as of June 30, 2023 pertain solely to Proleukin®. Inventory classified as work in process are unlabeled vials of Proleukin®.</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Inventories consist of the following (in thousands): </w:t>
      </w:r>
    </w:p>
    <w:tbl>
      <w:tblPr>
        <w:tblW w:w="4018" w:type="dxa"/>
        <w:jc w:val="left"/>
        <w:tblInd w:w="0" w:type="dxa"/>
        <w:tblLayout w:type="fixed"/>
        <w:tblCellMar>
          <w:top w:w="0" w:type="dxa"/>
          <w:left w:w="0" w:type="dxa"/>
          <w:bottom w:w="0" w:type="dxa"/>
          <w:right w:w="0" w:type="dxa"/>
        </w:tblCellMar>
      </w:tblPr>
      <w:tblGrid>
        <w:gridCol w:w="1426"/>
        <w:gridCol w:w="109"/>
        <w:gridCol w:w="211"/>
        <w:gridCol w:w="766"/>
        <w:gridCol w:w="109"/>
        <w:gridCol w:w="211"/>
        <w:gridCol w:w="1186"/>
      </w:tblGrid>
      <w:tr>
        <w:trPr/>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905510" cy="175260"/>
                      <wp:effectExtent l="0" t="0" r="0" b="0"/>
                      <wp:wrapNone/>
                      <wp:docPr id="169" name="Frame169"/>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9215" cy="175260"/>
                      <wp:effectExtent l="0" t="0" r="0" b="0"/>
                      <wp:wrapNone/>
                      <wp:docPr id="170" name="Frame1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33985" cy="175260"/>
                      <wp:effectExtent l="0" t="0" r="0" b="0"/>
                      <wp:wrapNone/>
                      <wp:docPr id="171" name="Frame1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486410" cy="175260"/>
                      <wp:effectExtent l="0" t="0" r="0" b="0"/>
                      <wp:wrapNone/>
                      <wp:docPr id="172" name="Frame172"/>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9215" cy="175260"/>
                      <wp:effectExtent l="0" t="0" r="0" b="0"/>
                      <wp:wrapNone/>
                      <wp:docPr id="173" name="Frame1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33985" cy="175260"/>
                      <wp:effectExtent l="0" t="0" r="0" b="0"/>
                      <wp:wrapNone/>
                      <wp:docPr id="174" name="Frame1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753110" cy="175260"/>
                      <wp:effectExtent l="0" t="0" r="0" b="0"/>
                      <wp:wrapNone/>
                      <wp:docPr id="175" name="Frame175"/>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4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42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Work in process</w:t>
            </w:r>
          </w:p>
        </w:tc>
        <w:tc>
          <w:tcPr>
            <w:tcW w:w="109"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8,587</w:t>
            </w:r>
          </w:p>
        </w:tc>
        <w:tc>
          <w:tcPr>
            <w:tcW w:w="109"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1"/>
              <w:ind w:left="0" w:right="0" w:hanging="0"/>
              <w:jc w:val="right"/>
              <w:rPr/>
            </w:pPr>
            <w:r>
              <w:rPr/>
              <w:t>—</w:t>
            </w:r>
          </w:p>
        </w:tc>
      </w:tr>
      <w:tr>
        <w:trPr/>
        <w:tc>
          <w:tcPr>
            <w:tcW w:w="142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Finished goods</w:t>
            </w:r>
          </w:p>
        </w:tc>
        <w:tc>
          <w:tcPr>
            <w:tcW w:w="109"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1,133</w:t>
            </w:r>
          </w:p>
        </w:tc>
        <w:tc>
          <w:tcPr>
            <w:tcW w:w="109"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14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inventory</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9,720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pPr>
            <w:r>
              <w:rPr/>
              <w:t>—</w:t>
            </w:r>
          </w:p>
        </w:tc>
      </w:tr>
    </w:tbl>
    <w:p>
      <w:pPr>
        <w:pStyle w:val="TextBody"/>
        <w:bidi w:val="0"/>
        <w:spacing w:before="0" w:after="200"/>
        <w:ind w:left="0" w:right="0" w:firstLine="547"/>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367" w:name="_bd693341_fd9b_496e_a96a_238428f1ac2d"/>
      <w:bookmarkEnd w:id="1367"/>
      <w:r>
        <w:rPr>
          <w:rFonts w:ascii="Times New Roman;Times;serif" w:hAnsi="Times New Roman;Times;serif"/>
          <w:b/>
          <w:sz w:val="20"/>
        </w:rPr>
        <w:t>NOTE 7. REVENUE</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Product sales for the three and six months ended June 30, 2023 was $0.2 million and represented sales of Proleukin® made in licensed markets outside of the U.S. To date, there have been no </w:t>
      </w:r>
      <w:r>
        <w:rPr>
          <w:rFonts w:ascii="Times New Roman;Times;serif" w:hAnsi="Times New Roman;Times;serif"/>
          <w:b w:val="false"/>
          <w:i w:val="false"/>
          <w:caps w:val="false"/>
          <w:smallCaps w:val="false"/>
          <w:sz w:val="20"/>
        </w:rPr>
        <w:t>product sales</w:t>
      </w:r>
      <w:r>
        <w:rPr>
          <w:rFonts w:ascii="Times New Roman;Times;serif" w:hAnsi="Times New Roman;Times;serif"/>
          <w:sz w:val="20"/>
        </w:rPr>
        <w:t xml:space="preserve"> from Proleukin® in the U.S. market. </w:t>
      </w:r>
    </w:p>
    <w:p>
      <w:pPr>
        <w:pStyle w:val="TextBody"/>
        <w:bidi w:val="0"/>
        <w:spacing w:before="0" w:after="200"/>
        <w:ind w:left="0" w:right="0" w:hanging="0"/>
        <w:jc w:val="left"/>
        <w:rPr>
          <w:rFonts w:ascii="Times New Roman;Times;serif" w:hAnsi="Times New Roman;Times;serif"/>
          <w:b/>
          <w:sz w:val="20"/>
        </w:rPr>
      </w:pPr>
      <w:bookmarkStart w:id="1368" w:name="Tc_6XxXI1WhdkGofgKB0XUVKg_13_5"/>
      <w:bookmarkStart w:id="1369" w:name="Tc_eG-qyzpKvkSKZkezzHklVA_13_2"/>
      <w:bookmarkStart w:id="1370" w:name="Tc_k8gs6sknoEu0WWeU2M-czw_13_0"/>
      <w:bookmarkStart w:id="1371" w:name="Tc_wlRtJb-Ngk2brKgrsRwRhQ_12_0"/>
      <w:bookmarkStart w:id="1372" w:name="Tc_00os7GIc_k-nTgutzrlXNA_11_0"/>
      <w:bookmarkStart w:id="1373" w:name="Tc_oatnoM-ackyHkiqlokuJjA_10_0"/>
      <w:bookmarkStart w:id="1374" w:name="Tc_ZWoouTXOS0yljAi78TMj3A_9_0"/>
      <w:bookmarkStart w:id="1375" w:name="Tc_0kk0Hj2e-0Ob8fEsQ6DRyA_8_0"/>
      <w:bookmarkStart w:id="1376" w:name="Tc_h5X_iPiYQUycLUSmNal46A_7_0"/>
      <w:bookmarkStart w:id="1377" w:name="Tc_9Mvh8S_q9Uak4OlqB3TR_A_6_0"/>
      <w:bookmarkStart w:id="1378" w:name="Tc_dHDWbXOCg0227IZE-1tcUA_5_0"/>
      <w:bookmarkStart w:id="1379" w:name="Tc_lwIHDrhVc0yPtso24Flzpg_4_0"/>
      <w:bookmarkStart w:id="1380" w:name="Tc_6nDloAuUVU6H84MXvmj0hg_3_5"/>
      <w:bookmarkStart w:id="1381" w:name="Tc_byhZSDG1FEuFBOIba_qxMA_3_2"/>
      <w:bookmarkStart w:id="1382" w:name="Tc_1bBFBIXUqkuq0KzoVDfQGA_3_0"/>
      <w:bookmarkStart w:id="1383" w:name="Tc_XbRI0wGqf0yXbuSoiCFqjA_2_5"/>
      <w:bookmarkStart w:id="1384" w:name="Tc_0qIjHf6l40SYaFxFtlwQAQ_2_2"/>
      <w:bookmarkStart w:id="1385" w:name="Tc_MlxLD2y940OsasI4T0tOTg_1_5"/>
      <w:bookmarkStart w:id="1386" w:name="Tc_H9FrGHtQMUOtQt6n7CR-3A_1_2"/>
      <w:bookmarkStart w:id="1387" w:name="_6e7fdfd1_6685_4110_8776_747f548017f9"/>
      <w:bookmarkStart w:id="1388" w:name="_Hlk141067210"/>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r>
        <w:rPr>
          <w:rFonts w:ascii="Times New Roman;Times;serif" w:hAnsi="Times New Roman;Times;serif"/>
          <w:b/>
          <w:sz w:val="20"/>
        </w:rPr>
        <w:t>NOTE 8. PROPERTY AND EQUIPMENT, NET</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Property and equipment, net consists of the following (in thousands):</w:t>
      </w:r>
    </w:p>
    <w:p>
      <w:pPr>
        <w:pStyle w:val="TextBody"/>
        <w:bidi w:val="0"/>
        <w:spacing w:before="0" w:after="200"/>
        <w:ind w:left="0" w:right="0" w:firstLine="547"/>
        <w:jc w:val="left"/>
        <w:rPr/>
      </w:pPr>
      <w:r>
        <w:rPr/>
        <w:t>​</w:t>
      </w:r>
    </w:p>
    <w:tbl>
      <w:tblPr>
        <w:tblW w:w="7000" w:type="dxa"/>
        <w:jc w:val="left"/>
        <w:tblInd w:w="0" w:type="dxa"/>
        <w:tblLayout w:type="fixed"/>
        <w:tblCellMar>
          <w:top w:w="0" w:type="dxa"/>
          <w:left w:w="0" w:type="dxa"/>
          <w:bottom w:w="0" w:type="dxa"/>
          <w:right w:w="0" w:type="dxa"/>
        </w:tblCellMar>
      </w:tblPr>
      <w:tblGrid>
        <w:gridCol w:w="4156"/>
        <w:gridCol w:w="326"/>
        <w:gridCol w:w="211"/>
        <w:gridCol w:w="796"/>
        <w:gridCol w:w="326"/>
        <w:gridCol w:w="225"/>
        <w:gridCol w:w="960"/>
      </w:tblGrid>
      <w:tr>
        <w:trPr/>
        <w:tc>
          <w:tcPr>
            <w:tcW w:w="41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960" w:type="dxa"/>
            <w:tcBorders/>
            <w:vAlign w:val="center"/>
          </w:tcPr>
          <w:p>
            <w:pPr>
              <w:pStyle w:val="TableContents"/>
              <w:bidi w:val="0"/>
              <w:spacing w:before="0" w:after="1"/>
              <w:ind w:left="0" w:right="0" w:hanging="0"/>
              <w:jc w:val="left"/>
              <w:rPr/>
            </w:pPr>
            <w:r>
              <w:rPr/>
              <w:t>​</w:t>
            </w:r>
          </w:p>
        </w:tc>
      </w:tr>
      <w:tr>
        <w:trPr/>
        <w:tc>
          <w:tcPr>
            <w:tcW w:w="41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1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76,724</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74,305</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Lab, process, and validation equipment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22,524</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9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22,136</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Utility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5,990</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5,951</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Office furniture and equipment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3,404</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2,927</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Computer software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6,736</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6,736</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Computer equipment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695</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695</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Machinery and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18,529</w:t>
            </w:r>
          </w:p>
        </w:tc>
        <w:tc>
          <w:tcPr>
            <w:tcW w:w="32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9,118</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property and equipment, cost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134,853</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121,950</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(22,304)</w:t>
            </w:r>
          </w:p>
        </w:tc>
        <w:tc>
          <w:tcPr>
            <w:tcW w:w="32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(16,718)</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112,549</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105,232</w:t>
            </w:r>
          </w:p>
        </w:tc>
      </w:tr>
    </w:tbl>
    <w:p>
      <w:pPr>
        <w:pStyle w:val="TextBody"/>
        <w:bidi w:val="0"/>
        <w:spacing w:before="0" w:after="200"/>
        <w:ind w:left="0" w:right="0" w:firstLine="547"/>
        <w:jc w:val="left"/>
        <w:rPr/>
      </w:pPr>
      <w:r>
        <w:rPr/>
        <w: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Depreciation and amortization expense for the three months ended June 30, 2023 and 2022, was $2.9 million and $2.2</w:t>
      </w:r>
      <w:r>
        <w:rPr>
          <w:rFonts w:ascii="Times New Roman;Times;serif" w:hAnsi="Times New Roman;Times;serif"/>
          <w:color w:val="FF0000"/>
          <w:sz w:val="20"/>
        </w:rPr>
        <w:t xml:space="preserve"> </w:t>
      </w:r>
      <w:r>
        <w:rPr>
          <w:rFonts w:ascii="Times New Roman;Times;serif" w:hAnsi="Times New Roman;Times;serif"/>
          <w:sz w:val="20"/>
        </w:rPr>
        <w:t>million, respectively. Depreciation and amortization expense for the six months ended June 30, 2023 and 2022, was $5.7</w:t>
      </w:r>
      <w:r>
        <w:rPr>
          <w:rFonts w:ascii="Times New Roman;Times;serif" w:hAnsi="Times New Roman;Times;serif"/>
          <w:color w:val="FF0000"/>
          <w:sz w:val="20"/>
        </w:rPr>
        <w:t xml:space="preserve"> </w:t>
      </w:r>
      <w:r>
        <w:rPr>
          <w:rFonts w:ascii="Times New Roman;Times;serif" w:hAnsi="Times New Roman;Times;serif"/>
          <w:sz w:val="20"/>
        </w:rPr>
        <w:t xml:space="preserve">million and $4.0 million, respectively. </w:t>
      </w:r>
    </w:p>
    <w:p>
      <w:pPr>
        <w:pStyle w:val="TextBody"/>
        <w:bidi w:val="0"/>
        <w:spacing w:before="0" w:after="200"/>
        <w:ind w:left="0" w:right="0" w:hanging="0"/>
        <w:jc w:val="left"/>
        <w:rPr>
          <w:rFonts w:ascii="Times New Roman;Times;serif" w:hAnsi="Times New Roman;Times;serif"/>
          <w:b/>
          <w:sz w:val="20"/>
        </w:rPr>
      </w:pPr>
      <w:bookmarkStart w:id="1389" w:name="Tc_PjYqHeocrECQbYE8iDPHBw_10_5"/>
      <w:bookmarkStart w:id="1390" w:name="Tc_bYk9l3Nr5EW8YwgrsieB3w_10_2"/>
      <w:bookmarkStart w:id="1391" w:name="Tc_203k21YnIEGm2uWij_eA0w_10_0"/>
      <w:bookmarkStart w:id="1392" w:name="Tc_aIeBftWq90iIhjlZrXsXUA_9_0"/>
      <w:bookmarkStart w:id="1393" w:name="Tc_P2ZM4toVjU2wlNHxTY1zag_8_6"/>
      <w:bookmarkStart w:id="1394" w:name="Tc_RUK2vr_Un0CssAcmgnrCQw_8_0"/>
      <w:bookmarkStart w:id="1395" w:name="Tc_ZclC6O0LxEO2ss-tpOeooQ_7_0"/>
      <w:bookmarkStart w:id="1396" w:name="Tc_Lu3ndzyeOECzTwJYzWYraA_6_0"/>
      <w:bookmarkStart w:id="1397" w:name="Tc_vsISEqqReEKf2bdk34Kxmw_5_0"/>
      <w:bookmarkStart w:id="1398" w:name="Tc_1nXA131GNUaONsIjvFfv6w_4_0"/>
      <w:bookmarkStart w:id="1399" w:name="Tc_NxxLrMRInkmTWyXPUFVIgw_3_5"/>
      <w:bookmarkStart w:id="1400" w:name="Tc_yAzuqdfDNUeyINyu_scK0Q_3_2"/>
      <w:bookmarkStart w:id="1401" w:name="Tc_X60qcPrhW06Gl8QqNBKkXw_3_0"/>
      <w:bookmarkStart w:id="1402" w:name="Tc_Stpq7RK9y0yhqCmeNxBfzQ_2_5"/>
      <w:bookmarkStart w:id="1403" w:name="Tc_fMJXvkn6uU-peVeV0OD2iw_2_2"/>
      <w:bookmarkStart w:id="1404" w:name="Tc_t84EgB0_4UWxWLdMbZhV5Q_1_5"/>
      <w:bookmarkStart w:id="1405" w:name="Tc_UNZpCcr_X0yH8gxauPgh-Q_1_2"/>
      <w:bookmarkStart w:id="1406" w:name="_08f40c93_8eaf_4012_98e1_1d4557be0542"/>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r>
        <w:rPr>
          <w:rFonts w:ascii="Times New Roman;Times;serif" w:hAnsi="Times New Roman;Times;serif"/>
          <w:b/>
          <w:sz w:val="20"/>
        </w:rPr>
        <w:t>NOTE 9. ACCRUED EXPENSES</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Accrued expenses consist of the following (in thousands):</w:t>
      </w:r>
    </w:p>
    <w:p>
      <w:pPr>
        <w:pStyle w:val="TextBody"/>
        <w:bidi w:val="0"/>
        <w:spacing w:before="0" w:after="200"/>
        <w:ind w:left="0" w:right="0" w:firstLine="547"/>
        <w:jc w:val="left"/>
        <w:rPr/>
      </w:pPr>
      <w:r>
        <w:rPr/>
        <w:t>​</w:t>
      </w:r>
    </w:p>
    <w:tbl>
      <w:tblPr>
        <w:tblW w:w="6498" w:type="dxa"/>
        <w:jc w:val="left"/>
        <w:tblInd w:w="0" w:type="dxa"/>
        <w:tblLayout w:type="fixed"/>
        <w:tblCellMar>
          <w:top w:w="0" w:type="dxa"/>
          <w:left w:w="0" w:type="dxa"/>
          <w:bottom w:w="0" w:type="dxa"/>
          <w:right w:w="0" w:type="dxa"/>
        </w:tblCellMar>
      </w:tblPr>
      <w:tblGrid>
        <w:gridCol w:w="3991"/>
        <w:gridCol w:w="109"/>
        <w:gridCol w:w="211"/>
        <w:gridCol w:w="676"/>
        <w:gridCol w:w="326"/>
        <w:gridCol w:w="248"/>
        <w:gridCol w:w="937"/>
      </w:tblGrid>
      <w:tr>
        <w:trPr/>
        <w:tc>
          <w:tcPr>
            <w:tcW w:w="3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534285" cy="175260"/>
                      <wp:effectExtent l="0" t="0" r="0" b="0"/>
                      <wp:wrapNone/>
                      <wp:docPr id="176" name="Frame176"/>
                      <a:graphic xmlns:a="http://schemas.openxmlformats.org/drawingml/2006/main">
                        <a:graphicData uri="http://schemas.microsoft.com/office/word/2010/wordprocessingShape">
                          <wps:wsp>
                            <wps:cNvSpPr txBox="1"/>
                            <wps:spPr>
                              <a:xfrm>
                                <a:off x="0" y="0"/>
                                <a:ext cx="2534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9215" cy="175260"/>
                      <wp:effectExtent l="0" t="0" r="0" b="0"/>
                      <wp:wrapNone/>
                      <wp:docPr id="177" name="Frame1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33985" cy="175260"/>
                      <wp:effectExtent l="0" t="0" r="0" b="0"/>
                      <wp:wrapNone/>
                      <wp:docPr id="178" name="Frame1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429260" cy="175260"/>
                      <wp:effectExtent l="0" t="0" r="0" b="0"/>
                      <wp:wrapNone/>
                      <wp:docPr id="179" name="Frame17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7010" cy="175260"/>
                      <wp:effectExtent l="0" t="0" r="0" b="0"/>
                      <wp:wrapNone/>
                      <wp:docPr id="180" name="Frame1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57480" cy="175260"/>
                      <wp:effectExtent l="0" t="0" r="0" b="0"/>
                      <wp:wrapNone/>
                      <wp:docPr id="181" name="Frame181"/>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594995" cy="175260"/>
                      <wp:effectExtent l="0" t="0" r="0" b="0"/>
                      <wp:wrapNone/>
                      <wp:docPr id="182" name="Frame182"/>
                      <a:graphic xmlns:a="http://schemas.openxmlformats.org/drawingml/2006/main">
                        <a:graphicData uri="http://schemas.microsoft.com/office/word/2010/wordprocessingShape">
                          <wps:wsp>
                            <wps:cNvSpPr txBox="1"/>
                            <wps:spPr>
                              <a:xfrm>
                                <a:off x="0" y="0"/>
                                <a:ext cx="594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9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payroll and employee related expenses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18,359</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19,407</w:t>
            </w:r>
          </w:p>
        </w:tc>
      </w:tr>
      <w:tr>
        <w:trPr/>
        <w:tc>
          <w:tcPr>
            <w:tcW w:w="39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Clinical related</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10,135</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center"/>
              <w:rPr/>
            </w:pPr>
            <w:r>
              <w:rPr/>
              <w:t>​</w:t>
            </w:r>
          </w:p>
        </w:tc>
        <w:tc>
          <w:tcPr>
            <w:tcW w:w="9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14,812</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Manufacturing related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7,350</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 </w:t>
            </w:r>
          </w:p>
        </w:tc>
        <w:tc>
          <w:tcPr>
            <w:tcW w:w="9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4,652</w:t>
            </w:r>
          </w:p>
        </w:tc>
      </w:tr>
      <w:tr>
        <w:trPr/>
        <w:tc>
          <w:tcPr>
            <w:tcW w:w="39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Facilities related</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3,537</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9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6,510</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Legal and related services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1,416</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 </w:t>
            </w:r>
          </w:p>
        </w:tc>
        <w:tc>
          <w:tcPr>
            <w:tcW w:w="9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3,015</w:t>
            </w:r>
          </w:p>
        </w:tc>
      </w:tr>
      <w:tr>
        <w:trPr/>
        <w:tc>
          <w:tcPr>
            <w:tcW w:w="39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Proleukin® acquisition related</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1,249</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937" w:type="dxa"/>
            <w:tcBorders/>
            <w:vAlign w:val="center"/>
          </w:tcPr>
          <w:p>
            <w:pPr>
              <w:pStyle w:val="TableContents"/>
              <w:bidi w:val="0"/>
              <w:spacing w:before="0" w:after="1"/>
              <w:ind w:left="0" w:right="0" w:hanging="0"/>
              <w:jc w:val="right"/>
              <w:rPr/>
            </w:pPr>
            <w:r>
              <w:rPr/>
              <w:t>—</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accrued expenses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4,574</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3,899</w:t>
            </w:r>
          </w:p>
        </w:tc>
      </w:tr>
      <w:tr>
        <w:trPr/>
        <w:tc>
          <w:tcPr>
            <w:tcW w:w="39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accrued expenses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46,620</w:t>
            </w:r>
          </w:p>
        </w:tc>
        <w:tc>
          <w:tcPr>
            <w:tcW w:w="326" w:type="dxa"/>
            <w:tcBorders/>
            <w:vAlign w:val="center"/>
          </w:tcPr>
          <w:p>
            <w:pPr>
              <w:pStyle w:val="TableContents"/>
              <w:bidi w:val="0"/>
              <w:spacing w:before="0" w:after="1"/>
              <w:ind w:left="0" w:right="0" w:hanging="0"/>
              <w:jc w:val="left"/>
              <w:rPr/>
            </w:pPr>
            <w:r>
              <w:rPr/>
              <w:t>​</w:t>
            </w:r>
          </w:p>
        </w:tc>
        <w:tc>
          <w:tcPr>
            <w:tcW w:w="24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52,295</w:t>
            </w:r>
          </w:p>
        </w:tc>
      </w:tr>
    </w:tbl>
    <w:p>
      <w:pPr>
        <w:pStyle w:val="TextBody"/>
        <w:bidi w:val="0"/>
        <w:spacing w:before="0" w:after="200"/>
        <w:ind w:left="0" w:right="0" w:firstLine="547"/>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10. STOCKHOLDERS’ EQUITY</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Common Stock</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The Company’s certificate of incorporation, as amended, authorizes the issuance of up to 500,000,000 shares of the Company’s common stock, par value $0.000041666. As of June 30, 2023, 224,688,434 shares of the Company’s common stock were issued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At the Market Offering Program</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On November 18, 2022, the Company entered into an Open Market Sales Agreement (the “2022 Sales Agreement”) with Jefferies LLC (“Jefferies”). Under the terms of the 2022 Sales Agreement, the Company was able to, from time to time, at its sole discretion, issue and sell up to $500.0 million of shares of the Company’s Common Shares. On June 16, 2023, the Company entered into a new Open Market Sales Agreement (the “2023 Sales Agreement”), which superseded and replaced in its entirety the 2022 Sales Agreement. Under the terms of the 2023 Sales Agreement, the Company may, from time to time, in its sole discretion, issue and sell up to $450.0 million of shares of the Company’s Common Shares. The issuance and sale, if any, of the Common Shares by the Company under the 2022 Sales Agreement and the 2023 Sales Agreement (together, the “Sales Agreements”) was or will be made pursuant to a prospectus supplement, dated November 18, 2022 and June 16, 2023, respectively, to the Company’s Registration Statement on Form S-3ASR, which became effective immediately upon filing with the Securities and Exchange Commission on May 27, 2020 and June 16, 2023.</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Pursuant to the Sales Agreements, Jefferies may sell the Common Shares by any method permitted by law deemed to be an “at the market” offering as defined in Rule 415 of the Securities Act of 1933, as amended. Jefferies will use commercially reasonable efforts consistent with its normal trading and sales practices to sell the Common Shares from time to time, based upon instructions from the Company (including any price or size limits or other customary parameters or conditions the Company may impose). The Company will pay Jefferies a commission of up to 3.0% of the gross sales proceeds of any Common Shares sold through Jefferies under the Sales Agreements.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Company is not obligated to make any sales of Common Shares under the Sales Agreements. The offering of Common Shares pursuant to the Sales Agreements will terminate upon the earlier to occur of (i) the issuance and sale, through Jefferies, of all Common Shares subject to the Sales Agreements and (ii) termination of the Sales Agreements in accordance with its terms.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During the six months ended June 30, 2023, the Company received approximately $260.1 million in proceeds, net of offering costs, through the sale of 36,080,226 shares of its Common Shares pursuant to the 2022 Sales Agreement at a weighted average price per share of $7.35. No sales were made pursuant to the Sales Agreements during the three months ended June 30, 2023 and the three and six months ended June 30, 2022.</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Preferred Stock</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Company’s certificate of incorporation authorizes the issuance of up to 50,000,000 shares of “blank check” preferred stock. As of June 30, 2023, 17,000 shares were designated as Series A Convertible Preferred Stock (“Series A Convertible Preferred Stock”) and 11,500,000 shares were designated as Series B Convertible Preferred Stock (“Series B Convertible Preferred Stock”).</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Series A Convertible Preferred Stock</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A total of 17,000 shares of Series A Convertible Preferred Stock have been authorized for issuance under the Company’s Certificate of Designation of Preferences and Rights of Series A Convertible Preferred Stock. The shares of Series A Convertible Preferred Stock have a stated value of $1,000 per share and are initially convertible into shares of common stock at a price of $2.00 per share, subject to adjustment. Each share of Series A Preferred Stock is initially convertible into 500 shares of common stock.</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The Series A Convertible Preferred Stock may, at the option of each investor, be converted into fully paid and non-assessable shares of common stock. The holders of shares of Series A Convertible Preferred Stock do not have the right to vote on matters that come before the Company’s stockholders. In the event of any dissolution or winding up of the Company, proceeds shall be paid pari passu among the holders of common stock and preferred stock, pro rata based on the number of shares held by each holder. The Company may not declare, pay, or set aside any dividends on shares of capital stock of the Company (other than dividends on shares of common stock payable in shares of common stock) unless the holders of the Series A Convertible Preferred Stock shall first receive an equal dividend on each outstanding share of Series A Convertible Preferred Stock.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During the three and six months ended June 30, 2023 and 2022, no shares of Series A Convertible Preferred Stock were converted into shares of common stock. As of June 30, 2023 and December 31, 2022, 194 shares of Series A Convertible Preferred Stock (that are convertible into 97,000 shares of common stock) remained outstanding.</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Series B Convertible Preferred Stock</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A total of 11,500,000 shares of Series B Convertible Preferred Stock are authorized for issuance under the Company’s Series B Certificate of Designation of Rights, Preferences and Privileges of Series B Convertible Preferred Stock. The shares of Series B Convertible Preferred Stock have a stated value of $4.75 per share and are convertible into shares of the Company’s common stock at an initial conversion price of $4.75 per share. Each share of Series B Preferred Stock is initially convertible into 1 share of common stock.</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Series B Convertible Preferred Stock may, at the option of each investor, be converted into fully paid and non-assessable shares of common stock. The holders of shares of Series B Convertible Preferred Stock do not have the right to vote on matters that come before the Company's stockholders. In the event of any dissolution or winding up of the Company, proceeds shall be paid pari passu among the holders of common stock and preferred stock, pro rata based on the number of shares held by each holder. Holders of Series B Convertible Preferred Stock are entitled to dividends on an as-if-converted basis in the same form as any dividends actually paid on shares of the Series A Convertible Preferred Stock or the Company’s common stock. So long as any Series B Convertible Preferred Stock remains outstanding, the Company may not redeem, purchase, or otherwise acquire any material amount of the Series A Convertible Preferred Stock or any securities junior to the Series B Convertible Preferred Stock.</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During the three and six months ended June 30, 2023 and 2022, no shares</w:t>
      </w:r>
      <w:r>
        <w:rPr>
          <w:rFonts w:ascii="Times New Roman;Times;serif" w:hAnsi="Times New Roman;Times;serif"/>
          <w:color w:val="FF0000"/>
          <w:sz w:val="20"/>
        </w:rPr>
        <w:t xml:space="preserve"> </w:t>
      </w:r>
      <w:r>
        <w:rPr>
          <w:rFonts w:ascii="Times New Roman;Times;serif" w:hAnsi="Times New Roman;Times;serif"/>
          <w:sz w:val="20"/>
        </w:rPr>
        <w:t>of Series B Convertible Preferred Stock were converted into</w:t>
      </w:r>
      <w:r>
        <w:rPr>
          <w:rFonts w:ascii="Times New Roman;Times;serif" w:hAnsi="Times New Roman;Times;serif"/>
          <w:color w:val="FF0000"/>
          <w:sz w:val="20"/>
        </w:rPr>
        <w:t xml:space="preserve"> </w:t>
      </w:r>
      <w:r>
        <w:rPr>
          <w:rFonts w:ascii="Times New Roman;Times;serif" w:hAnsi="Times New Roman;Times;serif"/>
          <w:sz w:val="20"/>
        </w:rPr>
        <w:t xml:space="preserve">shares of common stock. As of June 30, 2023 and December 31, 2022, 2,842,158 shares of Series B Preferred Stock (that are convertible into 2,842,158 shares of common stock) remained outstanding. </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Equity Incentive Plans</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The Company has multiple equity incentive plans under which it grants awards. As of June 30, 2023, there are 77,086 shares available to grant under the 2014 Equity Incentive Plan (the “2014 Plan”).</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On April 22, 2018, the Company’s board of directors (the “Board”) adopted the Iovance Biotherapeutics, Inc. 2018 Equity Incentive Plan (as amended, the “2018 Plan”), which was approved by the Company’s stockholders in June 2018. The 2018 Plan as approved initially authorized the issuance up to an aggregate of 6,000,000 shares of common stock in the form of incentive (qualified) stock options, non-qualified options, common stock, stock appreciation rights, restricted stock awards, restricted stock units, other stock-based awards, other cash-based awards or any combination of the foregoing. On June 8, 2020, the Company's stockholders approved an amendment to the 2018 Plan to increase the number of shares available for issuance under the 2018 Plan from 6,000,000 to 14,000,000 shares, which became effective immediately. On June 10, 2022, the Company’s stockholders approved an amendment to the 2018 Plan to increase the number of shares available for issuance under the 2018 Plan from 14,000,000 to 20,700,000 shares, which became effective immediately. On June 6, 2023, the Company’s stockholders approved an amendment to the 2018 plan to increase the number of shares available for issuance under the 2018 plan from 20,700,000 to 29,700,000, which became effective immediately. As of June 30, 2023, 8,879,043 shares of common stock were available for grant under the 2018 Plan.</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On September 22, 2021, the Board adopted the Iovance Biotherapeutics, Inc. 2021 Inducement Plan (as amended, the “2021 Inducement Plan”). The 2021 Inducement Plan provides for the grant of non-qualified options, common stock, stock appreciation rights, restricted stock awards, restricted stock units, other stock-based awards, other cash-based awards, or any combination of the foregoing. The 2021 Inducement Plan was recommended for approval by the Compensation Committee of the Board (the “Compensation Committee”), and subsequently approved and adopted by the Board without stockholder approval pursuant to Rule 5635(c)(4) of the rules and regulations of The Nasdaq Stock Market, LLC (the “Nasdaq Listing Rules”).</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 xml:space="preserve">The Board initially reserved 1,000,000 shares of the Company’s common stock for issuance pursuant to equity awards granted under the 2021 Inducement Plan, and the 2021 Inducement Plan is administered by the Compensation Committee. On January 12, 2022, the Compensation Committee approved an amendment to the 2021 Inducement Plan solely to increase the number of shares reserved for issuance under the 2021 Inducement Plan from 1,000,000 shares of the Company’s common stock to 1,750,000 shares of the Company’s common stock without stockholder approval pursuant to Rule 5635(c)(4) of the Nasdaq Listing Rules. On March 13, 2023, the Compensation Committee approved an additional amendment to the 2021 Inducement Plan solely to increase the number of shares reserved for issuance under the 2021 Inducement Plan from 1,750,000 shares of the Company’s common stock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bookmarkStart w:id="1407" w:name="Tc_k98PInp0j0W2d6S5fKsaTw_12_9"/>
      <w:bookmarkStart w:id="1408" w:name="Tc_-jKTZkt7UEKxyshdafvWxg_12_4"/>
      <w:bookmarkStart w:id="1409" w:name="Tc_ExCUZf2CxEal2-qcul1OrA_12_0"/>
      <w:bookmarkStart w:id="1410" w:name="Tc_qoTCaYktgE2R6zWKFtH-jA_11_9"/>
      <w:bookmarkStart w:id="1411" w:name="Tc_gqdqss-PxEm6o1MYV31H8A_11_4"/>
      <w:bookmarkStart w:id="1412" w:name="Tc__yoTOgMPsEGjO3FpY0nDMg_11_0"/>
      <w:bookmarkStart w:id="1413" w:name="Tc_RGPyXsAonUe-Bsjx4ZYRWw_10_9"/>
      <w:bookmarkStart w:id="1414" w:name="Tc_9gs33fZ2K0CxhlwTC6RRmQ_10_4"/>
      <w:bookmarkStart w:id="1415" w:name="Tc_nIFuDvsS_Umv1hsLOpZZ_g_10_0"/>
      <w:bookmarkStart w:id="1416" w:name="Tc_5hv0Kx2rEkKtgf_hsza6ZQ_9_0"/>
      <w:bookmarkStart w:id="1417" w:name="Tc_SNddQWWT7Uef3E0Da5BhdA_8_0"/>
      <w:bookmarkStart w:id="1418" w:name="Tc_yLgVHWxDLE2yKOqqeLFBkA_7_0"/>
      <w:bookmarkStart w:id="1419" w:name="Tc_7w3Cb3kccEaXgs_Ms-tlcw_6_4"/>
      <w:bookmarkStart w:id="1420" w:name="Tc_4b0PYUnqrE6ETZQpzWsjiQ_6_0"/>
      <w:bookmarkStart w:id="1421" w:name="Tc_aHCGf0gmW0mQk0HZJnngag_5_7"/>
      <w:bookmarkStart w:id="1422" w:name="Tc_v98SCFEnukGI6IxQH_g2sQ_5_4"/>
      <w:bookmarkStart w:id="1423" w:name="Tc_UB5joTxQAEuxFo5wfpgjxA_5_2"/>
      <w:bookmarkStart w:id="1424" w:name="Tc_ofT7DYqKokiRx-vdhzRSFw_4_9"/>
      <w:bookmarkStart w:id="1425" w:name="Tc_PlCgm4N2DUyHKXm3wz6KgA_4_7"/>
      <w:bookmarkStart w:id="1426" w:name="Tc_AH26xaMDzUKrlx_YZ2TIww_4_4"/>
      <w:bookmarkStart w:id="1427" w:name="Tc_C1udjvnMVU-6Cvk8415-Ag_4_2"/>
      <w:bookmarkStart w:id="1428" w:name="Tc_xyRl0SUxbkKZAqAcYelAlg_3_9"/>
      <w:bookmarkStart w:id="1429" w:name="Tc_-jrW_W_EFkuAJ-20PZkZhw_3_7"/>
      <w:bookmarkStart w:id="1430" w:name="Tc_myYAJP3Qm0idtz3Ux6xbqQ_3_4"/>
      <w:bookmarkStart w:id="1431" w:name="Tc_lZ8tr75s-kK9i-LTytD2MA_3_2"/>
      <w:bookmarkStart w:id="1432" w:name="Tc_STyprSPsSEyCSIVdKeaQxw_2_9"/>
      <w:bookmarkStart w:id="1433" w:name="Tc_nBYlHfP27EmgQboKy2MqBg_2_7"/>
      <w:bookmarkStart w:id="1434" w:name="Tc_MXUWqupfFE-4oPdQklL3Bg_2_4"/>
      <w:bookmarkStart w:id="1435" w:name="Tc_gvQe0-YlBESM5oScLGRLIw_1_7"/>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r>
        <w:rPr>
          <w:rFonts w:ascii="Times New Roman;Times;serif" w:hAnsi="Times New Roman;Times;serif"/>
          <w:sz w:val="20"/>
        </w:rPr>
        <w:t>to 2,250,000 shares of the Company’s common stock without stockholder approval pursuant to Rule 5635(c)(4) of the Nasdaq Listing Rules.</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In accordance with Rule 5635(c)(4) of the Nasdaq Listing Rules, equity awards under the 2021 Inducement Plan may only be made to an employee if such employee is granted such equity awards in connection with his or her commencement of employment with the Company or a subsidiary and such grant is an inducement material to his or her entering into employment with the Company or such subsidiary. In addition, awards under the 2021 Inducement Plan may only be made to employees who have not previously been an employee or member of the Board (or any parent or subsidiary of the Company) or following a bona fide period of non-employment of the employee by the Company (or a parent or subsidiary of the Company). As of June 30, 2023, 691,851 shares of common stock were available for grant under the 2021 Inducement Plan.</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Stock Options</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A summary of the stock option activity during the six months ended June 30, 2023, is presented in the following table:</w:t>
      </w:r>
    </w:p>
    <w:p>
      <w:pPr>
        <w:pStyle w:val="TextBody"/>
        <w:bidi w:val="0"/>
        <w:spacing w:before="0" w:after="200"/>
        <w:ind w:left="0" w:right="0" w:firstLine="547"/>
        <w:jc w:val="left"/>
        <w:rPr/>
      </w:pPr>
      <w:r>
        <w:rPr/>
        <w:t>​</w:t>
      </w:r>
    </w:p>
    <w:tbl>
      <w:tblPr>
        <w:tblW w:w="9512" w:type="dxa"/>
        <w:jc w:val="left"/>
        <w:tblInd w:w="0" w:type="dxa"/>
        <w:tblLayout w:type="fixed"/>
        <w:tblCellMar>
          <w:top w:w="0" w:type="dxa"/>
          <w:left w:w="0" w:type="dxa"/>
          <w:bottom w:w="0" w:type="dxa"/>
          <w:right w:w="0" w:type="dxa"/>
        </w:tblCellMar>
      </w:tblPr>
      <w:tblGrid>
        <w:gridCol w:w="4381"/>
        <w:gridCol w:w="326"/>
        <w:gridCol w:w="1036"/>
        <w:gridCol w:w="326"/>
        <w:gridCol w:w="214"/>
        <w:gridCol w:w="582"/>
        <w:gridCol w:w="326"/>
        <w:gridCol w:w="886"/>
        <w:gridCol w:w="326"/>
        <w:gridCol w:w="211"/>
        <w:gridCol w:w="898"/>
      </w:tblGrid>
      <w:tr>
        <w:trPr/>
        <w:tc>
          <w:tcPr>
            <w:tcW w:w="4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781935" cy="175260"/>
                      <wp:effectExtent l="0" t="0" r="0" b="0"/>
                      <wp:wrapNone/>
                      <wp:docPr id="183" name="Frame183"/>
                      <a:graphic xmlns:a="http://schemas.openxmlformats.org/drawingml/2006/main">
                        <a:graphicData uri="http://schemas.microsoft.com/office/word/2010/wordprocessingShape">
                          <wps:wsp>
                            <wps:cNvSpPr txBox="1"/>
                            <wps:spPr>
                              <a:xfrm>
                                <a:off x="0" y="0"/>
                                <a:ext cx="2781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7010" cy="175260"/>
                      <wp:effectExtent l="0" t="0" r="0" b="0"/>
                      <wp:wrapNone/>
                      <wp:docPr id="184" name="Frame1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57860" cy="175260"/>
                      <wp:effectExtent l="0" t="0" r="0" b="0"/>
                      <wp:wrapNone/>
                      <wp:docPr id="185" name="Frame18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6" name="Frame1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35890" cy="175260"/>
                      <wp:effectExtent l="0" t="0" r="0" b="0"/>
                      <wp:wrapNone/>
                      <wp:docPr id="187" name="Frame187"/>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369570" cy="175260"/>
                      <wp:effectExtent l="0" t="0" r="0" b="0"/>
                      <wp:wrapNone/>
                      <wp:docPr id="188" name="Frame188"/>
                      <a:graphic xmlns:a="http://schemas.openxmlformats.org/drawingml/2006/main">
                        <a:graphicData uri="http://schemas.microsoft.com/office/word/2010/wordprocessingShape">
                          <wps:wsp>
                            <wps:cNvSpPr txBox="1"/>
                            <wps:spPr>
                              <a:xfrm>
                                <a:off x="0" y="0"/>
                                <a:ext cx="369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7010" cy="175260"/>
                      <wp:effectExtent l="0" t="0" r="0" b="0"/>
                      <wp:wrapNone/>
                      <wp:docPr id="189" name="Frame1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562610" cy="175260"/>
                      <wp:effectExtent l="0" t="0" r="0" b="0"/>
                      <wp:wrapNone/>
                      <wp:docPr id="190" name="Frame19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91" name="Frame1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33985" cy="175260"/>
                      <wp:effectExtent l="0" t="0" r="0" b="0"/>
                      <wp:wrapNone/>
                      <wp:docPr id="192" name="Frame1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570230" cy="175260"/>
                      <wp:effectExtent l="0" t="0" r="0" b="0"/>
                      <wp:wrapNone/>
                      <wp:docPr id="193" name="Frame193"/>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58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center"/>
              <w:rPr/>
            </w:pPr>
            <w:r>
              <w:rPr/>
              <w:t> </w:t>
            </w:r>
          </w:p>
        </w:tc>
      </w:tr>
      <w:tr>
        <w:trPr/>
        <w:tc>
          <w:tcPr>
            <w:tcW w:w="43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1"/>
              <w:ind w:left="0" w:right="0" w:hanging="0"/>
              <w:jc w:val="left"/>
              <w:rPr/>
            </w:pPr>
            <w:r>
              <w:rPr/>
              <w:t>​</w:t>
            </w:r>
          </w:p>
        </w:tc>
        <w:tc>
          <w:tcPr>
            <w:tcW w:w="110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43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26" w:type="dxa"/>
            <w:tcBorders/>
            <w:vAlign w:val="center"/>
          </w:tcPr>
          <w:p>
            <w:pPr>
              <w:pStyle w:val="TableContents"/>
              <w:bidi w:val="0"/>
              <w:spacing w:before="0" w:after="1"/>
              <w:ind w:left="0" w:right="0" w:hanging="0"/>
              <w:jc w:val="left"/>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26" w:type="dxa"/>
            <w:tcBorders/>
            <w:vAlign w:val="center"/>
          </w:tcPr>
          <w:p>
            <w:pPr>
              <w:pStyle w:val="TableContents"/>
              <w:bidi w:val="0"/>
              <w:spacing w:before="0" w:after="1"/>
              <w:ind w:left="0" w:right="0" w:hanging="0"/>
              <w:jc w:val="left"/>
              <w:rPr/>
            </w:pPr>
            <w:r>
              <w:rPr/>
              <w:t>​</w:t>
            </w:r>
          </w:p>
        </w:tc>
        <w:tc>
          <w:tcPr>
            <w:tcW w:w="110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43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w:t>
            </w:r>
          </w:p>
        </w:tc>
        <w:tc>
          <w:tcPr>
            <w:tcW w:w="326" w:type="dxa"/>
            <w:tcBorders/>
            <w:vAlign w:val="center"/>
          </w:tcPr>
          <w:p>
            <w:pPr>
              <w:pStyle w:val="TableContents"/>
              <w:bidi w:val="0"/>
              <w:spacing w:before="0" w:after="1"/>
              <w:ind w:left="0" w:right="0" w:hanging="0"/>
              <w:jc w:val="left"/>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w:t>
            </w:r>
          </w:p>
        </w:tc>
        <w:tc>
          <w:tcPr>
            <w:tcW w:w="326" w:type="dxa"/>
            <w:tcBorders/>
            <w:vAlign w:val="center"/>
          </w:tcPr>
          <w:p>
            <w:pPr>
              <w:pStyle w:val="TableContents"/>
              <w:bidi w:val="0"/>
              <w:spacing w:before="0" w:after="1"/>
              <w:ind w:left="0" w:right="0" w:hanging="0"/>
              <w:jc w:val="left"/>
              <w:rPr/>
            </w:pPr>
            <w:r>
              <w:rPr/>
              <w:t>​</w:t>
            </w:r>
          </w:p>
        </w:tc>
        <w:tc>
          <w:tcPr>
            <w:tcW w:w="110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43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1"/>
              <w:ind w:left="0" w:right="0" w:hanging="0"/>
              <w:jc w:val="left"/>
              <w:rPr/>
            </w:pPr>
            <w:r>
              <w:rPr/>
              <w:t>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Life</w:t>
            </w:r>
          </w:p>
        </w:tc>
        <w:tc>
          <w:tcPr>
            <w:tcW w:w="326" w:type="dxa"/>
            <w:tcBorders/>
            <w:vAlign w:val="center"/>
          </w:tcPr>
          <w:p>
            <w:pPr>
              <w:pStyle w:val="TableContents"/>
              <w:bidi w:val="0"/>
              <w:spacing w:before="0" w:after="1"/>
              <w:ind w:left="0" w:right="0" w:hanging="0"/>
              <w:jc w:val="left"/>
              <w:rPr/>
            </w:pPr>
            <w:r>
              <w:rPr/>
              <w:t>    </w:t>
            </w:r>
          </w:p>
        </w:tc>
        <w:tc>
          <w:tcPr>
            <w:tcW w:w="1109"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at December 31, 2022</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15,240,197</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22.45</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left"/>
              <w:rPr/>
            </w:pPr>
            <w:r>
              <w:rPr/>
              <w:t>​</w:t>
            </w:r>
          </w:p>
        </w:tc>
      </w:tr>
      <w:tr>
        <w:trPr/>
        <w:tc>
          <w:tcPr>
            <w:tcW w:w="4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Issued</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4,873,795</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5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7.19</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left"/>
              <w:rPr/>
            </w:pPr>
            <w:r>
              <w:rPr/>
              <w:t>​</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(7,860)</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5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6.97</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left"/>
              <w:rPr/>
            </w:pPr>
            <w:r>
              <w:rPr/>
              <w:t>​</w:t>
            </w:r>
          </w:p>
        </w:tc>
      </w:tr>
      <w:tr>
        <w:trPr/>
        <w:tc>
          <w:tcPr>
            <w:tcW w:w="4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Expired/Cancelled</w:t>
            </w:r>
          </w:p>
        </w:tc>
        <w:tc>
          <w:tcPr>
            <w:tcW w:w="32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(667,826)</w:t>
            </w:r>
          </w:p>
        </w:tc>
        <w:tc>
          <w:tcPr>
            <w:tcW w:w="32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18.43</w:t>
            </w:r>
          </w:p>
        </w:tc>
        <w:tc>
          <w:tcPr>
            <w:tcW w:w="326" w:type="dxa"/>
            <w:tcBorders/>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at June 30, 2023</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19,438,306</w:t>
            </w:r>
          </w:p>
        </w:tc>
        <w:tc>
          <w:tcPr>
            <w:tcW w:w="326" w:type="dxa"/>
            <w:tcBorders/>
            <w:shd w:fill="CCEEFF" w:val="clear"/>
            <w:vAlign w:val="center"/>
          </w:tcPr>
          <w:p>
            <w:pPr>
              <w:pStyle w:val="TableContents"/>
              <w:bidi w:val="0"/>
              <w:spacing w:before="0" w:after="1"/>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18.77</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646,711</w:t>
            </w:r>
          </w:p>
        </w:tc>
      </w:tr>
      <w:tr>
        <w:trPr/>
        <w:tc>
          <w:tcPr>
            <w:tcW w:w="4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Ending vested and expected to vest at June 30, 2023</w:t>
            </w:r>
          </w:p>
        </w:tc>
        <w:tc>
          <w:tcPr>
            <w:tcW w:w="326" w:type="dxa"/>
            <w:tcBorders/>
            <w:vAlign w:val="center"/>
          </w:tcPr>
          <w:p>
            <w:pPr>
              <w:pStyle w:val="TableContents"/>
              <w:bidi w:val="0"/>
              <w:spacing w:before="0" w:after="1"/>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19,438,306</w:t>
            </w:r>
          </w:p>
        </w:tc>
        <w:tc>
          <w:tcPr>
            <w:tcW w:w="326" w:type="dxa"/>
            <w:tcBorders/>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18.77</w:t>
            </w:r>
          </w:p>
        </w:tc>
        <w:tc>
          <w:tcPr>
            <w:tcW w:w="326" w:type="dxa"/>
            <w:tcBorders/>
            <w:vAlign w:val="center"/>
          </w:tcPr>
          <w:p>
            <w:pPr>
              <w:pStyle w:val="TableContents"/>
              <w:bidi w:val="0"/>
              <w:spacing w:before="0" w:after="1"/>
              <w:ind w:left="0" w:right="0" w:hanging="0"/>
              <w:jc w:val="left"/>
              <w:rPr/>
            </w:pPr>
            <w:r>
              <w:rPr/>
              <w:t>​</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646,711</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 exercisable at June 30, 2023</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11,255,242</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23.09</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428,090</w:t>
            </w:r>
          </w:p>
        </w:tc>
      </w:tr>
    </w:tbl>
    <w:p>
      <w:pPr>
        <w:pStyle w:val="TextBody"/>
        <w:bidi w:val="0"/>
        <w:spacing w:before="0" w:after="200"/>
        <w:ind w:left="0" w:right="0" w:hanging="0"/>
        <w:jc w:val="left"/>
        <w:rPr/>
      </w:pPr>
      <w:r>
        <w:rPr/>
        <w: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As of June 30, 2023, there was $55.9 million of total unrecognized compensation expense related to the options that is expected to be recognized over a weighted average period of 2.08 years.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weighted average grant date fair value for employee options granted under the Company’s stock option plans during the six months ended June 30, 2023 and 2022 was $5.01 and $8.89 per option, respectively.</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aggregate intrinsic value in the table above reflects the total pre-tax intrinsic value (calculated as the difference between the Company’s closing stock price on the last trading day of the quarter ended June 30, 2023 and the exercise price of the options, multiplied by the number of in-the-money stock options) that would have been received by the option holders had all option holders exercised their options on June 30, 2023. The intrinsic value of the Company’s stock options changes based on the closing price of the Company’s common stock.</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Employee Stock Purchase Plan</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In June 2020, the Company adopted the 2020 Employee Stock Purchase Plan (as amended, the “2020 ESPP”) upon its approval by the Company’s shareholders at its Annual Stockholders Meeting on June 8, 2020. The Company reserved 500,000 shares of its common stock for issuance under the 2020 ESPP. On June 6, 2023, the Company's stockholders approved an amendment to the 2020 ESPP plan, to increase the number of shares reserved for issuance under the 2020 ESPP plan from 500,000 shares of the Company’s common stock to 1,400,000 shares of the Company’s common stock, which became effective immediately.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Under the 2020 ESPP, employees of the Company can purchase shares of its common stock based on a percentage of their compensation subject to certain limits. The purchase price per share is equal to the lower of 85% of the fair market value of its common stock on the offering date or the purchase date with a six-month look-back feature. The 2020 ESPP purchases are settled with common stock from the 2020 ESPP’s previously authorized and available pool of shares. </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The compensation expense related to the 2020 ESPP for the three and six months ended June 30, 2023 was $0.3 million and $0.6 million, respectively. The compensation expense related to the 2020 ESPP for the three and six months ended June 30, 2022 was $0.3 million and $0.5 million, respectively. As of June 30, 2023, 583,045 shares have been issued to date under the 2020 ESPP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bookmarkStart w:id="1436" w:name="Tc_Nzu5BZs7-E-u9XkwubcwPQ_7_11"/>
      <w:bookmarkStart w:id="1437" w:name="Tc_7RZLnS7x0EOJPTApR0UqQA_7_8"/>
      <w:bookmarkStart w:id="1438" w:name="Tc_bUgAShZTMk6z1uJQuhYcBA_7_5"/>
      <w:bookmarkStart w:id="1439" w:name="Tc_V-B0IbfpoEyMHWSGPW19tg_7_2"/>
      <w:bookmarkStart w:id="1440" w:name="Tc_Scg3TmuWy0ugGHEYJF0b7w_7_0"/>
      <w:bookmarkStart w:id="1441" w:name="Tc_Dhf7rzq8hU6eolbrJqc31g_6_0"/>
      <w:bookmarkStart w:id="1442" w:name="Tc_Xy1o-pjpl0qJj5epokPrUQ_5_0"/>
      <w:bookmarkStart w:id="1443" w:name="Tc_3qkSwEZFn0WWu52I6nB3jQ_4_11"/>
      <w:bookmarkStart w:id="1444" w:name="Tc_yGowSR2SYkGx4pfGCAlrDQ_4_8"/>
      <w:bookmarkStart w:id="1445" w:name="Tc_nOXiUs8bekiL1D0-8rXItA_4_5"/>
      <w:bookmarkStart w:id="1446" w:name="Tc_wHwkdTCdmUe0XajDSfyfjA_4_2"/>
      <w:bookmarkStart w:id="1447" w:name="Tc_gZ_Upsb_N06IZjERx9S2EA_4_0"/>
      <w:bookmarkStart w:id="1448" w:name="Tc_AOSdg12kWUqsXqEwNHYA0Q_3_11"/>
      <w:bookmarkStart w:id="1449" w:name="Tc_ZAy-ChaAU02uKpZOhOJlZw_3_8"/>
      <w:bookmarkStart w:id="1450" w:name="Tc_Qo_kr7hgzEyrUQ_38bxF3g_3_5"/>
      <w:bookmarkStart w:id="1451" w:name="Tc_2lMWjfsllEiPbaiD8gZiWg_3_2"/>
      <w:bookmarkStart w:id="1452" w:name="Tc_djXHJ4MNwUSQ4TVaogZCoQ_2_8"/>
      <w:bookmarkStart w:id="1453" w:name="Tc_i4ZP1QEsoE28QSa3iWTlnA_2_2"/>
      <w:bookmarkStart w:id="1454" w:name="Tc_sRpeNqvg3EmpEBkZQluvQQ_1_8"/>
      <w:bookmarkStart w:id="1455" w:name="Tc_8r3RdTGxWkWmHg7NoQiv4A_1_2"/>
      <w:bookmarkStart w:id="1456" w:name="Tc_Z7TD2D-KpUOreAwcMqXh2g_6_11"/>
      <w:bookmarkStart w:id="1457" w:name="Tc_ZFB_98QEzECI8KU8OFihXA_6_8"/>
      <w:bookmarkStart w:id="1458" w:name="Tc_AgF5zdWtAkuM8qMpvHVeDQ_6_5"/>
      <w:bookmarkStart w:id="1459" w:name="Tc_pZapoCqWcki-n7S-pFGC7w_6_2"/>
      <w:bookmarkStart w:id="1460" w:name="Tc_jubIsXKwZEa_yQ4ccB5_0Q_6_0"/>
      <w:bookmarkStart w:id="1461" w:name="Tc_RcXHKO9W1Ee5jdUbJH_-6Q_5_0"/>
      <w:bookmarkStart w:id="1462" w:name="Tc_MxWu1av4e0WIi5e4EMu41A_4_11"/>
      <w:bookmarkStart w:id="1463" w:name="Tc_xHP8XG7KK0OePQhOg6EpdQ_4_8"/>
      <w:bookmarkStart w:id="1464" w:name="Tc_xqCPZvnjNEGFfNzff8ZgCA_4_5"/>
      <w:bookmarkStart w:id="1465" w:name="Tc_VS7CHijdpU-9UtmhactnmA_4_2"/>
      <w:bookmarkStart w:id="1466" w:name="Tc_2TvIK8nmEEO1xebKUyI3sg_4_0"/>
      <w:bookmarkStart w:id="1467" w:name="Tc_w4xZT29CDUu7NU-gDzyDgQ_3_11"/>
      <w:bookmarkStart w:id="1468" w:name="Tc_WwIfzyaEDEGHyWyRfwOD-A_3_8"/>
      <w:bookmarkStart w:id="1469" w:name="Tc_jF49waYgUECVzpV8jGwpfQ_3_5"/>
      <w:bookmarkStart w:id="1470" w:name="Tc_-JjAnJqISE66JQoIysqUAA_3_2"/>
      <w:bookmarkStart w:id="1471" w:name="Tc_pUruOgqHcUOKYapNcGrlBA_2_8"/>
      <w:bookmarkStart w:id="1472" w:name="Tc_yEgYiGima0mD_LrPmEc62g_2_2"/>
      <w:bookmarkStart w:id="1473" w:name="Tc_IIlhQC8fE0KUsUEaagXf0A_1_8"/>
      <w:bookmarkStart w:id="1474" w:name="Tc_AyT0IADe8EKw7NxBEPrt1A_1_2"/>
      <w:bookmarkStart w:id="1475" w:name="Tc_fXptbv3LIE2F906H7n7RGQ_10_4"/>
      <w:bookmarkStart w:id="1476" w:name="Tc_OwLZ5ipiM0ai-OD8Om6eEQ_10_0"/>
      <w:bookmarkStart w:id="1477" w:name="Tc_ALT1pxKzf02BmQnXdEjNQw_9_4"/>
      <w:bookmarkStart w:id="1478" w:name="Tc_ANtV3KYZikix3ndJ3TbMJA_9_0"/>
      <w:bookmarkStart w:id="1479" w:name="Tc_okjBaJfwL0eWpORj1FDDig_8_0"/>
      <w:bookmarkStart w:id="1480" w:name="Tc_IH2UqLLPwE-U2Y2WfLPRew_7_0"/>
      <w:bookmarkStart w:id="1481" w:name="Tc_U4I4YLHSVke64aDBqS1IZw_6_0"/>
      <w:bookmarkStart w:id="1482" w:name="Tc_be8YvrMWDU6BbRWroJV7Sw_5_4"/>
      <w:bookmarkStart w:id="1483" w:name="Tc_YnwlE8NyG0auYy3hD05oZA_5_0"/>
      <w:bookmarkStart w:id="1484" w:name="Tc_fPDKFwPGZ0mVpMp3a2ab7w_4_4"/>
      <w:bookmarkStart w:id="1485" w:name="Tc_YTh86Iu-pUussx8MmwEwAg_4_2"/>
      <w:bookmarkStart w:id="1486" w:name="Tc_eO3SP80wkEGVQqIihK6TWA_3_4"/>
      <w:bookmarkStart w:id="1487" w:name="Tc_s3rXk6sq7kShHceoma-Bbw_3_2"/>
      <w:bookmarkStart w:id="1488" w:name="Tc_GuQFNDlTDEiXhv6LHvGBwQ_2_4"/>
      <w:bookmarkStart w:id="1489" w:name="Tc_cVGXSVPsAEaDjIgIe8sP0Q_2_2"/>
      <w:bookmarkStart w:id="1490" w:name="Tc_rHxVXXQf-Ue8fVgCCU7MJg_1_4"/>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r>
        <w:rPr>
          <w:rFonts w:ascii="Times New Roman;Times;serif" w:hAnsi="Times New Roman;Times;serif"/>
          <w:sz w:val="20"/>
        </w:rPr>
        <w:t xml:space="preserve">there was $0.6 million of unrecognized compensation cost associated with the 2020 ESPP, which is expected to be recognized over the remaining 5.4 months. </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Restricted Stock Units and Performance Restricted Stock Units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 addition to RSUs that have time-based vesting requirements, from time to time the Company may issue RSUs that include certain performance vesting criteria based upon the satisfaction of stated objectives (“PRSUs”). </w:t>
      </w:r>
      <w:r>
        <w:rPr>
          <w:rFonts w:ascii="Times New Roman;Times;serif" w:hAnsi="Times New Roman;Times;serif"/>
          <w:sz w:val="20"/>
          <w:shd w:fill="FFFFFF" w:val="clear"/>
        </w:rPr>
        <w:t>Compensation expense related to PRSUs is based on the grant date fair value of the award and recorded from the period that achievement is determined to be probable through the stated service period associated with the award. </w:t>
      </w:r>
    </w:p>
    <w:p>
      <w:pPr>
        <w:pStyle w:val="TextBody"/>
        <w:bidi w:val="0"/>
        <w:spacing w:before="0" w:after="60"/>
        <w:ind w:left="0" w:right="0" w:firstLine="547"/>
        <w:jc w:val="left"/>
        <w:rPr>
          <w:rFonts w:ascii="Times New Roman;Times;serif" w:hAnsi="Times New Roman;Times;serif"/>
          <w:sz w:val="20"/>
        </w:rPr>
      </w:pPr>
      <w:r>
        <w:rPr>
          <w:rFonts w:ascii="Times New Roman;Times;serif" w:hAnsi="Times New Roman;Times;serif"/>
          <w:sz w:val="20"/>
        </w:rPr>
        <w:t>Activity for RSUs and PRSUs during the six months ended June 30, 2023 is presented in the following table:</w:t>
      </w:r>
    </w:p>
    <w:p>
      <w:pPr>
        <w:pStyle w:val="TextBody"/>
        <w:bidi w:val="0"/>
        <w:spacing w:before="0" w:after="0"/>
        <w:ind w:left="0" w:right="0" w:hanging="0"/>
        <w:jc w:val="left"/>
        <w:rPr/>
      </w:pPr>
      <w:r>
        <w:rPr/>
        <w:t>​</w:t>
      </w:r>
    </w:p>
    <w:tbl>
      <w:tblPr>
        <w:tblW w:w="7374" w:type="dxa"/>
        <w:jc w:val="left"/>
        <w:tblInd w:w="0" w:type="dxa"/>
        <w:tblLayout w:type="fixed"/>
        <w:tblCellMar>
          <w:top w:w="0" w:type="dxa"/>
          <w:left w:w="0" w:type="dxa"/>
          <w:bottom w:w="0" w:type="dxa"/>
          <w:right w:w="0" w:type="dxa"/>
        </w:tblCellMar>
      </w:tblPr>
      <w:tblGrid>
        <w:gridCol w:w="4381"/>
        <w:gridCol w:w="326"/>
        <w:gridCol w:w="1351"/>
        <w:gridCol w:w="326"/>
        <w:gridCol w:w="252"/>
        <w:gridCol w:w="738"/>
      </w:tblGrid>
      <w:tr>
        <w:trPr/>
        <w:tc>
          <w:tcPr>
            <w:tcW w:w="4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781935" cy="175260"/>
                      <wp:effectExtent l="0" t="0" r="0" b="0"/>
                      <wp:wrapNone/>
                      <wp:docPr id="194" name="Frame194"/>
                      <a:graphic xmlns:a="http://schemas.openxmlformats.org/drawingml/2006/main">
                        <a:graphicData uri="http://schemas.microsoft.com/office/word/2010/wordprocessingShape">
                          <wps:wsp>
                            <wps:cNvSpPr txBox="1"/>
                            <wps:spPr>
                              <a:xfrm>
                                <a:off x="0" y="0"/>
                                <a:ext cx="2781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260"/>
                      <wp:effectExtent l="0" t="0" r="0" b="0"/>
                      <wp:wrapNone/>
                      <wp:docPr id="195" name="Frame1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857885" cy="175260"/>
                      <wp:effectExtent l="0" t="0" r="0" b="0"/>
                      <wp:wrapNone/>
                      <wp:docPr id="196" name="Frame196"/>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07010" cy="175260"/>
                      <wp:effectExtent l="0" t="0" r="0" b="0"/>
                      <wp:wrapNone/>
                      <wp:docPr id="197" name="Frame1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60020" cy="175260"/>
                      <wp:effectExtent l="0" t="0" r="0" b="0"/>
                      <wp:wrapNone/>
                      <wp:docPr id="198" name="Frame198"/>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468630" cy="175260"/>
                      <wp:effectExtent l="0" t="0" r="0" b="0"/>
                      <wp:wrapNone/>
                      <wp:docPr id="199" name="Frame199"/>
                      <a:graphic xmlns:a="http://schemas.openxmlformats.org/drawingml/2006/main">
                        <a:graphicData uri="http://schemas.microsoft.com/office/word/2010/wordprocessingShape">
                          <wps:wsp>
                            <wps:cNvSpPr txBox="1"/>
                            <wps:spPr>
                              <a:xfrm>
                                <a:off x="0" y="0"/>
                                <a:ext cx="4686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3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9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43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3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26" w:type="dxa"/>
            <w:tcBorders/>
            <w:vAlign w:val="center"/>
          </w:tcPr>
          <w:p>
            <w:pPr>
              <w:pStyle w:val="TableContents"/>
              <w:bidi w:val="0"/>
              <w:spacing w:before="0" w:after="1"/>
              <w:ind w:left="0" w:right="0" w:hanging="0"/>
              <w:jc w:val="left"/>
              <w:rPr/>
            </w:pPr>
            <w:r>
              <w:rPr/>
              <w:t>​</w:t>
            </w:r>
          </w:p>
        </w:tc>
        <w:tc>
          <w:tcPr>
            <w:tcW w:w="99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43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3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w:t>
            </w:r>
          </w:p>
        </w:tc>
        <w:tc>
          <w:tcPr>
            <w:tcW w:w="326" w:type="dxa"/>
            <w:tcBorders/>
            <w:vAlign w:val="center"/>
          </w:tcPr>
          <w:p>
            <w:pPr>
              <w:pStyle w:val="TableContents"/>
              <w:bidi w:val="0"/>
              <w:spacing w:before="0" w:after="1"/>
              <w:ind w:left="0" w:right="0" w:hanging="0"/>
              <w:jc w:val="left"/>
              <w:rPr/>
            </w:pPr>
            <w:r>
              <w:rPr/>
              <w:t>​</w:t>
            </w:r>
          </w:p>
        </w:tc>
        <w:tc>
          <w:tcPr>
            <w:tcW w:w="99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w:t>
            </w:r>
          </w:p>
        </w:tc>
      </w:tr>
      <w:tr>
        <w:trPr/>
        <w:tc>
          <w:tcPr>
            <w:tcW w:w="43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3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RSUs and PRSUs</w:t>
            </w:r>
          </w:p>
        </w:tc>
        <w:tc>
          <w:tcPr>
            <w:tcW w:w="326" w:type="dxa"/>
            <w:tcBorders/>
            <w:vAlign w:val="center"/>
          </w:tcPr>
          <w:p>
            <w:pPr>
              <w:pStyle w:val="TableContents"/>
              <w:bidi w:val="0"/>
              <w:spacing w:before="0" w:after="1"/>
              <w:ind w:left="0" w:right="0" w:hanging="0"/>
              <w:jc w:val="left"/>
              <w:rPr/>
            </w:pPr>
            <w:r>
              <w:rPr/>
              <w:t>    </w:t>
            </w:r>
          </w:p>
        </w:tc>
        <w:tc>
          <w:tcPr>
            <w:tcW w:w="9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as of December 31, 2022</w:t>
            </w:r>
          </w:p>
        </w:tc>
        <w:tc>
          <w:tcPr>
            <w:tcW w:w="326" w:type="dxa"/>
            <w:tcBorders/>
            <w:shd w:fill="CCEEFF" w:val="clear"/>
            <w:vAlign w:val="center"/>
          </w:tcPr>
          <w:p>
            <w:pPr>
              <w:pStyle w:val="TableContents"/>
              <w:bidi w:val="0"/>
              <w:spacing w:before="0" w:after="1"/>
              <w:ind w:left="0" w:right="0" w:hanging="0"/>
              <w:jc w:val="left"/>
              <w:rPr/>
            </w:pPr>
            <w:r>
              <w:rPr/>
              <w:t>​</w:t>
            </w:r>
          </w:p>
        </w:tc>
        <w:tc>
          <w:tcPr>
            <w:tcW w:w="13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2,436,764</w:t>
            </w:r>
          </w:p>
        </w:tc>
        <w:tc>
          <w:tcPr>
            <w:tcW w:w="32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7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14.74</w:t>
            </w:r>
          </w:p>
        </w:tc>
      </w:tr>
      <w:tr>
        <w:trPr/>
        <w:tc>
          <w:tcPr>
            <w:tcW w:w="4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left"/>
              <w:rPr/>
            </w:pPr>
            <w:r>
              <w:rPr/>
              <w:t>​</w:t>
            </w:r>
          </w:p>
        </w:tc>
        <w:tc>
          <w:tcPr>
            <w:tcW w:w="13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2,729,348</w:t>
            </w:r>
          </w:p>
        </w:tc>
        <w:tc>
          <w:tcPr>
            <w:tcW w:w="32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center"/>
              <w:rPr/>
            </w:pPr>
            <w:r>
              <w:rPr/>
              <w:t>​</w:t>
            </w:r>
          </w:p>
        </w:tc>
        <w:tc>
          <w:tcPr>
            <w:tcW w:w="73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7.19</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Vested/Released</w:t>
            </w:r>
          </w:p>
        </w:tc>
        <w:tc>
          <w:tcPr>
            <w:tcW w:w="326" w:type="dxa"/>
            <w:tcBorders/>
            <w:shd w:fill="CCEEFF" w:val="clear"/>
            <w:vAlign w:val="center"/>
          </w:tcPr>
          <w:p>
            <w:pPr>
              <w:pStyle w:val="TableContents"/>
              <w:bidi w:val="0"/>
              <w:spacing w:before="0" w:after="1"/>
              <w:ind w:left="0" w:right="0" w:hanging="0"/>
              <w:jc w:val="left"/>
              <w:rPr/>
            </w:pPr>
            <w:r>
              <w:rPr/>
              <w:t>​</w:t>
            </w:r>
          </w:p>
        </w:tc>
        <w:tc>
          <w:tcPr>
            <w:tcW w:w="13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(917,621)</w:t>
            </w:r>
          </w:p>
        </w:tc>
        <w:tc>
          <w:tcPr>
            <w:tcW w:w="32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center"/>
              <w:rPr/>
            </w:pPr>
            <w:r>
              <w:rPr/>
              <w:t>​</w:t>
            </w:r>
          </w:p>
        </w:tc>
        <w:tc>
          <w:tcPr>
            <w:tcW w:w="7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16.89</w:t>
            </w:r>
          </w:p>
        </w:tc>
      </w:tr>
      <w:tr>
        <w:trPr/>
        <w:tc>
          <w:tcPr>
            <w:tcW w:w="4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Canceled/Forfeited</w:t>
            </w:r>
          </w:p>
        </w:tc>
        <w:tc>
          <w:tcPr>
            <w:tcW w:w="326" w:type="dxa"/>
            <w:tcBorders/>
            <w:vAlign w:val="center"/>
          </w:tcPr>
          <w:p>
            <w:pPr>
              <w:pStyle w:val="TableContents"/>
              <w:bidi w:val="0"/>
              <w:spacing w:before="0" w:after="1"/>
              <w:ind w:left="0" w:right="0" w:hanging="0"/>
              <w:jc w:val="left"/>
              <w:rPr/>
            </w:pPr>
            <w:r>
              <w:rPr/>
              <w:t>​</w:t>
            </w:r>
          </w:p>
        </w:tc>
        <w:tc>
          <w:tcPr>
            <w:tcW w:w="13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(94,922)</w:t>
            </w:r>
          </w:p>
        </w:tc>
        <w:tc>
          <w:tcPr>
            <w:tcW w:w="326" w:type="dxa"/>
            <w:tcBorders/>
            <w:vAlign w:val="center"/>
          </w:tcPr>
          <w:p>
            <w:pPr>
              <w:pStyle w:val="TableContents"/>
              <w:bidi w:val="0"/>
              <w:spacing w:before="0"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73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11.28</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as of June 30, 2023</w:t>
            </w:r>
          </w:p>
        </w:tc>
        <w:tc>
          <w:tcPr>
            <w:tcW w:w="326" w:type="dxa"/>
            <w:tcBorders/>
            <w:shd w:fill="CCEEFF" w:val="clear"/>
            <w:vAlign w:val="center"/>
          </w:tcPr>
          <w:p>
            <w:pPr>
              <w:pStyle w:val="TableContents"/>
              <w:bidi w:val="0"/>
              <w:spacing w:before="0" w:after="1"/>
              <w:ind w:left="0" w:right="0" w:hanging="0"/>
              <w:jc w:val="left"/>
              <w:rPr/>
            </w:pPr>
            <w:r>
              <w:rPr/>
              <w:t>​</w:t>
            </w:r>
          </w:p>
        </w:tc>
        <w:tc>
          <w:tcPr>
            <w:tcW w:w="13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4,153,569</w:t>
            </w:r>
          </w:p>
        </w:tc>
        <w:tc>
          <w:tcPr>
            <w:tcW w:w="326" w:type="dxa"/>
            <w:tcBorders/>
            <w:shd w:fill="CCEEFF" w:val="clear"/>
            <w:vAlign w:val="center"/>
          </w:tcPr>
          <w:p>
            <w:pPr>
              <w:pStyle w:val="TableContents"/>
              <w:bidi w:val="0"/>
              <w:spacing w:before="0" w:after="1"/>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73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9.38</w:t>
            </w:r>
          </w:p>
        </w:tc>
      </w:tr>
      <w:tr>
        <w:trPr/>
        <w:tc>
          <w:tcPr>
            <w:tcW w:w="4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Ending vested and expected to vest at June 30, 2023</w:t>
            </w:r>
          </w:p>
        </w:tc>
        <w:tc>
          <w:tcPr>
            <w:tcW w:w="326" w:type="dxa"/>
            <w:tcBorders/>
            <w:vAlign w:val="center"/>
          </w:tcPr>
          <w:p>
            <w:pPr>
              <w:pStyle w:val="TableContents"/>
              <w:bidi w:val="0"/>
              <w:spacing w:before="0" w:after="1"/>
              <w:ind w:left="0" w:right="0" w:hanging="0"/>
              <w:jc w:val="left"/>
              <w:rPr/>
            </w:pPr>
            <w:r>
              <w:rPr/>
              <w:t>​</w:t>
            </w:r>
          </w:p>
        </w:tc>
        <w:tc>
          <w:tcPr>
            <w:tcW w:w="13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4,153,569</w:t>
            </w:r>
          </w:p>
        </w:tc>
        <w:tc>
          <w:tcPr>
            <w:tcW w:w="326" w:type="dxa"/>
            <w:tcBorders/>
            <w:vAlign w:val="center"/>
          </w:tcPr>
          <w:p>
            <w:pPr>
              <w:pStyle w:val="TableContents"/>
              <w:bidi w:val="0"/>
              <w:spacing w:before="0" w:after="1"/>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738"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9.38</w:t>
            </w:r>
          </w:p>
        </w:tc>
      </w:tr>
    </w:tbl>
    <w:p>
      <w:pPr>
        <w:pStyle w:val="TextBody"/>
        <w:bidi w:val="0"/>
        <w:spacing w:before="0" w:after="0"/>
        <w:ind w:left="0" w:right="0" w:hanging="0"/>
        <w:jc w:val="left"/>
        <w:rPr/>
      </w:pPr>
      <w:r>
        <w:rPr/>
        <w:t>​</w:t>
      </w:r>
    </w:p>
    <w:p>
      <w:pPr>
        <w:pStyle w:val="TextBody"/>
        <w:bidi w:val="0"/>
        <w:spacing w:before="200" w:after="200"/>
        <w:ind w:left="0" w:right="0" w:firstLine="547"/>
        <w:jc w:val="left"/>
        <w:rPr>
          <w:rFonts w:ascii="Times New Roman;Times;serif" w:hAnsi="Times New Roman;Times;serif"/>
          <w:sz w:val="20"/>
        </w:rPr>
      </w:pPr>
      <w:r>
        <w:rPr>
          <w:rFonts w:ascii="Times New Roman;Times;serif" w:hAnsi="Times New Roman;Times;serif"/>
          <w:sz w:val="20"/>
        </w:rPr>
        <w:t>As of June 30, 2023 there was $30.9 million of unrecognized stock-based compensation expense associated with unvested RSU and PRSUs, which the Company expects to recognize over a remaining weighted-average period of 2.13</w:t>
      </w:r>
      <w:r>
        <w:rPr>
          <w:rFonts w:ascii="Times New Roman;Times;serif" w:hAnsi="Times New Roman;Times;serif"/>
          <w:color w:val="FF0000"/>
          <w:sz w:val="20"/>
        </w:rPr>
        <w:t xml:space="preserve"> </w:t>
      </w:r>
      <w:r>
        <w:rPr>
          <w:rFonts w:ascii="Times New Roman;Times;serif" w:hAnsi="Times New Roman;Times;serif"/>
          <w:sz w:val="20"/>
        </w:rPr>
        <w:t xml:space="preserve">years. The aggregate intrinsic value of the unvested RSUs and PRSUs outstanding as of June 30, 2023 was $29.2 million. </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Stock-Based Compensation</w:t>
      </w:r>
    </w:p>
    <w:p>
      <w:pPr>
        <w:pStyle w:val="TextBody"/>
        <w:bidi w:val="0"/>
        <w:spacing w:before="0" w:after="60"/>
        <w:ind w:left="0" w:right="0" w:firstLine="547"/>
        <w:jc w:val="left"/>
        <w:rPr>
          <w:rFonts w:ascii="Times New Roman;Times;serif" w:hAnsi="Times New Roman;Times;serif"/>
          <w:sz w:val="20"/>
        </w:rPr>
      </w:pPr>
      <w:r>
        <w:rPr>
          <w:rFonts w:ascii="Times New Roman;Times;serif" w:hAnsi="Times New Roman;Times;serif"/>
          <w:sz w:val="20"/>
        </w:rPr>
        <w:t>Total stock-based compensation expense related to all of the Company’s stock-based awards was recorded on the Condensed Consolidated Statements of Operations as follows (in thousands):</w:t>
      </w:r>
    </w:p>
    <w:p>
      <w:pPr>
        <w:pStyle w:val="TextBody"/>
        <w:bidi w:val="0"/>
        <w:spacing w:before="0" w:after="0"/>
        <w:ind w:left="0" w:right="0" w:hanging="0"/>
        <w:jc w:val="left"/>
        <w:rPr/>
      </w:pPr>
      <w:r>
        <w:rPr/>
        <w:t>​</w:t>
      </w:r>
    </w:p>
    <w:tbl>
      <w:tblPr>
        <w:tblW w:w="8420" w:type="dxa"/>
        <w:jc w:val="left"/>
        <w:tblInd w:w="0" w:type="dxa"/>
        <w:tblLayout w:type="fixed"/>
        <w:tblCellMar>
          <w:top w:w="0" w:type="dxa"/>
          <w:left w:w="0" w:type="dxa"/>
          <w:bottom w:w="0" w:type="dxa"/>
          <w:right w:w="0" w:type="dxa"/>
        </w:tblCellMar>
      </w:tblPr>
      <w:tblGrid>
        <w:gridCol w:w="3451"/>
        <w:gridCol w:w="326"/>
        <w:gridCol w:w="211"/>
        <w:gridCol w:w="676"/>
        <w:gridCol w:w="326"/>
        <w:gridCol w:w="211"/>
        <w:gridCol w:w="676"/>
        <w:gridCol w:w="326"/>
        <w:gridCol w:w="211"/>
        <w:gridCol w:w="676"/>
        <w:gridCol w:w="326"/>
        <w:gridCol w:w="211"/>
        <w:gridCol w:w="793"/>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191385" cy="175260"/>
                      <wp:effectExtent l="0" t="0" r="0" b="0"/>
                      <wp:wrapNone/>
                      <wp:docPr id="200" name="Frame200"/>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260"/>
                      <wp:effectExtent l="0" t="0" r="0" b="0"/>
                      <wp:wrapNone/>
                      <wp:docPr id="201" name="Frame2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33985" cy="175260"/>
                      <wp:effectExtent l="0" t="0" r="0" b="0"/>
                      <wp:wrapNone/>
                      <wp:docPr id="202" name="Frame2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429260" cy="175260"/>
                      <wp:effectExtent l="0" t="0" r="0" b="0"/>
                      <wp:wrapNone/>
                      <wp:docPr id="203" name="Frame20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7010" cy="175260"/>
                      <wp:effectExtent l="0" t="0" r="0" b="0"/>
                      <wp:wrapNone/>
                      <wp:docPr id="204" name="Frame2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33985" cy="175260"/>
                      <wp:effectExtent l="0" t="0" r="0" b="0"/>
                      <wp:wrapNone/>
                      <wp:docPr id="205" name="Frame2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429260" cy="175260"/>
                      <wp:effectExtent l="0" t="0" r="0" b="0"/>
                      <wp:wrapNone/>
                      <wp:docPr id="206" name="Frame20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07010" cy="175260"/>
                      <wp:effectExtent l="0" t="0" r="0" b="0"/>
                      <wp:wrapNone/>
                      <wp:docPr id="207" name="Frame2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33985" cy="175260"/>
                      <wp:effectExtent l="0" t="0" r="0" b="0"/>
                      <wp:wrapNone/>
                      <wp:docPr id="208" name="Frame2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429260" cy="175260"/>
                      <wp:effectExtent l="0" t="0" r="0" b="0"/>
                      <wp:wrapNone/>
                      <wp:docPr id="209" name="Frame20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260"/>
                      <wp:effectExtent l="0" t="0" r="0" b="0"/>
                      <wp:wrapNone/>
                      <wp:docPr id="210" name="Frame2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33985" cy="175260"/>
                      <wp:effectExtent l="0" t="0" r="0" b="0"/>
                      <wp:wrapNone/>
                      <wp:docPr id="211" name="Frame2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503555" cy="175260"/>
                      <wp:effectExtent l="0" t="0" r="0" b="0"/>
                      <wp:wrapNone/>
                      <wp:docPr id="212" name="Frame212"/>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0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1"/>
              <w:ind w:left="0" w:right="0" w:hanging="0"/>
              <w:jc w:val="left"/>
              <w:rPr/>
            </w:pPr>
            <w:r>
              <w:rPr/>
              <w:t>​</w:t>
            </w:r>
          </w:p>
        </w:tc>
        <w:tc>
          <w:tcPr>
            <w:tcW w:w="2217"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4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left"/>
              <w:rPr/>
            </w:pPr>
            <w:r>
              <w:rPr/>
              <w:t>​</w:t>
            </w:r>
          </w:p>
        </w:tc>
        <w:tc>
          <w:tcPr>
            <w:tcW w:w="221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4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00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9,390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13,940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18,249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27,591</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7,350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8,528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14,156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17,142</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stock-based compensation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16,740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22,468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32,405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44,733</w:t>
            </w:r>
          </w:p>
        </w:tc>
      </w:tr>
    </w:tbl>
    <w:p>
      <w:pPr>
        <w:pStyle w:val="TextBody"/>
        <w:bidi w:val="0"/>
        <w:spacing w:before="0" w:after="200"/>
        <w:ind w:left="0" w:right="0" w:hanging="0"/>
        <w:jc w:val="left"/>
        <w:rPr/>
      </w:pPr>
      <w:r>
        <w:rPr/>
        <w:t>​</w:t>
      </w:r>
    </w:p>
    <w:p>
      <w:pPr>
        <w:pStyle w:val="TextBody"/>
        <w:bidi w:val="0"/>
        <w:spacing w:before="0" w:after="40"/>
        <w:ind w:left="0" w:right="0" w:firstLine="547"/>
        <w:jc w:val="left"/>
        <w:rPr>
          <w:rFonts w:ascii="Times New Roman;Times;serif" w:hAnsi="Times New Roman;Times;serif"/>
          <w:sz w:val="20"/>
        </w:rPr>
      </w:pPr>
      <w:r>
        <w:rPr>
          <w:rFonts w:ascii="Times New Roman;Times;serif" w:hAnsi="Times New Roman;Times;serif"/>
          <w:sz w:val="20"/>
        </w:rPr>
        <w:t>Total stock-based compensation expense by type of award was as follows (in thousands):</w:t>
      </w:r>
    </w:p>
    <w:p>
      <w:pPr>
        <w:pStyle w:val="TextBody"/>
        <w:bidi w:val="0"/>
        <w:spacing w:before="0" w:after="0"/>
        <w:ind w:left="0" w:right="0" w:hanging="0"/>
        <w:jc w:val="left"/>
        <w:rPr/>
      </w:pPr>
      <w:r>
        <w:rPr/>
        <w:t>​</w:t>
      </w:r>
    </w:p>
    <w:tbl>
      <w:tblPr>
        <w:tblW w:w="8420" w:type="dxa"/>
        <w:jc w:val="left"/>
        <w:tblInd w:w="0" w:type="dxa"/>
        <w:tblLayout w:type="fixed"/>
        <w:tblCellMar>
          <w:top w:w="0" w:type="dxa"/>
          <w:left w:w="0" w:type="dxa"/>
          <w:bottom w:w="0" w:type="dxa"/>
          <w:right w:w="0" w:type="dxa"/>
        </w:tblCellMar>
      </w:tblPr>
      <w:tblGrid>
        <w:gridCol w:w="3451"/>
        <w:gridCol w:w="326"/>
        <w:gridCol w:w="211"/>
        <w:gridCol w:w="676"/>
        <w:gridCol w:w="326"/>
        <w:gridCol w:w="211"/>
        <w:gridCol w:w="676"/>
        <w:gridCol w:w="326"/>
        <w:gridCol w:w="211"/>
        <w:gridCol w:w="676"/>
        <w:gridCol w:w="326"/>
        <w:gridCol w:w="211"/>
        <w:gridCol w:w="793"/>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191385" cy="175260"/>
                      <wp:effectExtent l="0" t="0" r="0" b="0"/>
                      <wp:wrapNone/>
                      <wp:docPr id="213" name="Frame213"/>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07010" cy="175260"/>
                      <wp:effectExtent l="0" t="0" r="0" b="0"/>
                      <wp:wrapNone/>
                      <wp:docPr id="214" name="Frame2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33985" cy="175260"/>
                      <wp:effectExtent l="0" t="0" r="0" b="0"/>
                      <wp:wrapNone/>
                      <wp:docPr id="215" name="Frame2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429260" cy="175260"/>
                      <wp:effectExtent l="0" t="0" r="0" b="0"/>
                      <wp:wrapNone/>
                      <wp:docPr id="216" name="Frame21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07010" cy="175260"/>
                      <wp:effectExtent l="0" t="0" r="0" b="0"/>
                      <wp:wrapNone/>
                      <wp:docPr id="217" name="Frame2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33985" cy="175260"/>
                      <wp:effectExtent l="0" t="0" r="0" b="0"/>
                      <wp:wrapNone/>
                      <wp:docPr id="218" name="Frame2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429260" cy="175260"/>
                      <wp:effectExtent l="0" t="0" r="0" b="0"/>
                      <wp:wrapNone/>
                      <wp:docPr id="219" name="Frame21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07010" cy="175260"/>
                      <wp:effectExtent l="0" t="0" r="0" b="0"/>
                      <wp:wrapNone/>
                      <wp:docPr id="220" name="Frame2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33985" cy="175260"/>
                      <wp:effectExtent l="0" t="0" r="0" b="0"/>
                      <wp:wrapNone/>
                      <wp:docPr id="221" name="Frame2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429260" cy="175260"/>
                      <wp:effectExtent l="0" t="0" r="0" b="0"/>
                      <wp:wrapNone/>
                      <wp:docPr id="222" name="Frame22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07010" cy="175260"/>
                      <wp:effectExtent l="0" t="0" r="0" b="0"/>
                      <wp:wrapNone/>
                      <wp:docPr id="223" name="Frame2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33985" cy="175260"/>
                      <wp:effectExtent l="0" t="0" r="0" b="0"/>
                      <wp:wrapNone/>
                      <wp:docPr id="224" name="Frame2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503555" cy="175260"/>
                      <wp:effectExtent l="0" t="0" r="0" b="0"/>
                      <wp:wrapNone/>
                      <wp:docPr id="225" name="Frame225"/>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left"/>
              <w:rPr/>
            </w:pPr>
            <w:r>
              <w:rPr/>
              <w:t>​</w:t>
            </w:r>
          </w:p>
        </w:tc>
        <w:tc>
          <w:tcPr>
            <w:tcW w:w="2217"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221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option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11,893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29,997</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stock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8,203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14,246</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ESPP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stock-based compensation expense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16,740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22,468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32,405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44,733</w:t>
            </w:r>
          </w:p>
        </w:tc>
      </w:tr>
    </w:tbl>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11. LICENSES AND AGREEMENTS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National Institutes of Health (the “NIH”) and the National Cancer Institute (the “NCI”)</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Cooperative Research and Development Agreement (the “CRADA”)</w:t>
      </w:r>
    </w:p>
    <w:p>
      <w:pPr>
        <w:pStyle w:val="TextBody"/>
        <w:bidi w:val="0"/>
        <w:spacing w:before="0" w:after="0"/>
        <w:ind w:left="0" w:right="0" w:firstLine="630"/>
        <w:jc w:val="left"/>
        <w:rPr>
          <w:rFonts w:ascii="Times New Roman;Times;serif" w:hAnsi="Times New Roman;Times;serif"/>
          <w:sz w:val="20"/>
        </w:rPr>
      </w:pPr>
      <w:r>
        <w:rPr>
          <w:rFonts w:ascii="Times New Roman;Times;serif" w:hAnsi="Times New Roman;Times;serif"/>
          <w:sz w:val="20"/>
        </w:rPr>
        <w:t xml:space="preserve">In August 2011, the Company signed a five-year CRADA with the NCI to work on the development of adoptive cell immunotherapies that are designed to destroy advanced melanoma cells. The CRADA was amended in 2015 and 2016 to, among other things, extend the term of the CRADA through August 2021, include new indications such as the development of TIL therapy for the treatment of patients with bladder, lung, triple-negative breast, and Human Papilloma Virus (“HPV”)-associated cancers, and modify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focus on the development of unmodified TIL as a stand-alone therapy or in combination. The parties have continued the development of improved methods for the generation and selection of TIL with anti-tumor reactivity in metastatic melanoma, bladder, lung, breast, and HPV-associated cancers.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 August 2021, the NCI and the Company entered into a third amendment to the CRADA. The third amendment, among other things, extended the term of the CRADA by three years to August 2024. The research plan in this amendment includes the evaluation in clinical trials of strategies for development of more potent TILs, such as selection of CD39/69 double negative cells and the use of certain inhibitors or other reagents in TIL expansion cultures.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Pursuant to the terms of the CRADA, as amended, the Company is required to make quarterly payments of $0.5 million to the NCI for support of research activities. To the extent the Company licenses patent rights relating to a TIL-based product candidate, the Company will be responsible for all patent-related expenses and fees, past and future, relating to the TIL-based product candidate. In addition, the Company may be required to supply certain test articles, including TIL, grown and processed under Current Good Manufacturing Practice (“cGMP”) conditions, suitable for use in clinical trials. The extended CRADA has a three-year term expiring in August 2024. The Company or the NCI may unilaterally terminate the CRADA for any reason or for no reason at any time by providing written notice at least 60 days before the desired termination date. The Company recorded costs associated with the CRADA of $0.5 million for each of the three months ended June 30, 2023 and 2022, respectively, and $1.0 million for each of the six months ended June 30, 2023 and 2022, as research and development expenses.</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Patent License Agreement Related to the Development and Manufacture of TIL Therapies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Company entered into an Exclusive Patent License Agreement (the “Patent License Agreement”) with the NIH, an agency of the U.S. Public Health Service within the Department of Health and Human Services, in 2011, as amended in 2015. Pursuant to the Patent License Agreement, as amended, the NIH granted the Company licenses, including exclusive, co-exclusive, and non-exclusive licenses, to certain technologies relating to autologous tumor infiltrating lymphocyte adoptive cell therapy products for the treatment of metastatic melanoma, lung, breast, bladder and HPV-positive cancers.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Effective May 6, 2021, the Company entered into an Amended and Restated Patent License Agreement with NIH, which included the grant of additional exclusive, worldwide patent rights in the indications to interleukin-15 and interleukin-21cytokine-tethered TIL technology, and expanded the non-exclusive, worldwide field of use to all cancers. Effective August 1, 2022, the Company entered into a Second Amended and Restated Patent License Agreement with NIH to include additional exclusive, worldwide patent rights to TIL products expressing interleukin-12, expanded rights to TIL selection technologies previously licensed under the Exclusive Patent License Agreement below, and additional non-exclusive, worldwide patent rights to certain technologies for enhancing TIL products.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Second Amended and Restated Patent License Agreement requires the Company to pay royalties based on a percentage of net sales in jurisdictions where patent rights exist, which percentage can fall into a tier that may be less than one percent to mid-single digits depending upon certain factors, including the exclusivity of the rights, and the Company expects lower overall royalty payments as a result. The Company also agreed to potential milestone payments on the achievement of certain clinical, regulatory, and commercial sales milestones for each of the indications and other direct costs incurred by the NIH pursuant to the Second Amended and Restated Patent License Agreement. The Company anticipates making payments that could range from several hundred thousand dollars to the mid-single-digit millions of dollars in conjunction with certain development milestones, the approval of a BLA or its foreign equivalent, or the first U.S. and foreign commercial sales of any of its product candidates covered by the Second Amended and Restated Patent License Agreement. The term of the Second Amended and Restated Patent License Agreement continues until the expiry of the last-to-expire patent rights licensed thereunder, and the agreement contains standard termination provisions.</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Exclusive Patent License Agreement Related to TIL Selection</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On February 10, 2015, the Company entered into an exclusive patent license agreement (the “Exclusive Patent License Agreement”) with the NIH under which the Company received an exclusive, worldwide license under a patent related to selected TILs. This license was superseded and replaced by the Second Amended and Restated Patent License Agreement.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H. Lee Moffitt Cancer Center</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Research Collaboration and Clinical Grant Agreements with Moffitt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 June 2020, the Company entered into a Sponsored Research Agreement with the H. Lee Moffitt Cancer Center (“Moffitt”), with a term that ends either upon completion of the research thereunder or on July 1, 2022, whichever is sooner. In June 2022, this agreement was extended until June 2023, extendable until completion of the research plan thereunder. The Company recorded costs associated with this agreement of $0.1 million and $0.2 million for the three months ended June 30, 2023 and 2022, respectively, and $0.2 million and $0.3 million for each of the six months ended June 30, 2023 and 2022, as research and development costs.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In December 2016, the Company entered into a clinical grant agreement with Moffitt to support an ongoing clinical trial at Moffitt that combines TIL therapy with nivolumab for the treatment of patients with metastatic melanoma. In June 2017, the Company entered into a second clinical grant agreement with Moffitt to support a new clinical trial at Moffitt that combines TIL therapy with nivolumab for the treatment of patients with non-small cell lung cancer, under which the Company obtained a non-exclusive, royalty-free license to any new Moffitt inventions made in the performance of the agreement. Under both clinical grant agreements with Moffit, the Company has non-exclusive rights to clinical data arising from the respective clinical trials. No expenses were recorded for the three and six months ended June 30, 2023 and nil and $0.1 million of expenses were recorded for the three and six months ended June 30, 2022, respectively, in connection with the research collaboration and clinical grant agreements with Moffitt. </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Exclusive License Agreements with Moffitt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Company entered into a license agreement with Moffitt (the “First Moffitt License”), effective as of June 28, 2014, under which the Company received a world-wide license to Moffitt’s rights to patent-pending technologies related to methods for improving TIL for adoptive cell therapy using toll-like receptor agonists. Unless earlier terminated, the term of the license extends until the earlier of the expiration of the last issued patent related to the licensed technology or 20 years after the effective date of the license agreement.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Pursuant to the First Moffitt License, the Company paid an upfront licensing fee in the amount of $0.1 million which was recorded as research and development expense. In 2022, the Company paid a patent issuance fee that was payable under the First Moffitt License upon the issuance of the first U.S. patent covering the subject technology. In addition, the Company agreed to pay milestone license fees upon completion of specified milestones, customary royalties based on a specified percentage of net sales (which percentage is in the low single digits) and sublicensing payments, as applicable, and annual minimum royalties beginning with the first sale of products based on the licensed technologies, which minimum royalties will be credited against the percentage royalty payments otherwise payable in that year. The Company will also be responsible for all costs associated with the preparation, filing, maintenance and prosecution of the patent applications and patents covered by the First Moffitt License related to the treatment of any cancers in the U.S., Europe, and Japan and in other countries designated by the Company in agreement with Moffitt. No expenses were recorded for the First Moffitt License for the three and six months ended June 30, 2023 and 2022.</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The Company entered into a second license agreement with Moffitt effective as of May 7, 2018 (the “Second Moffitt License”), under which the Company received a license to Moffitt’s rights to patent-pending technologies related to the use of 4-1BB agonists in conjunction with TIL manufacturing processes and therapies. Pursuant to the Second Moffitt License, the Company paid an upfront licensing fee in the amount of $0.1 million in 2018. An annual license maintenance fee is also payable commencing on the first anniversary of the effective date. The Company agreed to pay an annual commercial use payment for each indication for which a first sale has occurred, which in the aggregate amounts to up to $0.4 million a year. The Company recorded expense of a de minimis amount and $0.1 million for the three months ended June 30, 2023 and 2022, respectively, and $0.1 million for each of the six months ended June 30, 2023 and 2022, respectively, as research and development expenses in connection with this agreement.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Company subsequently exercised an option to exclusively license Moffitt’s rights to patent pending technologies related to the use of tumor digests in conjunction with TIL manufacturing processes and therapies and entered into an amended and restated Second Moffitt License in October 2021 (the “Amended &amp; Restated Second Moffit License”), to include these rights. Pursuant to the Amended &amp; Restated Second Moffitt License, the Company paid an upfront licensing fee in the amount of $0.2 million in 2021, which was recorded as research and development expense. In addition, the Company agreed to pay an annual commercial use payment for each indication for which a first sale has occurred for products relating to the use of 4-1BB antagonists covered by the license and an additional annual commercial use payment for each indication for which a first sale has occurred for products relating to the use of tumor digests covered by the license. No expenses were recorded for the six months ended June 30, 2023 and 2022, respectively, associated with this agreement.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1491" w:name="Narr_rQeyN-nh_Um93QfTeCCoYQ"/>
      <w:bookmarkEnd w:id="1491"/>
      <w:r>
        <w:rPr>
          <w:rFonts w:ascii="Times New Roman;Times;serif" w:hAnsi="Times New Roman;Times;serif"/>
          <w:b/>
          <w:sz w:val="20"/>
        </w:rPr>
        <w:t>The University of Texas M.D. Anderson Cancer Center</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Strategic Alliance Agreement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On April 17, 2017, the Company entered into a Strategic Alliance Agreement (the “SAA”) with The University of Texas M.D. Anderson Cancer Center (“MDACC”) under which the Company and MDACC agreed to conduct clinical and preclinical research studies. The Company agreed in the SAA to provide total funding not to exceed approximately $14.2 million for the performance of the multi-year studies under the SAA, of which approximately $5.3 million has been funded cumulatively through June 30, 2023, and has been recorded as research and development expense. In return, the Company acquired all rights to inventions resulting from the studies and has been granted a non-exclusive, sub-licensable, royalty-free, and perpetual license to specified background intellectual property of MDACC reasonably necessary to exploit, including the commercialization thereof. The Company has also been granted certain rights in clinical data generated by MDACC outside of the clinical trials to be performed under the SAA. The SAA’s term shall continue in effect until the later of the fourth anniversary of the SAA or the completion or termination of the research and receipt by the Company of all deliverables due from MDACC thereunder. No expenses were recorded for the three months ended June 30, 2023 and 2022, respectively. No expenses and $0.1 million were recorded for the six months ended June 30, 2023 and 2022, respectively, as research and development expenses associated with this agreement. </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WuXi Advanced Therapies, Inc. </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First WuXi Manufacturing and Services Agreement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In November 2016, the Company entered into a three-year manufacturing and services agreement (the “First WuXi MSA”) with WuXi Advanced Therapies, Inc. (“WuXi”) pursuant to which WuXi agreed to provide manufacturing and other services, which has since been amended and assigned to its subsidiary Iovance Biotherapeutics Manufacturing LLC. Under the First WuXi MSA, the Company entered into multiple statements of work for two cGMP manufacturing suites to be operated by WuXi for the Company. The terms of one of these statements of work expired in December 2022. </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Second WuXi Manufacturing and Services Agreement</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 xml:space="preserve">In October 2022, the Company’s subsidiary Iovance Biotherapeutics Manufacturing LLC entered into an additional three-year manufacturing and services agreement (the “Second WuXi MSA”) with WuXi and its parent company WuXi Apptec, Co, Ltd pursuant to which WuXi agreed to provide commercial and clinical manufacturing services and related testing services. Under the Second WuXi MSA, the Company entered into a statement of work for the two cGMP manufacturing suites to be operated by WuXi for the Company. Both suites are expected to be capable of being used for the commercial and clinical manufacture of the Company’s products. The Second WuXi MSA and its related statement of work will supersede the statements of work under the First WuXi MSA with respect to commercial and clinical manufacturing and the two manufacturing suites. Certain other statements of work for related services will also be covered by the Second WuXi MSA. The First WuXi MSA will continue to address development services provided by WuXi to the Company. Prior to regulatory approval, or if the Company experiences a material adverse event, the Company may unilaterally terminate the statement of work for commercial and clinical manufacturing under the Second WuXi MSA at any time by providing written notice of at least 120 days. Post regulatory approval, the Company may unilaterally terminate the statement of work for commercial and clinical manufacturing with written notice of 15 month in year 1 of the term, written notice of 9 months in year 2 of the term, and written notice of 6 months in year 3 of the term. If WuXi fails a Pre-Licensing Inspection and does not address any related issues within 90 days of receipt of the FDA response letter, the Company may either terminate the statement of work for commercial and clinical manufacturing under the Second WuXi MSA immediately or shorten the term of this statement of work to June 30, 2024. </w:t>
      </w:r>
      <w:r>
        <w:rPr>
          <w:rFonts w:ascii="Times New Roman;Times;serif" w:hAnsi="Times New Roman;Times;serif"/>
          <w:color w:val="242424"/>
          <w:sz w:val="20"/>
          <w:shd w:fill="FFFFFF" w:val="clear"/>
        </w:rPr>
        <w:t xml:space="preserve">The Company recorded costs associated with agreements with WuXi of </w:t>
      </w:r>
      <w:r>
        <w:rPr>
          <w:rFonts w:ascii="Times New Roman;Times;serif" w:hAnsi="Times New Roman;Times;serif"/>
          <w:sz w:val="20"/>
          <w:shd w:fill="FFFFFF" w:val="clear"/>
        </w:rPr>
        <w:t>$4.8</w:t>
      </w:r>
      <w:r>
        <w:rPr>
          <w:rFonts w:ascii="Times New Roman;Times;serif" w:hAnsi="Times New Roman;Times;serif"/>
          <w:color w:val="242424"/>
          <w:sz w:val="20"/>
          <w:shd w:fill="FFFFFF" w:val="clear"/>
        </w:rPr>
        <w:t xml:space="preserve"> million and $3.2 million for the three months ended June 30, 2023 and 2022, respectively, and $</w:t>
      </w:r>
      <w:r>
        <w:rPr>
          <w:rFonts w:ascii="Times New Roman;Times;serif" w:hAnsi="Times New Roman;Times;serif"/>
          <w:sz w:val="20"/>
          <w:shd w:fill="FFFFFF" w:val="clear"/>
        </w:rPr>
        <w:t>8.7</w:t>
      </w:r>
      <w:r>
        <w:rPr>
          <w:rFonts w:ascii="Times New Roman;Times;serif" w:hAnsi="Times New Roman;Times;serif"/>
          <w:color w:val="242424"/>
          <w:sz w:val="20"/>
          <w:shd w:fill="FFFFFF" w:val="clear"/>
        </w:rPr>
        <w:t xml:space="preserve"> million and $7.1 million for the six months ended June 30, 2023 and 2022, respectively, as research and development expenses.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Cellectis S.A.</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On December 31, 2019, the Company entered into a research collaboration and exclusive worldwide license agreement whereby the Company will license gene-editing technology from Cellectis S.A. (“Cellectis”), a clinical-stage biopharmaceutical company, to develop TIL therapies that have been genetically edited using TALEN ® technology, including a PD-1 inactivated product that the Company refers to as IOV-4001. Financial terms of the license include annual license payments and development, regulatory and sales milestone payments from the Company to Cellectis, as well as royalty payments based on net sales of TALEN®-modified TIL products. The Company recorded costs associated with the license agreement with Cellectis of $0.1 million for each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bookmarkStart w:id="1492" w:name="_5dade42e_3768_4b0a_958c_50d4c94fa9f3_5"/>
      <w:bookmarkStart w:id="1493" w:name="_5dade42e_3768_4b0a_958c_50d4c94fa9f3_4"/>
      <w:bookmarkStart w:id="1494" w:name="_5dade42e_3768_4b0a_958c_50d4c94fa9f3_3"/>
      <w:bookmarkStart w:id="1495" w:name="_5dade42e_3768_4b0a_958c_50d4c94fa9f3_2"/>
      <w:bookmarkStart w:id="1496" w:name="_5dade42e_3768_4b0a_958c_50d4c94fa9f3"/>
      <w:bookmarkEnd w:id="1492"/>
      <w:bookmarkEnd w:id="1493"/>
      <w:bookmarkEnd w:id="1494"/>
      <w:bookmarkEnd w:id="1495"/>
      <w:bookmarkEnd w:id="1496"/>
      <w:r>
        <w:rPr>
          <w:rFonts w:ascii="Times New Roman;Times;serif" w:hAnsi="Times New Roman;Times;serif"/>
          <w:sz w:val="20"/>
        </w:rPr>
        <w:t>the three months ended June 30, 2023 and 2022, and $0.2 million for each of the six months ended June 30, 2023 and 2022, respectively, as research and development expense.</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Novartis Pharma AG and Related Entities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On January 9, 2020, the Company obtained a license from Novartis Pharma AG (“Novartis”) to develop and commercialize an antibody cytokine engrafted protein, which the Company refers to as IOV-3001. Under the agreement, the Company has paid an upfront payment to Novartis and may pay future milestones related to initiation of patient dosing in various phases of clinical development for IOV-3001 and approval of the product in the U.S, EU, and Japan. Novartis is also entitled to low-to-mid single digit percentage royalties from commercial sales of the product. The Company recorded costs associated with the license agreement from Novartis of $10.0 million as research and development expense during for the year ended December 31, 2020. No expenses were recorded for both the three and six months ended June 30, 2023 and 2022.</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On May 18, 2023, as part of the completion of the Acquisition, the Company inherited two historical asset purchase agreements, one historical master cell bank license and working cell bank transfer agreement and one historical license agreement from Clinigen with Novartis AG, Novartis Pharma AG and Novartis Vaccines and Diagnostics, Inc. pursuant to which, among other things, the Company may be required to make future milestone payments based on net sales (as defined in the relevant underlying agreements) in the United States and the rest of world, which includes any and all sales outside of the United States. The maximum amount of these milestone payments payable under these agreements is $30.0 million upon reaching several certain net sales amounts in the United States and $15.0 million upon reaching several certain net sales amounts in the rest of the world, of which 25% of each milestone payment will be reimbursed by Clinigen by deduction from the deferred consideration due under the Option Agreement in the period such milestone payment is made. To date, the net sales milestones have not been achieved, and, therefore, no payments were made under these agreements for both the three and six months ended June 30, 2023 and 2022. </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Boehringer Ingelheim Biopharmaceuticals GmbH</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On May 18, 2023 as part of the completion of the Acquisition, the Company inherited a manufacturing and supply agreement from Clinigen with Boehringer Ingelheim Biopharmaceuticals GmbH (“BI”) pursuant to which BI will carry out the processing, manufacturing and supply of Proleukin® in unlabeled vials. The term of this agreement is through October 2025, with automatic renewals for a period of two years unless terminated as permitted by the contract. Under this agreement, the Company must purchase a minimum number of vials each year at fixed prices determined by vial batch size. No inventory was purchased or material expense was recorded under this agreement for both the three and six months ended June 30, 2023 and 2022. The total estimated purchase obligations under this agreement for the remaining six months ending December 31, 2023, and the years ending December 31, 2024, 2025, 2026 and 2027, are $6.8 million, $9.5 million, $6.1 million, $6.1 million, and $6.1 million, respectively.</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12. LEASES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Operating Leases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The Company leases corporate office space in California, including 49,918 square feet for its current corporate headquarters’ office space in San Carlos, California, manufacturing, research and development lab facilities and office space in Philadelphia, Pennsylvania, including 136,000 square feet of commercial manufacturing and lab space at the </w:t>
      </w:r>
      <w:r>
        <w:rPr>
          <w:rFonts w:ascii="Times New Roman;Times;serif" w:hAnsi="Times New Roman;Times;serif"/>
          <w:i/>
          <w:sz w:val="20"/>
        </w:rPr>
        <w:t>i</w:t>
      </w:r>
      <w:r>
        <w:rPr>
          <w:rFonts w:ascii="Times New Roman;Times;serif" w:hAnsi="Times New Roman;Times;serif"/>
          <w:sz w:val="20"/>
        </w:rPr>
        <w:t xml:space="preserve">CTC, and research and development lab facilities in Tampa, Florida. The determination if an arrangement is a lease occurs at inception, and for leases with terms greater than 12 months, the Company records a related right-of-use asset and lease liability at the present value of lease payments over the term. Many leases include fixed rental escalation clauses, renewal options and/or termination options that are factored into the determination of lease payments when appropriate. The Company’s leases do not provide an implicit rate, and thus the Company estimated the incremental borrowing rate in calculating the present value of the lease payments.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Company’s leases have remaining lease terms that range from less than one year to approximately 20 years. Some of the Company’s leases include one or more options to renew with renewal terms that can extend the lease for additional years, or options to terminate the leases, both at the Company’s discretion. The Company’s leases may include options to extend or terminate the lease, which is considered in the lease term when it is reasonably certain that the Company will exercise any such options. Lease expense for minimum lease payments is recognized on a straight-line basis based on the fixed components of a lease arrangement.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Variable lease cost is determined based on performance or usage in accordance with the contractual agreements, and not based on an index or rate. Such costs that are not fixed in nature are recognized as incurred.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left"/>
        <w:rPr>
          <w:rFonts w:ascii="Times New Roman;Times;serif" w:hAnsi="Times New Roman;Times;serif"/>
          <w:sz w:val="20"/>
        </w:rPr>
      </w:pPr>
      <w:bookmarkStart w:id="1497" w:name="Tc_6QJYYx7_cUuk3v4YzIX7Mw_7_5"/>
      <w:bookmarkStart w:id="1498" w:name="Tc_QZuFvmlbg06IEp-gCCgFAQ_7_2"/>
      <w:bookmarkStart w:id="1499" w:name="Tc_EaWDmR-_yUyNUUj7Ori0nw_7_0"/>
      <w:bookmarkStart w:id="1500" w:name="Tc_PC-7E5uUZUadOPSIiu0sSg_6_0"/>
      <w:bookmarkStart w:id="1501" w:name="Tc_Yw_1XixpQkmDrupa44J8ig_5_0"/>
      <w:bookmarkStart w:id="1502" w:name="Tc_igS7sVaYZUej7fmJmgsFag_4_0"/>
      <w:bookmarkStart w:id="1503" w:name="Tc_OAN6lWp5Gkm-DkAMUY3RBw_3_5"/>
      <w:bookmarkStart w:id="1504" w:name="Tc_yGOGGq64QEaLOR-BofzvFg_3_2"/>
      <w:bookmarkStart w:id="1505" w:name="Tc_tjRt90ztkkOgsgLcxEmqUQ_3_0"/>
      <w:bookmarkStart w:id="1506" w:name="Tc_0TRkqOL540uFUMa3mybtGw_2_5"/>
      <w:bookmarkStart w:id="1507" w:name="Tc_Ydces_K0UECxvFBAtzudCg_2_2"/>
      <w:bookmarkStart w:id="1508" w:name="Tc_2ps8OhNSx0GWV2FT8hzofQ_1_5"/>
      <w:bookmarkStart w:id="1509" w:name="Tc_6yRmvi6h-UGRpn9HOe8TCQ_1_2"/>
      <w:bookmarkStart w:id="1510" w:name="_a08c5c8b_bf12_44c7_b0a1_82b2ab5415a2"/>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r>
        <w:rPr>
          <w:rFonts w:ascii="Times New Roman;Times;serif" w:hAnsi="Times New Roman;Times;serif"/>
          <w:sz w:val="20"/>
        </w:rPr>
        <w:t>The Company also leases certain furniture and equipment that has a lease term of 12 months or less. Since the lease agreement do not include an option to purchase the underlying asset, the Company elected not to apply the recognition requirements of Topic 842 for short-term leases, however, the lease costs that pertain to the short-term leases are disclosed in the components of lease costs table below.</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Manufacturing Contracts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The Company uses contract manufacturing organizations (collectively the “CMOs” and each a “CMO”) to manufacture and supply TILs for clinical and commercial purposes. The CMO contractual obligations consist of the use of manufacturing facilities and minimum fixed commitment fees, such as personnel, general support fees, and minimum production or material fees. In addition to the minimum fixed commitment fees, the CMO contractual obligations include variable costs such as production and material costs in excess of the minimum quantity specified in each CMO agreement. During the term of each CMO agreement, the Company has access to and control of the use of a dedicated suite in each of the CMOs’ facilities for manufacturing activities. The contracts with CMOs generally contain embedded operating leases based on the fact that the suites are used for the Company’s production are implicitly identified, are used exclusively by the Company during the contractual term of the arrangements, and the CMOs have no substantive contractual rights to substitute the facilities used by the Company.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Further, the Company controls the use of the facilities by obtaining all of the economic benefits from the use of the facilities and direct the use of the facilities throughout the period of use. The terms of the CMO contracts include options to terminate the lease with advance notice of five to six months. The termination clauses and extension clauses are included in the calculation of the lease term for each of the CMOs when it is reasonably certain that it will not exercise such options.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For contracts with multiple deliverables, Topic 842 requires the Company to first identify a lease deliverable and non-lease deliverable included in the arrangements, and then allocate the fixed contractual consideration to the lease deliverable(s) and the non-lease deliverable(s) on a relative standalone selling price basis to determine the amount of operating lease right-of-use assets and liabilities. The Company identified the use of a dedicated suite as a single lease deliverable, and related labor services as a single non-lease deliverable in each of the CMO arrangements. Judgment is required to determine the relative standalone selling price of each deliverable as the observable standalone selling prices are not readily available. Therefore, management uses estimates and assumptions in determining relative standalone selling price of lease of a suite and labor service using information that includes market and other observable inputs to the extent possible.</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The balance sheet classification of the Company’s right-of-use asset and lease liabilities was as follows (in thousands):</w:t>
      </w:r>
    </w:p>
    <w:p>
      <w:pPr>
        <w:pStyle w:val="TextBody"/>
        <w:bidi w:val="0"/>
        <w:spacing w:before="0" w:after="200"/>
        <w:ind w:left="0" w:right="0" w:firstLine="547"/>
        <w:jc w:val="left"/>
        <w:rPr/>
      </w:pPr>
      <w:r>
        <w:rPr/>
        <w:t>​</w:t>
      </w:r>
    </w:p>
    <w:tbl>
      <w:tblPr>
        <w:tblW w:w="7135" w:type="dxa"/>
        <w:jc w:val="left"/>
        <w:tblInd w:w="0" w:type="dxa"/>
        <w:tblLayout w:type="fixed"/>
        <w:tblCellMar>
          <w:top w:w="0" w:type="dxa"/>
          <w:left w:w="0" w:type="dxa"/>
          <w:bottom w:w="0" w:type="dxa"/>
          <w:right w:w="0" w:type="dxa"/>
        </w:tblCellMar>
      </w:tblPr>
      <w:tblGrid>
        <w:gridCol w:w="4411"/>
        <w:gridCol w:w="326"/>
        <w:gridCol w:w="211"/>
        <w:gridCol w:w="676"/>
        <w:gridCol w:w="326"/>
        <w:gridCol w:w="248"/>
        <w:gridCol w:w="937"/>
      </w:tblGrid>
      <w:tr>
        <w:trPr/>
        <w:tc>
          <w:tcPr>
            <w:tcW w:w="4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800985" cy="175260"/>
                      <wp:effectExtent l="0" t="0" r="0" b="0"/>
                      <wp:wrapNone/>
                      <wp:docPr id="226" name="Frame226"/>
                      <a:graphic xmlns:a="http://schemas.openxmlformats.org/drawingml/2006/main">
                        <a:graphicData uri="http://schemas.microsoft.com/office/word/2010/wordprocessingShape">
                          <wps:wsp>
                            <wps:cNvSpPr txBox="1"/>
                            <wps:spPr>
                              <a:xfrm>
                                <a:off x="0" y="0"/>
                                <a:ext cx="2800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07010" cy="175260"/>
                      <wp:effectExtent l="0" t="0" r="0" b="0"/>
                      <wp:wrapNone/>
                      <wp:docPr id="227" name="Frame2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33985" cy="175260"/>
                      <wp:effectExtent l="0" t="0" r="0" b="0"/>
                      <wp:wrapNone/>
                      <wp:docPr id="228" name="Frame2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429260" cy="175260"/>
                      <wp:effectExtent l="0" t="0" r="0" b="0"/>
                      <wp:wrapNone/>
                      <wp:docPr id="229" name="Frame22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07010" cy="175260"/>
                      <wp:effectExtent l="0" t="0" r="0" b="0"/>
                      <wp:wrapNone/>
                      <wp:docPr id="230" name="Frame2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57480" cy="175260"/>
                      <wp:effectExtent l="0" t="0" r="0" b="0"/>
                      <wp:wrapNone/>
                      <wp:docPr id="231" name="Frame231"/>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594995" cy="175260"/>
                      <wp:effectExtent l="0" t="0" r="0" b="0"/>
                      <wp:wrapNone/>
                      <wp:docPr id="232" name="Frame232"/>
                      <a:graphic xmlns:a="http://schemas.openxmlformats.org/drawingml/2006/main">
                        <a:graphicData uri="http://schemas.microsoft.com/office/word/2010/wordprocessingShape">
                          <wps:wsp>
                            <wps:cNvSpPr txBox="1"/>
                            <wps:spPr>
                              <a:xfrm>
                                <a:off x="0" y="0"/>
                                <a:ext cx="594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4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left"/>
              <w:rPr/>
            </w:pPr>
            <w:r>
              <w:rPr/>
              <w:t>    </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4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4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67,631</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73,015</w:t>
            </w:r>
          </w:p>
        </w:tc>
      </w:tr>
      <w:tr>
        <w:trPr/>
        <w:tc>
          <w:tcPr>
            <w:tcW w:w="44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color w:val="FF0000"/>
              </w:rPr>
            </w:pPr>
            <w:r>
              <w:rPr>
                <w:color w:val="FF0000"/>
              </w:rPr>
              <w:t>​</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 </w:t>
            </w:r>
          </w:p>
        </w:tc>
        <w:tc>
          <w:tcPr>
            <w:tcW w:w="937" w:type="dxa"/>
            <w:tcBorders/>
            <w:vAlign w:val="center"/>
          </w:tcPr>
          <w:p>
            <w:pPr>
              <w:pStyle w:val="TableContents"/>
              <w:bidi w:val="0"/>
              <w:spacing w:before="0" w:after="1"/>
              <w:ind w:left="0" w:right="0" w:hanging="0"/>
              <w:jc w:val="right"/>
              <w:rPr/>
            </w:pPr>
            <w:r>
              <w:rPr/>
              <w:t>​</w:t>
            </w:r>
          </w:p>
        </w:tc>
      </w:tr>
      <w:tr>
        <w:trPr/>
        <w:tc>
          <w:tcPr>
            <w:tcW w:w="44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portion included in 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10,866</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 </w:t>
            </w:r>
          </w:p>
        </w:tc>
        <w:tc>
          <w:tcPr>
            <w:tcW w:w="9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12,587</w:t>
            </w:r>
          </w:p>
        </w:tc>
      </w:tr>
      <w:tr>
        <w:trPr/>
        <w:tc>
          <w:tcPr>
            <w:tcW w:w="44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portion included in non-current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68,844</w:t>
            </w:r>
          </w:p>
        </w:tc>
        <w:tc>
          <w:tcPr>
            <w:tcW w:w="326" w:type="dxa"/>
            <w:tcBorders/>
            <w:vAlign w:val="center"/>
          </w:tcPr>
          <w:p>
            <w:pPr>
              <w:pStyle w:val="TableContents"/>
              <w:bidi w:val="0"/>
              <w:spacing w:before="0" w:after="1"/>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71,859</w:t>
            </w:r>
          </w:p>
        </w:tc>
      </w:tr>
      <w:tr>
        <w:trPr/>
        <w:tc>
          <w:tcPr>
            <w:tcW w:w="44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79,710</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84,446</w:t>
            </w:r>
          </w:p>
        </w:tc>
      </w:tr>
    </w:tbl>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7"/>
        <w:jc w:val="left"/>
        <w:rPr>
          <w:rFonts w:ascii="Times New Roman;Times;serif" w:hAnsi="Times New Roman;Times;serif"/>
          <w:sz w:val="20"/>
        </w:rPr>
      </w:pPr>
      <w:bookmarkStart w:id="1511" w:name="Tc_iZ9rh9rqjEazpFAI0KU3_A_12_8"/>
      <w:bookmarkStart w:id="1512" w:name="Tc_rQ9acwPgiEiHHiedByALrw_12_5"/>
      <w:bookmarkStart w:id="1513" w:name="Tc_z3WsexKgYU6YvcCGvgvlZw_12_2"/>
      <w:bookmarkStart w:id="1514" w:name="Tc_4cmCSKrC9kqhTvZMp9g_Vg_12_0"/>
      <w:bookmarkStart w:id="1515" w:name="Tc_LgyM3bNf-kqwClqs9wmf5A_11_0"/>
      <w:bookmarkStart w:id="1516" w:name="Tc_EQZK13wFU0K_xpYuUybqXg_10_8"/>
      <w:bookmarkStart w:id="1517" w:name="Tc_VgMXNxByYESCwJHXKrv7hg_10_5"/>
      <w:bookmarkStart w:id="1518" w:name="Tc_QBRoetABOUyoNyV3u4jwaw_10_2"/>
      <w:bookmarkStart w:id="1519" w:name="Tc_xy6jQvM6hk2fRG_zauOSMg_10_0"/>
      <w:bookmarkStart w:id="1520" w:name="Tc_DQZx1wk6xk-3TI2LawokUA_9_6"/>
      <w:bookmarkStart w:id="1521" w:name="Tc_srg84trpMU-eIo7HFpqSLw_9_0"/>
      <w:bookmarkStart w:id="1522" w:name="Tc_LDRAiyKdCkithx4e41x6dw_8_6"/>
      <w:bookmarkStart w:id="1523" w:name="Tc_2bdqJJHXBUKaueCcWP0pqw_8_0"/>
      <w:bookmarkStart w:id="1524" w:name="Tc_-C8sRkQAhECKUeEdQDEknA_7_6"/>
      <w:bookmarkStart w:id="1525" w:name="Tc_Z5ilKA3Hi06Re57eMTC_oQ_7_0"/>
      <w:bookmarkStart w:id="1526" w:name="Tc_UPsowfe-gkGvtmy-LSF_Yg_6_6"/>
      <w:bookmarkStart w:id="1527" w:name="Tc_TxkUhyzpoE-42W9kl-77Aw_6_0"/>
      <w:bookmarkStart w:id="1528" w:name="Tc_ZTkFDtNZ3kuKo1zLc1x7bw_5_0"/>
      <w:bookmarkStart w:id="1529" w:name="Tc_LYNvUjtho0W3crMOccbnBA_4_8"/>
      <w:bookmarkStart w:id="1530" w:name="Tc_WUBK3zbvwUCeV9NJJDcpPA_4_5"/>
      <w:bookmarkStart w:id="1531" w:name="Tc_t5mZZB7dFkC32f7-8Nx0Eg_4_2"/>
      <w:bookmarkStart w:id="1532" w:name="Tc_B0jZ74dwJEy6mddlXklxsg_4_0"/>
      <w:bookmarkStart w:id="1533" w:name="Tc_iycsIborDk--bWyP9Sp94g_3_8"/>
      <w:bookmarkStart w:id="1534" w:name="Tc_EHBVQUqyjE6CpKrssT5-LQ_3_5"/>
      <w:bookmarkStart w:id="1535" w:name="Tc_TaRp0vpYO06mnY-1PRdgtw_3_2"/>
      <w:bookmarkStart w:id="1536" w:name="Tc_jBPbsnfEnkCLKGuVqp5NfA_3_0"/>
      <w:bookmarkStart w:id="1537" w:name="Tc_cM6T990odU26bRjgHqyurQ_2_5"/>
      <w:bookmarkStart w:id="1538" w:name="Tc_lLgRJUp4L0GQhVOJ2Vd56A_2_2"/>
      <w:bookmarkStart w:id="1539" w:name="Tc_1OswGMieAEyKnV-3B_NtIQ_1_5"/>
      <w:bookmarkStart w:id="1540" w:name="_b2e36c3b_b90b_4ef5_97f6_12c4c3481769"/>
      <w:bookmarkStart w:id="1541" w:name="Tc_haddvEKR_EmEiOSfUecjeg_15_13"/>
      <w:bookmarkStart w:id="1542" w:name="Tc_N5NNUTUag0qrPe1aANRk7g_15_10"/>
      <w:bookmarkStart w:id="1543" w:name="Tc_T-gynFiBZkuQOwjaul5VDg_15_0"/>
      <w:bookmarkStart w:id="1544" w:name="Tc_Tc1Lc7zo9E-SOG654jr_wQ_14_0"/>
      <w:bookmarkStart w:id="1545" w:name="Tc_T6j6sJBddU69IwrzEiWHyA_13_11"/>
      <w:bookmarkStart w:id="1546" w:name="Tc_i0RoPNFGB02II0w8j3d6Tw_13_8"/>
      <w:bookmarkStart w:id="1547" w:name="Tc_bOo6BslYWkW1jh-wAOnUXQ_13_5"/>
      <w:bookmarkStart w:id="1548" w:name="Tc_LLg5HBQ7UkK5-oJMQx-J5g_13_3"/>
      <w:bookmarkStart w:id="1549" w:name="Tc_FyWY4G-U60api64gIboObQ_13_2"/>
      <w:bookmarkStart w:id="1550" w:name="Tc_9PP5WNAX6UaxORW8x0_o3g_13_0"/>
      <w:bookmarkStart w:id="1551" w:name="Tc_HOlcfXl3XEaICYOVI-Cpjw_12_11"/>
      <w:bookmarkStart w:id="1552" w:name="Tc_FBkOKq1JJkuzhUTOEzPvzw_12_8"/>
      <w:bookmarkStart w:id="1553" w:name="Tc_Z-Y-bRd0PkGMCc0aLyxnUQ_12_5"/>
      <w:bookmarkStart w:id="1554" w:name="Tc_ABEp_R8K2kmvFxSw1Ac6Kw_12_2"/>
      <w:bookmarkStart w:id="1555" w:name="Tc_xxIVd6mOIkOA5FvemOqe7w_12_0"/>
      <w:bookmarkStart w:id="1556" w:name="Tc_Df_-0A7LrEy9r5D0aqDGRQ_11_9"/>
      <w:bookmarkStart w:id="1557" w:name="Tc_qm0HnX0tKka86pdcWNQ9dw_11_5"/>
      <w:bookmarkStart w:id="1558" w:name="Tc_HjD-wzlTzU21HndEkB_9aw_11_3"/>
      <w:bookmarkStart w:id="1559" w:name="Tc_jaM6C001vUKP8oBZjfBjuQ_11_2"/>
      <w:bookmarkStart w:id="1560" w:name="Tc_L7fxUwqT3EGtN8DHIDHFpQ_11_0"/>
      <w:bookmarkStart w:id="1561" w:name="Tc_zE_iQC4xyUitKZzCtSnnYQ_10_11"/>
      <w:bookmarkStart w:id="1562" w:name="Tc_AQnrkEufgEyppKXCVyVw_A_10_8"/>
      <w:bookmarkStart w:id="1563" w:name="Tc_ZvqnoCkuVEuRJXEtepXdeA_10_5"/>
      <w:bookmarkStart w:id="1564" w:name="Tc_Rj1So_J-ckqJdvMxLqUNtw_10_2"/>
      <w:bookmarkStart w:id="1565" w:name="Tc_vv2bNZ0Bv0WBFjss0HuScQ_10_0"/>
      <w:bookmarkStart w:id="1566" w:name="Tc_n4fXas55dEGdWWrIdz003A_9_0"/>
      <w:bookmarkStart w:id="1567" w:name="Tc_DqiwZB6Pf0mfWijTWW919A_7_11"/>
      <w:bookmarkStart w:id="1568" w:name="Tc_sTYM-t0PVkq3zW2BjgZa_w_7_8"/>
      <w:bookmarkStart w:id="1569" w:name="Tc_OXSXiK1f2k-HKXEgjMtaAQ_7_5"/>
      <w:bookmarkStart w:id="1570" w:name="Tc_GR8FVKZKxU6AmrbqbOETxQ_7_2"/>
      <w:bookmarkStart w:id="1571" w:name="Tc_zferPXyss0iMk4xbw9LWOg_7_0"/>
      <w:bookmarkStart w:id="1572" w:name="Tc_cn62rsUCk0G-fNd1w9XySg_6_0"/>
      <w:bookmarkStart w:id="1573" w:name="Tc_FSlQHYBP7EabL9IV-2mVeg_5_0"/>
      <w:bookmarkStart w:id="1574" w:name="Tc_Eb8pUbN28UmM2B35nEHRkQ_4_11"/>
      <w:bookmarkStart w:id="1575" w:name="Tc_1AgLNOwznESFVupfLW3MGA_4_8"/>
      <w:bookmarkStart w:id="1576" w:name="Tc_ifPmF2ee1U-R8C5w7sjSzA_4_5"/>
      <w:bookmarkStart w:id="1577" w:name="Tc_wepOsDLf-Ui72KVgmj7Rdg_4_2"/>
      <w:bookmarkStart w:id="1578" w:name="Tc_Y9imwIaTVk20Fa9EGV18vQ_4_0"/>
      <w:bookmarkStart w:id="1579" w:name="Tc_pMub70cNtkm902zliY5SvA_3_11"/>
      <w:bookmarkStart w:id="1580" w:name="Tc_JDaTrREzgkm8Ol-UTgk_Mg_3_8"/>
      <w:bookmarkStart w:id="1581" w:name="Tc_kAsWCcTF-EqcO9HXvvjlmg_3_5"/>
      <w:bookmarkStart w:id="1582" w:name="Tc_YdlrMVneRkiY6hP5Nsi3QA_3_2"/>
      <w:bookmarkStart w:id="1583" w:name="Tc_pq6EfmqoIU2ZVONCYvRcCQ_2_8"/>
      <w:bookmarkStart w:id="1584" w:name="Tc_LHk9zA3yCE2uxowAJe4Lxw_2_2"/>
      <w:bookmarkStart w:id="1585" w:name="Tc_bZyX-mQ9EkmHeMG1OKVYAg_1_8"/>
      <w:bookmarkStart w:id="1586" w:name="Tc_nitgyL5wgE2cAa3CSY4Q8Q_1_2"/>
      <w:bookmarkStart w:id="1587" w:name="_384ba491_0d3b_4244_b16c_e2ccba79c77e"/>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r>
        <w:rPr>
          <w:rFonts w:ascii="Times New Roman;Times;serif" w:hAnsi="Times New Roman;Times;serif"/>
          <w:sz w:val="20"/>
        </w:rPr>
        <w:t>The following table summarizes components of lease expenses, which were included in Total costs and expenses in the Company’s Condensed Consolidated Statements of Operations, and other information related to its operating leases as follows (in thousands except weighted-average remaining lease terms and discount rates):</w:t>
      </w:r>
    </w:p>
    <w:p>
      <w:pPr>
        <w:pStyle w:val="TextBody"/>
        <w:bidi w:val="0"/>
        <w:spacing w:before="0" w:after="200"/>
        <w:ind w:left="0" w:right="0" w:firstLine="547"/>
        <w:jc w:val="left"/>
        <w:rPr/>
      </w:pPr>
      <w:r>
        <w:rPr/>
        <w:t>​</w:t>
      </w:r>
    </w:p>
    <w:tbl>
      <w:tblPr>
        <w:tblW w:w="10205" w:type="dxa"/>
        <w:jc w:val="left"/>
        <w:tblInd w:w="0" w:type="dxa"/>
        <w:tblLayout w:type="fixed"/>
        <w:tblCellMar>
          <w:top w:w="0" w:type="dxa"/>
          <w:left w:w="0" w:type="dxa"/>
          <w:bottom w:w="0" w:type="dxa"/>
          <w:right w:w="0" w:type="dxa"/>
        </w:tblCellMar>
      </w:tblPr>
      <w:tblGrid>
        <w:gridCol w:w="5796"/>
        <w:gridCol w:w="326"/>
        <w:gridCol w:w="211"/>
        <w:gridCol w:w="571"/>
        <w:gridCol w:w="109"/>
        <w:gridCol w:w="211"/>
        <w:gridCol w:w="571"/>
        <w:gridCol w:w="109"/>
        <w:gridCol w:w="211"/>
        <w:gridCol w:w="676"/>
        <w:gridCol w:w="241"/>
        <w:gridCol w:w="211"/>
        <w:gridCol w:w="676"/>
        <w:gridCol w:w="286"/>
      </w:tblGrid>
      <w:tr>
        <w:trPr/>
        <w:tc>
          <w:tcPr>
            <w:tcW w:w="5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3680460" cy="175260"/>
                      <wp:effectExtent l="0" t="0" r="0" b="0"/>
                      <wp:wrapNone/>
                      <wp:docPr id="233" name="Frame233"/>
                      <a:graphic xmlns:a="http://schemas.openxmlformats.org/drawingml/2006/main">
                        <a:graphicData uri="http://schemas.microsoft.com/office/word/2010/wordprocessingShape">
                          <wps:wsp>
                            <wps:cNvSpPr txBox="1"/>
                            <wps:spPr>
                              <a:xfrm>
                                <a:off x="0" y="0"/>
                                <a:ext cx="3680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07010" cy="175260"/>
                      <wp:effectExtent l="0" t="0" r="0" b="0"/>
                      <wp:wrapNone/>
                      <wp:docPr id="234" name="Frame2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33985" cy="175260"/>
                      <wp:effectExtent l="0" t="0" r="0" b="0"/>
                      <wp:wrapNone/>
                      <wp:docPr id="235" name="Frame2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362585" cy="175260"/>
                      <wp:effectExtent l="0" t="0" r="0" b="0"/>
                      <wp:wrapNone/>
                      <wp:docPr id="236" name="Frame23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9215" cy="175260"/>
                      <wp:effectExtent l="0" t="0" r="0" b="0"/>
                      <wp:wrapNone/>
                      <wp:docPr id="237" name="Frame2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33985" cy="175260"/>
                      <wp:effectExtent l="0" t="0" r="0" b="0"/>
                      <wp:wrapNone/>
                      <wp:docPr id="238" name="Frame2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362585" cy="175260"/>
                      <wp:effectExtent l="0" t="0" r="0" b="0"/>
                      <wp:wrapNone/>
                      <wp:docPr id="239" name="Frame23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9215" cy="175260"/>
                      <wp:effectExtent l="0" t="0" r="0" b="0"/>
                      <wp:wrapNone/>
                      <wp:docPr id="240" name="Frame2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33985" cy="175260"/>
                      <wp:effectExtent l="0" t="0" r="0" b="0"/>
                      <wp:wrapNone/>
                      <wp:docPr id="241" name="Frame2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429260" cy="175260"/>
                      <wp:effectExtent l="0" t="0" r="0" b="0"/>
                      <wp:wrapNone/>
                      <wp:docPr id="242" name="Frame24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53035" cy="175260"/>
                      <wp:effectExtent l="0" t="0" r="0" b="0"/>
                      <wp:wrapNone/>
                      <wp:docPr id="243" name="Frame243"/>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33985" cy="175260"/>
                      <wp:effectExtent l="0" t="0" r="0" b="0"/>
                      <wp:wrapNone/>
                      <wp:docPr id="244" name="Frame2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429260" cy="175260"/>
                      <wp:effectExtent l="0" t="0" r="0" b="0"/>
                      <wp:wrapNone/>
                      <wp:docPr id="245" name="Frame24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81610" cy="175260"/>
                      <wp:effectExtent l="0" t="0" r="0" b="0"/>
                      <wp:wrapNone/>
                      <wp:docPr id="246" name="Frame24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7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673"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1"/>
              <w:ind w:left="0" w:right="0" w:hanging="0"/>
              <w:jc w:val="center"/>
              <w:rPr/>
            </w:pPr>
            <w:r>
              <w:rPr/>
              <w:t>​</w:t>
            </w:r>
          </w:p>
        </w:tc>
        <w:tc>
          <w:tcPr>
            <w:tcW w:w="201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286" w:type="dxa"/>
            <w:tcBorders/>
            <w:vAlign w:val="center"/>
          </w:tcPr>
          <w:p>
            <w:pPr>
              <w:pStyle w:val="TableContents"/>
              <w:bidi w:val="0"/>
              <w:spacing w:before="0" w:after="1"/>
              <w:ind w:left="0" w:right="0" w:hanging="0"/>
              <w:jc w:val="center"/>
              <w:rPr/>
            </w:pPr>
            <w:r>
              <w:rPr/>
              <w:t> </w:t>
            </w:r>
          </w:p>
        </w:tc>
      </w:tr>
      <w:tr>
        <w:trPr/>
        <w:tc>
          <w:tcPr>
            <w:tcW w:w="57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67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1"/>
              <w:ind w:left="0" w:right="0" w:hanging="0"/>
              <w:jc w:val="center"/>
              <w:rPr/>
            </w:pPr>
            <w:r>
              <w:rPr/>
              <w:t>​</w:t>
            </w:r>
          </w:p>
        </w:tc>
        <w:tc>
          <w:tcPr>
            <w:tcW w:w="20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86" w:type="dxa"/>
            <w:tcBorders/>
            <w:vAlign w:val="center"/>
          </w:tcPr>
          <w:p>
            <w:pPr>
              <w:pStyle w:val="TableContents"/>
              <w:bidi w:val="0"/>
              <w:spacing w:before="0" w:after="1"/>
              <w:ind w:left="0" w:right="0" w:hanging="0"/>
              <w:jc w:val="center"/>
              <w:rPr/>
            </w:pPr>
            <w:r>
              <w:rPr/>
              <w:t> </w:t>
            </w:r>
          </w:p>
        </w:tc>
      </w:tr>
      <w:tr>
        <w:trPr/>
        <w:tc>
          <w:tcPr>
            <w:tcW w:w="57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41"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286" w:type="dxa"/>
            <w:tcBorders/>
            <w:vAlign w:val="center"/>
          </w:tcPr>
          <w:p>
            <w:pPr>
              <w:pStyle w:val="TableContents"/>
              <w:bidi w:val="0"/>
              <w:spacing w:before="0" w:after="1"/>
              <w:ind w:left="0" w:right="0" w:hanging="0"/>
              <w:jc w:val="center"/>
              <w:rPr/>
            </w:pPr>
            <w:r>
              <w:rPr/>
              <w:t> </w:t>
            </w:r>
          </w:p>
        </w:tc>
      </w:tr>
      <w:tr>
        <w:trPr/>
        <w:tc>
          <w:tcPr>
            <w:tcW w:w="57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4,521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4,399</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9,044</w:t>
            </w:r>
          </w:p>
        </w:tc>
        <w:tc>
          <w:tcPr>
            <w:tcW w:w="241"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8,954</w:t>
            </w:r>
          </w:p>
        </w:tc>
        <w:tc>
          <w:tcPr>
            <w:tcW w:w="286" w:type="dxa"/>
            <w:tcBorders/>
            <w:shd w:fill="CCEEFF" w:val="clear"/>
            <w:vAlign w:val="center"/>
          </w:tcPr>
          <w:p>
            <w:pPr>
              <w:pStyle w:val="TableContents"/>
              <w:bidi w:val="0"/>
              <w:spacing w:before="0" w:after="1"/>
              <w:ind w:left="0" w:right="0" w:hanging="0"/>
              <w:jc w:val="left"/>
              <w:rPr/>
            </w:pPr>
            <w:r>
              <w:rPr/>
              <w:t>​</w:t>
            </w:r>
          </w:p>
        </w:tc>
      </w:tr>
      <w:tr>
        <w:trPr/>
        <w:tc>
          <w:tcPr>
            <w:tcW w:w="57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Variable lease cost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1,236</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4,001</w:t>
            </w:r>
          </w:p>
        </w:tc>
        <w:tc>
          <w:tcPr>
            <w:tcW w:w="241"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2,216</w:t>
            </w:r>
          </w:p>
        </w:tc>
        <w:tc>
          <w:tcPr>
            <w:tcW w:w="286" w:type="dxa"/>
            <w:tcBorders/>
            <w:vAlign w:val="center"/>
          </w:tcPr>
          <w:p>
            <w:pPr>
              <w:pStyle w:val="TableContents"/>
              <w:bidi w:val="0"/>
              <w:spacing w:before="0" w:after="1"/>
              <w:ind w:left="0" w:right="0" w:hanging="0"/>
              <w:jc w:val="left"/>
              <w:rPr/>
            </w:pPr>
            <w:r>
              <w:rPr/>
              <w:t>​</w:t>
            </w:r>
          </w:p>
        </w:tc>
      </w:tr>
      <w:tr>
        <w:trPr/>
        <w:tc>
          <w:tcPr>
            <w:tcW w:w="57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lease cost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w:t>
            </w:r>
          </w:p>
        </w:tc>
        <w:tc>
          <w:tcPr>
            <w:tcW w:w="241"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w:t>
            </w:r>
          </w:p>
        </w:tc>
        <w:tc>
          <w:tcPr>
            <w:tcW w:w="286" w:type="dxa"/>
            <w:tcBorders/>
            <w:shd w:fill="CCEEFF" w:val="clear"/>
            <w:vAlign w:val="center"/>
          </w:tcPr>
          <w:p>
            <w:pPr>
              <w:pStyle w:val="TableContents"/>
              <w:bidi w:val="0"/>
              <w:spacing w:before="0" w:after="1"/>
              <w:ind w:left="0" w:right="0" w:hanging="0"/>
              <w:jc w:val="left"/>
              <w:rPr/>
            </w:pPr>
            <w:r>
              <w:rPr/>
              <w:t>​</w:t>
            </w:r>
          </w:p>
        </w:tc>
      </w:tr>
      <w:tr>
        <w:trPr/>
        <w:tc>
          <w:tcPr>
            <w:tcW w:w="57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cost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6,937</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5,670</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13,199</w:t>
            </w:r>
          </w:p>
        </w:tc>
        <w:tc>
          <w:tcPr>
            <w:tcW w:w="241"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11,247</w:t>
            </w:r>
          </w:p>
        </w:tc>
        <w:tc>
          <w:tcPr>
            <w:tcW w:w="286" w:type="dxa"/>
            <w:tcBorders/>
            <w:vAlign w:val="center"/>
          </w:tcPr>
          <w:p>
            <w:pPr>
              <w:pStyle w:val="TableContents"/>
              <w:bidi w:val="0"/>
              <w:spacing w:before="0" w:after="1"/>
              <w:ind w:left="0" w:right="0" w:hanging="0"/>
              <w:jc w:val="left"/>
              <w:rPr/>
            </w:pPr>
            <w:r>
              <w:rPr/>
              <w:t>​</w:t>
            </w:r>
          </w:p>
        </w:tc>
      </w:tr>
      <w:tr>
        <w:trPr/>
        <w:tc>
          <w:tcPr>
            <w:tcW w:w="57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color w:val="FF0000"/>
              </w:rPr>
            </w:pPr>
            <w:r>
              <w:rPr>
                <w:color w:val="FF0000"/>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24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r>
      <w:tr>
        <w:trPr/>
        <w:tc>
          <w:tcPr>
            <w:tcW w:w="5796"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Other information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color w:val="FF0000"/>
              </w:rPr>
            </w:pPr>
            <w:r>
              <w:rPr>
                <w:color w:val="FF0000"/>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color w:val="FF0000"/>
              </w:rPr>
            </w:pPr>
            <w:r>
              <w:rPr>
                <w:color w:val="FF0000"/>
              </w:rPr>
              <w:t>​</w:t>
            </w:r>
          </w:p>
        </w:tc>
        <w:tc>
          <w:tcPr>
            <w:tcW w:w="24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r>
      <w:tr>
        <w:trPr/>
        <w:tc>
          <w:tcPr>
            <w:tcW w:w="57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 included in cash flows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8,396</w:t>
            </w:r>
          </w:p>
        </w:tc>
        <w:tc>
          <w:tcPr>
            <w:tcW w:w="24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7,073</w:t>
            </w:r>
          </w:p>
        </w:tc>
        <w:tc>
          <w:tcPr>
            <w:tcW w:w="286" w:type="dxa"/>
            <w:tcBorders/>
            <w:shd w:fill="CCEEFF" w:val="clear"/>
            <w:vAlign w:val="center"/>
          </w:tcPr>
          <w:p>
            <w:pPr>
              <w:pStyle w:val="TableContents"/>
              <w:bidi w:val="0"/>
              <w:spacing w:before="0" w:after="1"/>
              <w:ind w:left="0" w:right="0" w:hanging="0"/>
              <w:jc w:val="left"/>
              <w:rPr/>
            </w:pPr>
            <w:r>
              <w:rPr/>
              <w:t>​</w:t>
            </w:r>
          </w:p>
        </w:tc>
      </w:tr>
      <w:tr>
        <w:trPr/>
        <w:tc>
          <w:tcPr>
            <w:tcW w:w="57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Tenant improvement allowance received for amounts included in the measurement of lease liabilities included in cash flows from operations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24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5,200</w:t>
            </w:r>
          </w:p>
        </w:tc>
        <w:tc>
          <w:tcPr>
            <w:tcW w:w="286" w:type="dxa"/>
            <w:tcBorders/>
            <w:vAlign w:val="center"/>
          </w:tcPr>
          <w:p>
            <w:pPr>
              <w:pStyle w:val="TableContents"/>
              <w:bidi w:val="0"/>
              <w:spacing w:before="0" w:after="1"/>
              <w:ind w:left="0" w:right="0" w:hanging="0"/>
              <w:jc w:val="left"/>
              <w:rPr/>
            </w:pPr>
            <w:r>
              <w:rPr/>
              <w:t>​</w:t>
            </w:r>
          </w:p>
        </w:tc>
      </w:tr>
      <w:tr>
        <w:trPr/>
        <w:tc>
          <w:tcPr>
            <w:tcW w:w="57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Right-of-use assets obtained from entering new leases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w:t>
            </w:r>
          </w:p>
        </w:tc>
        <w:tc>
          <w:tcPr>
            <w:tcW w:w="24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553</w:t>
            </w:r>
          </w:p>
        </w:tc>
        <w:tc>
          <w:tcPr>
            <w:tcW w:w="286" w:type="dxa"/>
            <w:tcBorders/>
            <w:shd w:fill="CCEEFF" w:val="clear"/>
            <w:vAlign w:val="center"/>
          </w:tcPr>
          <w:p>
            <w:pPr>
              <w:pStyle w:val="TableContents"/>
              <w:bidi w:val="0"/>
              <w:spacing w:before="0" w:after="1"/>
              <w:ind w:left="0" w:right="0" w:hanging="0"/>
              <w:jc w:val="right"/>
              <w:rPr/>
            </w:pPr>
            <w:r>
              <w:rPr/>
              <w:t>​</w:t>
            </w:r>
          </w:p>
        </w:tc>
      </w:tr>
      <w:tr>
        <w:trPr/>
        <w:tc>
          <w:tcPr>
            <w:tcW w:w="57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Increase in right-of-use assets from lease modifications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w:t>
            </w:r>
          </w:p>
        </w:tc>
        <w:tc>
          <w:tcPr>
            <w:tcW w:w="24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7,493</w:t>
            </w:r>
          </w:p>
        </w:tc>
        <w:tc>
          <w:tcPr>
            <w:tcW w:w="286" w:type="dxa"/>
            <w:tcBorders/>
            <w:vAlign w:val="center"/>
          </w:tcPr>
          <w:p>
            <w:pPr>
              <w:pStyle w:val="TableContents"/>
              <w:bidi w:val="0"/>
              <w:spacing w:before="0" w:after="1"/>
              <w:ind w:left="0" w:right="0" w:hanging="0"/>
              <w:jc w:val="left"/>
              <w:rPr/>
            </w:pPr>
            <w:r>
              <w:rPr/>
              <w:t>​</w:t>
            </w:r>
          </w:p>
        </w:tc>
      </w:tr>
      <w:tr>
        <w:trPr/>
        <w:tc>
          <w:tcPr>
            <w:tcW w:w="57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remaining lease terms (years)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color w:val="FF0000"/>
              </w:rPr>
            </w:pPr>
            <w:r>
              <w:rPr>
                <w:color w:val="FF0000"/>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12.95</w:t>
            </w:r>
          </w:p>
        </w:tc>
        <w:tc>
          <w:tcPr>
            <w:tcW w:w="24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14.01</w:t>
            </w:r>
          </w:p>
        </w:tc>
        <w:tc>
          <w:tcPr>
            <w:tcW w:w="286" w:type="dxa"/>
            <w:tcBorders/>
            <w:shd w:fill="CCEEFF" w:val="clear"/>
            <w:vAlign w:val="center"/>
          </w:tcPr>
          <w:p>
            <w:pPr>
              <w:pStyle w:val="TableContents"/>
              <w:bidi w:val="0"/>
              <w:spacing w:before="0" w:after="1"/>
              <w:ind w:left="0" w:right="0" w:hanging="0"/>
              <w:jc w:val="left"/>
              <w:rPr/>
            </w:pPr>
            <w:r>
              <w:rPr/>
              <w:t>​</w:t>
            </w:r>
          </w:p>
        </w:tc>
      </w:tr>
      <w:tr>
        <w:trPr/>
        <w:tc>
          <w:tcPr>
            <w:tcW w:w="57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discount rates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color w:val="FF0000"/>
              </w:rPr>
            </w:pPr>
            <w:r>
              <w:rPr>
                <w:color w:val="FF0000"/>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c>
          <w:tcPr>
            <w:tcW w:w="241" w:type="dxa"/>
            <w:tcBorders/>
            <w:vAlign w:val="center"/>
          </w:tcPr>
          <w:p>
            <w:pPr>
              <w:pStyle w:val="TableContents"/>
              <w:bidi w:val="0"/>
              <w:spacing w:before="0" w:after="1"/>
              <w:ind w:left="0" w:right="0" w:hanging="0"/>
              <w:jc w:val="left"/>
              <w:rPr>
                <w:rFonts w:ascii="Calibri;Helvetica;sans-serif" w:hAnsi="Calibri;Helvetica;sans-serif"/>
                <w:sz w:val="20"/>
              </w:rPr>
            </w:pPr>
            <w:r>
              <w:rPr>
                <w:rFonts w:ascii="Calibri;Helvetica;sans-serif" w:hAnsi="Calibri;Helvetica;sans-serif"/>
                <w:sz w:val="20"/>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w:t>
            </w:r>
          </w:p>
        </w:tc>
        <w:tc>
          <w:tcPr>
            <w:tcW w:w="286" w:type="dxa"/>
            <w:tcBorders/>
            <w:vAlign w:val="center"/>
          </w:tcPr>
          <w:p>
            <w:pPr>
              <w:pStyle w:val="TableContents"/>
              <w:bidi w:val="0"/>
              <w:spacing w:before="0" w:after="1"/>
              <w:ind w:left="0" w:right="0" w:hanging="0"/>
              <w:jc w:val="left"/>
              <w:rPr>
                <w:rFonts w:ascii="Calibri;Helvetica;sans-serif" w:hAnsi="Calibri;Helvetica;sans-serif"/>
                <w:sz w:val="20"/>
              </w:rPr>
            </w:pPr>
            <w:r>
              <w:rPr>
                <w:rFonts w:ascii="Calibri;Helvetica;sans-serif" w:hAnsi="Calibri;Helvetica;sans-serif"/>
                <w:sz w:val="20"/>
              </w:rPr>
              <w:t>%</w:t>
            </w:r>
          </w:p>
        </w:tc>
      </w:tr>
    </w:tbl>
    <w:p>
      <w:pPr>
        <w:pStyle w:val="TextBody"/>
        <w:bidi w:val="0"/>
        <w:spacing w:before="0" w:after="200"/>
        <w:ind w:left="0" w:right="0" w:hanging="0"/>
        <w:jc w:val="left"/>
        <w:rPr/>
      </w:pPr>
      <w:r>
        <w:rPr/>
        <w:t>​</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As of June 30, 2023, the maturities of the Company’s operating lease liabilities were as follows (in thousands):</w:t>
      </w:r>
    </w:p>
    <w:p>
      <w:pPr>
        <w:pStyle w:val="TextBody"/>
        <w:bidi w:val="0"/>
        <w:spacing w:before="0" w:after="0"/>
        <w:ind w:left="0" w:right="0" w:hanging="0"/>
        <w:jc w:val="left"/>
        <w:rPr/>
      </w:pPr>
      <w:r>
        <w:rPr/>
        <w:t>​</w:t>
      </w:r>
    </w:p>
    <w:tbl>
      <w:tblPr>
        <w:tblW w:w="6257" w:type="dxa"/>
        <w:jc w:val="left"/>
        <w:tblInd w:w="0" w:type="dxa"/>
        <w:tblLayout w:type="fixed"/>
        <w:tblCellMar>
          <w:top w:w="0" w:type="dxa"/>
          <w:left w:w="0" w:type="dxa"/>
          <w:bottom w:w="0" w:type="dxa"/>
          <w:right w:w="0" w:type="dxa"/>
        </w:tblCellMar>
      </w:tblPr>
      <w:tblGrid>
        <w:gridCol w:w="2611"/>
        <w:gridCol w:w="109"/>
        <w:gridCol w:w="211"/>
        <w:gridCol w:w="796"/>
        <w:gridCol w:w="326"/>
        <w:gridCol w:w="222"/>
        <w:gridCol w:w="604"/>
        <w:gridCol w:w="326"/>
        <w:gridCol w:w="211"/>
        <w:gridCol w:w="841"/>
      </w:tblGrid>
      <w:tr>
        <w:trPr/>
        <w:tc>
          <w:tcPr>
            <w:tcW w:w="2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657985" cy="175260"/>
                      <wp:effectExtent l="0" t="0" r="0" b="0"/>
                      <wp:wrapNone/>
                      <wp:docPr id="247" name="Frame247"/>
                      <a:graphic xmlns:a="http://schemas.openxmlformats.org/drawingml/2006/main">
                        <a:graphicData uri="http://schemas.microsoft.com/office/word/2010/wordprocessingShape">
                          <wps:wsp>
                            <wps:cNvSpPr txBox="1"/>
                            <wps:spPr>
                              <a:xfrm>
                                <a:off x="0" y="0"/>
                                <a:ext cx="1657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9215" cy="175260"/>
                      <wp:effectExtent l="0" t="0" r="0" b="0"/>
                      <wp:wrapNone/>
                      <wp:docPr id="248" name="Frame2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33985" cy="175260"/>
                      <wp:effectExtent l="0" t="0" r="0" b="0"/>
                      <wp:wrapNone/>
                      <wp:docPr id="249" name="Frame2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505460" cy="175260"/>
                      <wp:effectExtent l="0" t="0" r="0" b="0"/>
                      <wp:wrapNone/>
                      <wp:docPr id="250" name="Frame25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7010" cy="175260"/>
                      <wp:effectExtent l="0" t="0" r="0" b="0"/>
                      <wp:wrapNone/>
                      <wp:docPr id="251" name="Frame2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40970" cy="175260"/>
                      <wp:effectExtent l="0" t="0" r="0" b="0"/>
                      <wp:wrapNone/>
                      <wp:docPr id="252" name="Frame252"/>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383540" cy="175260"/>
                      <wp:effectExtent l="0" t="0" r="0" b="0"/>
                      <wp:wrapNone/>
                      <wp:docPr id="253" name="Frame253"/>
                      <a:graphic xmlns:a="http://schemas.openxmlformats.org/drawingml/2006/main">
                        <a:graphicData uri="http://schemas.microsoft.com/office/word/2010/wordprocessingShape">
                          <wps:wsp>
                            <wps:cNvSpPr txBox="1"/>
                            <wps:spPr>
                              <a:xfrm>
                                <a:off x="0" y="0"/>
                                <a:ext cx="383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07010" cy="175260"/>
                      <wp:effectExtent l="0" t="0" r="0" b="0"/>
                      <wp:wrapNone/>
                      <wp:docPr id="254" name="Frame2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33985" cy="175260"/>
                      <wp:effectExtent l="0" t="0" r="0" b="0"/>
                      <wp:wrapNone/>
                      <wp:docPr id="255" name="Frame2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534035" cy="175260"/>
                      <wp:effectExtent l="0" t="0" r="0" b="0"/>
                      <wp:wrapNone/>
                      <wp:docPr id="256" name="Frame256"/>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CMO</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r>
      <w:tr>
        <w:trPr/>
        <w:tc>
          <w:tcPr>
            <w:tcW w:w="26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0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Facility</w:t>
            </w:r>
          </w:p>
        </w:tc>
        <w:tc>
          <w:tcPr>
            <w:tcW w:w="326" w:type="dxa"/>
            <w:tcBorders/>
            <w:vAlign w:val="center"/>
          </w:tcPr>
          <w:p>
            <w:pPr>
              <w:pStyle w:val="TableContents"/>
              <w:bidi w:val="0"/>
              <w:spacing w:before="0" w:after="1"/>
              <w:ind w:left="0" w:right="0" w:hanging="0"/>
              <w:jc w:val="left"/>
              <w:rPr/>
            </w:pPr>
            <w:r>
              <w:rPr/>
              <w:t>​</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embedded</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r>
      <w:tr>
        <w:trPr/>
        <w:tc>
          <w:tcPr>
            <w:tcW w:w="26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Year Ending December 31, </w:t>
            </w:r>
          </w:p>
        </w:tc>
        <w:tc>
          <w:tcPr>
            <w:tcW w:w="109" w:type="dxa"/>
            <w:tcBorders/>
            <w:vAlign w:val="center"/>
          </w:tcPr>
          <w:p>
            <w:pPr>
              <w:pStyle w:val="TableContents"/>
              <w:bidi w:val="0"/>
              <w:spacing w:before="0" w:after="1"/>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26" w:type="dxa"/>
            <w:tcBorders/>
            <w:vAlign w:val="center"/>
          </w:tcPr>
          <w:p>
            <w:pPr>
              <w:pStyle w:val="TableContents"/>
              <w:bidi w:val="0"/>
              <w:spacing w:before="0" w:after="1"/>
              <w:ind w:left="0" w:right="0" w:hanging="0"/>
              <w:jc w:val="center"/>
              <w:rPr/>
            </w:pPr>
            <w:r>
              <w:rPr/>
              <w:t>    </w:t>
            </w:r>
          </w:p>
        </w:tc>
        <w:tc>
          <w:tcPr>
            <w:tcW w:w="8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26" w:type="dxa"/>
            <w:tcBorders/>
            <w:vAlign w:val="center"/>
          </w:tcPr>
          <w:p>
            <w:pPr>
              <w:pStyle w:val="TableContents"/>
              <w:bidi w:val="0"/>
              <w:spacing w:before="0" w:after="1"/>
              <w:ind w:left="0" w:right="0" w:hanging="0"/>
              <w:jc w:val="center"/>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Remainder of 2023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4,167</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5,730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9,897</w:t>
            </w:r>
          </w:p>
        </w:tc>
      </w:tr>
      <w:tr>
        <w:trPr/>
        <w:tc>
          <w:tcPr>
            <w:tcW w:w="26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2024</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8,510</w:t>
            </w:r>
          </w:p>
        </w:tc>
        <w:tc>
          <w:tcPr>
            <w:tcW w:w="32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 </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10,690</w:t>
            </w:r>
          </w:p>
        </w:tc>
      </w:tr>
      <w:tr>
        <w:trPr/>
        <w:tc>
          <w:tcPr>
            <w:tcW w:w="2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8,284</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 </w:t>
            </w:r>
          </w:p>
        </w:tc>
        <w:tc>
          <w:tcPr>
            <w:tcW w:w="60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8,284</w:t>
            </w:r>
          </w:p>
        </w:tc>
      </w:tr>
      <w:tr>
        <w:trPr/>
        <w:tc>
          <w:tcPr>
            <w:tcW w:w="26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7,989</w:t>
            </w:r>
          </w:p>
        </w:tc>
        <w:tc>
          <w:tcPr>
            <w:tcW w:w="32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 </w:t>
            </w:r>
          </w:p>
        </w:tc>
        <w:tc>
          <w:tcPr>
            <w:tcW w:w="60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7,989</w:t>
            </w:r>
          </w:p>
        </w:tc>
      </w:tr>
      <w:tr>
        <w:trPr/>
        <w:tc>
          <w:tcPr>
            <w:tcW w:w="2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8,186</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 </w:t>
            </w:r>
          </w:p>
        </w:tc>
        <w:tc>
          <w:tcPr>
            <w:tcW w:w="60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8,186</w:t>
            </w:r>
          </w:p>
        </w:tc>
      </w:tr>
      <w:tr>
        <w:trPr/>
        <w:tc>
          <w:tcPr>
            <w:tcW w:w="26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83,827</w:t>
            </w:r>
          </w:p>
        </w:tc>
        <w:tc>
          <w:tcPr>
            <w:tcW w:w="326" w:type="dxa"/>
            <w:tcBorders/>
            <w:vAlign w:val="center"/>
          </w:tcPr>
          <w:p>
            <w:pPr>
              <w:pStyle w:val="TableContents"/>
              <w:bidi w:val="0"/>
              <w:spacing w:before="0" w:after="1"/>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83,827</w:t>
            </w:r>
          </w:p>
        </w:tc>
      </w:tr>
      <w:tr>
        <w:trPr/>
        <w:tc>
          <w:tcPr>
            <w:tcW w:w="2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120,963</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7,910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128,873</w:t>
            </w:r>
          </w:p>
        </w:tc>
      </w:tr>
      <w:tr>
        <w:trPr/>
        <w:tc>
          <w:tcPr>
            <w:tcW w:w="26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Present value adjustment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(48,839)</w:t>
            </w:r>
          </w:p>
        </w:tc>
        <w:tc>
          <w:tcPr>
            <w:tcW w:w="32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 </w:t>
            </w:r>
          </w:p>
        </w:tc>
        <w:tc>
          <w:tcPr>
            <w:tcW w:w="6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(49,163)</w:t>
            </w:r>
          </w:p>
        </w:tc>
      </w:tr>
      <w:tr>
        <w:trPr/>
        <w:tc>
          <w:tcPr>
            <w:tcW w:w="2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72,124</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7,586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79,710</w:t>
            </w:r>
          </w:p>
        </w:tc>
      </w:tr>
    </w:tbl>
    <w:p>
      <w:pPr>
        <w:pStyle w:val="TextBody"/>
        <w:bidi w:val="0"/>
        <w:spacing w:before="0" w:after="200"/>
        <w:ind w:left="0" w:right="0" w:firstLine="547"/>
        <w:jc w:val="left"/>
        <w:rPr/>
      </w:pPr>
      <w:r>
        <w:rPr/>
        <w:t>​</w:t>
      </w:r>
    </w:p>
    <w:p>
      <w:pPr>
        <w:pStyle w:val="TextBody"/>
        <w:bidi w:val="0"/>
        <w:spacing w:before="0" w:after="200"/>
        <w:ind w:left="0" w:right="0" w:hanging="0"/>
        <w:jc w:val="left"/>
        <w:rPr/>
      </w:pPr>
      <w:r>
        <w:rPr/>
        <w:t>​</w:t>
      </w:r>
      <w:r>
        <w:rPr>
          <w:rFonts w:ascii="Times New Roman;Times;serif" w:hAnsi="Times New Roman;Times;serif"/>
          <w:b w:val="false"/>
          <w:sz w:val="20"/>
        </w:rPr>
        <w:br/>
      </w:r>
      <w:r>
        <w:rPr>
          <w:rFonts w:ascii="Times New Roman;Times;serif" w:hAnsi="Times New Roman;Times;serif"/>
          <w:b/>
          <w:sz w:val="20"/>
        </w:rPr>
        <w:t>NOTE 13. LEGAL PROCEEDINGS</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Derivative Lawsuit. On December 11, 2020, a purported stockholder derivative complaint was filed by plaintiff Leo Shumacher against the Company, as nominal defendant, and then current directors, as defendants, in the Court of Chancery in the State of Delaware (the “Court”). The complaint alleges breach of fiduciary duty and a claim for unjust enrichment in connection with alleged excessive compensation of certain non-executive directors of the Company and seeks unspecified damages on behalf of the Company. The parties have agreed to a proposed settlement, which was submitted to the Court on June 15, 2022. After a hearing on November 17, 2022, the Court required the parties to take additional steps before it would approve the settlement. The Company, as nominal defendant, and its current directors, as defendants, answered the complaint on February 3, 2023.</w:t>
      </w:r>
    </w:p>
    <w:p>
      <w:pPr>
        <w:pStyle w:val="TextBody"/>
        <w:bidi w:val="0"/>
        <w:spacing w:before="0" w:after="0"/>
        <w:ind w:left="0" w:right="0" w:hanging="0"/>
        <w:jc w:val="left"/>
        <w:rPr/>
      </w:pPr>
      <w:r>
        <w:rPr/>
        <w: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Solomon Capital, LLC. On April 8, 2016, a lawsuit (“the First Solomon Suit”) titled </w:t>
      </w:r>
      <w:r>
        <w:rPr>
          <w:rFonts w:ascii="Times New Roman;Times;serif" w:hAnsi="Times New Roman;Times;serif"/>
          <w:i/>
          <w:sz w:val="20"/>
        </w:rPr>
        <w:t>Solomon Capital, LLC, Solomon Capital 401(K) Trust, Solomon Sharbat and Shelhav Raff v. Lion Biotechnologies, Inc.</w:t>
      </w:r>
      <w:r>
        <w:rPr>
          <w:rFonts w:ascii="Times New Roman;Times;serif" w:hAnsi="Times New Roman;Times;serif"/>
          <w:sz w:val="20"/>
        </w:rPr>
        <w:t xml:space="preserve"> was filed by Solomon Capital, LLC, Solomon Capital 401(k) Trust, Solomon Sharbat and Shelhav Raff (“Solomon Plaintiffs”) against the Company in the Supreme Court of the State of New York, County of New York (index no. 651881/2016). The Solomon Plaintiffs allege that, between June and November 2012, they provided the Company $0.1 million and that they advanced and paid on behalf of the Company an additional $0.2 million. </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The complaint further alleges that the Company agreed to (i) provide them with promissory notes totaling $0.2 million, plus interest, (ii) issue a total of 1,110 shares to the Solomon Plaintiffs (after the </w:t>
      </w:r>
      <w:r>
        <w:rPr>
          <w:rFonts w:ascii="Times New Roman;Times;serif" w:hAnsi="Times New Roman;Times;serif"/>
          <w:b w:val="false"/>
          <w:i w:val="false"/>
          <w:caps w:val="false"/>
          <w:smallCaps w:val="false"/>
          <w:sz w:val="20"/>
        </w:rPr>
        <w:t>1-for-100</w:t>
      </w:r>
      <w:r>
        <w:rPr>
          <w:rFonts w:ascii="Times New Roman;Times;serif" w:hAnsi="Times New Roman;Times;serif"/>
          <w:sz w:val="20"/>
        </w:rPr>
        <w:t xml:space="preserve"> reverse split of the Company’s common stock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effected in March 2013) (the “Equity Claim”), and (iii) allow the Solomon Plaintiffs to convert the foregoing funds into its securities in the next financing of the Company on the same terms offered to other investors, which Solomon Plaintiffs allege, should have given them the right to convert their advances and payments into shares of the Company's common stock in the restructuring that took effect in May 2013. Based on the foregoing, the Solomon Plaintiffs allege causes for breach of contract and unjust enrichment and demand judgment against the Company in an unspecified amount exceeding $1.5 million, plus interest. On June 3, 2016, the Company filed an answer and counterclaims in the lawsuits. The Company has asserted counterclaims for fraudulent inducement, fraudulent misrepresentation, fraudulent concealment, breach of fiduciary duty, and breach of contract, alleging principally that the counterclaim defendants misrepresented their qualifications and failed to disclose that Solomon Sharbat was the subject of an investigation by the Financial Industry Regulatory Authority (“FINRA”) that resulted in the loss of his FINRA license.</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 its counterclaims, the Company is seeking damages in an amount exceeding $0.5 million and an order rescinding any and all agreements that the Solomon Plaintiffs contend entitled them to obtain shares of Company stock. On May 12, 2020, the court granted the Company’s motion for summary judgment limiting the Solomon Plaintiffs’ damages for the Equity Claim to less than $0.1 million. The Solomon Plaintiffs filed a notice of appeal of this summary judgment on June 9, 2020. On July 2, 2020, the court granted the Company’s motion to dismiss the First Solomon Suit for want of prosecution. On January 4, 2021, the court granted the Solomon Plaintiffs motion for reconsideration, and reinstituted the case. On January 15, 2021, the Company filed a notice of appeal of the court’s grant of the Solomon Plaintiffs motion for reconsideration. On May 11, 2021, the Appellate Division upheld the court’s grant of the Solomon Plaintiffs’ motion for reconsideration of the dismissal of the First Solomon Suit for want of prosecution. On October 14, 2021, the Appellate Division upheld the court’s grant of the Company’s motion for summary judgment limiting the Solomon Plaintiffs’ damages for the Equity Claim to less than $0.1 million.</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On September 27, 2019, the Solomon Plaintiffs filed a new lawsuit (through new legal counsel) (“the Second Solomon Suit”) titled Solomon Capital, LLC, Solomon Capital 401(K) Trust, Solomon Sharbat and Shelhav Raff v. Iovance Biotherapeutics, Inc., f/k/a/ Lion Biotechnologies Inc. f/k/a/ Genesis Biopharma Inc., and Manish Singh in the Supreme Court of the State of New York, County of New York (index no. 655668/2019). In the Second Solomon Suit, the Solomon Plaintiffs allege that they are third party beneficiaries of a “finder’s fee agreement” that prior management entered into with a third party unlicensed entity in 2012 in connection with seeking financing, that an agreement or understanding existed between the Company and the plaintiffs that the plaintiffs would be paid fees and commissions (in cash and stock) if they obtained financing for the Company, and that they directly and indirectly introduced investors to the Company who invested in the Company, or were willing to invest in the Company. Finally, the Solomon Plaintiffs allege that they were promised a license to use the Company’s technology in Israel. The plaintiffs claim that the Company breached the foregoing understandings, promises and agreements and, as a result, they are entitled to certain damages. The Solomon Plaintiffs also allege that Manish Singh, the Company’s former Chief Executive Officer, committed fraud and took shares belonging to them. On February 18, 2020, the Company filed a removal petition and removed the Second Solomon Suit to the U.S. District Court for the Southern District of New York, where the case has been assigned case no. 1:20-cv-1391. On May 22, 2020, the Company moved to dismiss the Second Solomon Suit for lack of personal jurisdiction. On March 26, 2021, the Court denied the Company’s motion to dismiss for lack of personal jurisdiction. The Company filed a response to the complaint in the Second Solomon Suit on April 30, 2021. On May 26, 2021, the Company and Singh filed motions for judgment on the pleadings with respect to the second and third claims asserted against the Company and all claims asserted against Singh, respectively, in the Second Solomon Suit. On January 5, 2022, the Court granted the Company’s motions for judgement on the pleadings, dismissing the second and third claims against the Company and dismissing all claims against Singh. On January 4, 2023, the Court granted in part the Company’s motion for sanctions against Plaintiffs for violating Rule 11 of the Federal Rules of Civil Procedure, in a decision and order that dismissed Plaintiffs’ first claim against the Company, denied Plaintiffs’ motion for leave to amend the complaint, and ordered Plaintiffs to pay the Company’s attorneys’ fees incurred in connection with the Rule 11 motion. Following the Court’s decision and order on the Rule 11 motion, only Plaintiffs’ fifth and sixth claims, for unjust enrichment and indemnification, respectively, remain pending against the Company.</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Company intends to vigorously defend these complaints and pursue its counterclaims, as applicable. At the current stage of the litigation, in both the First Solomon Suit and the Second Solomon Suit, it is not possible to estimate the amount or range of possible loss that might result from an adverse judgment or a settlement of these matters.</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The Company may be involved, from time to time, in legal proceedings and claims arising in the ordinary course of its business. Such matters are subject to many uncertainties and outcomes are not predictable with assurance. The Company accrues amounts, to the extent they can be reasonably estimated, that it believes are adequate to address any liabilities related to legal proceedings and other loss contingencies that it believes will result in a probable loss. While there can be no assurances as to the ultimate outcome of any legal proceeding or other loss contingency involving the Company, management does not believe any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pending matter will be resolved in a manner that would have a material adverse effect on its financial position, results of operations or cash flows.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14. INCOME TAXES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Upon the completion of the Acquisition on May 18, 2023, a deferred tax liability of $20.4 million was recognized on the temporary differences related to the book and tax basis of the acquired intangible assets. The deferred tax liability and resulting adjustment to the carrying amount of the acquired intangibles was calculated using the simultaneous equations method under ASC 740. The tax rate used is based on the estimated statutory rates in the United Kingdom as this is where the intangible assets are domiciled.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Company recorded a tax benefit of $0.5 million for the three and six months ended June 30, 2023, which resulted in effective tax rates of 0.4% and 0.2%, respectively. The effective tax rate is different from U.S. statutory rate of 21% due to the full valuation allowance against tax losses in the U.S. The income tax benefit for the periods presented primarily relates to operations in the United Kingdom and realization of related deferred taxes.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As of June 30, 2023, the Company continued to remain its full valuation allowance against net deferred tax assets from the operations in the U.S. territory as it expected to be in a cumulative loss position and does not have sufficient positive evidence to realize its net deferred tax assets in the U.S. territory. </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15. SUBSEQUENT EVENTS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On July 13, 2023, the Company announced the closing of the sale of an aggregate of 23,000,000 shares of its common stock, pursuant to an underwriting agreement (the “Underwriting Agreement”) with Goldman Sachs &amp; Co. LLC and Jefferies LLC (collectively, the “Underwriters”), including 3,000,000 shares issued pursuant to the exercise of the option granted to the Underwriters, at a public offering price of $7.50 per share before underwriting discounts and commissions. The total estimated net proceeds to the Company from the offering, including the exercise of the option by the Underwriters, were approximately $161.4 million after deducting underwriting discounts and commissions and estimated offering expenses payable by the Company.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bookmarkStart w:id="1588" w:name="Item2ManagementsDiscussionandAnalysisofF"/>
      <w:bookmarkStart w:id="1589" w:name="_794fdda8_28f3_45d1_abb7_e40868aa96bb"/>
      <w:bookmarkEnd w:id="1588"/>
      <w:bookmarkEnd w:id="1589"/>
      <w:r>
        <w:rPr>
          <w:rFonts w:ascii="Times New Roman;Times;serif" w:hAnsi="Times New Roman;Times;serif"/>
          <w:b/>
          <w:i w:val="false"/>
          <w:caps w:val="false"/>
          <w:smallCaps w:val="false"/>
          <w:sz w:val="20"/>
        </w:rPr>
        <w:t>Item 2.</w:t>
      </w:r>
      <w:r>
        <w:rPr>
          <w:rFonts w:ascii="Times New Roman;Times;serif" w:hAnsi="Times New Roman;Times;serif"/>
          <w:b/>
          <w:sz w:val="20"/>
        </w:rPr>
        <w:t>Management’s Discussion and Analysis of Financial Condition and Results of Operations.</w:t>
      </w:r>
    </w:p>
    <w:p>
      <w:pPr>
        <w:pStyle w:val="TextBody"/>
        <w:bidi w:val="0"/>
        <w:spacing w:before="0" w:after="240"/>
        <w:ind w:left="0" w:right="0" w:firstLine="540"/>
        <w:jc w:val="left"/>
        <w:rPr>
          <w:rFonts w:ascii="Times New Roman;Times;serif" w:hAnsi="Times New Roman;Times;serif"/>
          <w:sz w:val="20"/>
        </w:rPr>
      </w:pPr>
      <w:r>
        <w:rPr>
          <w:rFonts w:ascii="Times New Roman;Times;serif" w:hAnsi="Times New Roman;Times;serif"/>
          <w:sz w:val="20"/>
        </w:rPr>
        <w:t xml:space="preserve">The following discussion and analysis of our financial condition as of June 30, 2023 and results of operations for the three and six months ended June 30, 2023, should be read in conjunction with management’s discussion and analysis of financial condition and results of operations included in our Annual Report on Form 10-K for the year ended December 31, 2022 which was filed with the Securities and Exchange Commission (the “SEC”) on February 28, 2023. Our discussion includes forward-looking statements based upon current expectations that involve risks and uncertainties, such as our plans, objectives, expectations and intentions. Actual results and the timing of events could differ materially from those anticipated in these forward-looking statements as a result of a number of factors, including those set forth under the “Business” section of our Annual Report on Form 10-K and elsewhere in this Quarterly Report on Form 10-Q </w:t>
      </w:r>
      <w:r>
        <w:rPr>
          <w:rFonts w:ascii="Times New Roman;Times;serif" w:hAnsi="Times New Roman;Times;serif"/>
          <w:sz w:val="20"/>
          <w:shd w:fill="FFFFFF" w:val="clear"/>
        </w:rPr>
        <w:t>and other reports we file with the SEC</w:t>
      </w:r>
      <w:r>
        <w:rPr>
          <w:rFonts w:ascii="Times New Roman;Times;serif" w:hAnsi="Times New Roman;Times;serif"/>
          <w:sz w:val="20"/>
        </w:rPr>
        <w:t>. We use words such as “may,” “will,” “might,” “could,” “would,” “should,” “expect,” “intend,” “plan,” “anticipate,” “believe,” “estimate,” “predict,” “project,” “aim,” “potential,” “continue,” “ongoing,” “goal,” “forecast,” “guidance,” “outlook,” or the negative of these terms or other similar expressions to identify forward-looking statements, although not all forward-looking statements contain these words. All forward-looking statements included in this report are based on information available to us on the date hereof and, except as required by law, we assume no obligation to update any such forward-looking statements.</w:t>
      </w:r>
      <w:r>
        <w:rPr>
          <w:rFonts w:ascii="Times New Roman;Times;serif" w:hAnsi="Times New Roman;Times;serif"/>
          <w:sz w:val="20"/>
          <w:shd w:fill="FFFFFF" w:val="clear"/>
        </w:rPr>
        <w:t xml:space="preserve"> Unless the context requires otherwise, references in this Quarterly Report on Form 10-Q to “Iovance,” “we,” “us” and “our” refer to Iovance Biotherapeutics, Inc. and our subsidiaries.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are a biopharmaceutical company pioneering a transformational approach to treating cancer by harnessing the human immune system’s ability to recognize and destroy diverse cancer cells using therapies personalized for each patient. We are preparing for potential U.S. regulatory approval and commercialization of the first autologous T-cell therapy to address a solid tumor cancer. Our mission is to be the global leader in innovating, developing and delivering tumor infiltrating lymphocyte, or TIL, therapies for patients with solid tumor cancers. Our autologous TIL therapy platform uses a centralized, scalable and proprietary 22-day manufacturing process to grow polyclonal T-cells unique to each patient and yields a cryopreserved, individualized therapy. We have applied multiple TIL therapy modalities in clinical trials in solid tumors, including TIL monotherapies for patients with later stage disease who have progressed on or after standard of care, as well as TIL combinations with standard of care therapies in patients who are earlier in their disease, to potentially improve outcomes compared to current standard(s) of care. In May 2023, we acquired the worldwide rights to Proleukin®, a commercialized interleukin-2, or IL-2, product used to promote T-cell activity following TIL infusion. The acquisition of Proleukin® provides a new revenue source, secures the IL-2 supply chain and logistics surrounding TIL therapy administration, and lowers cost of goods and clinical trial expenses for Proleukin® used with TIL therapies.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Our lead product candidate, lifileucel, is being developed in advanced, or metastatic or unresectable, melanoma as well as in other indications. Lifileucel was investigated in two consecutive cohorts in a clinical trial of advanced melanoma patients post-anti-PD-1 therapy, including in a prospectively defined pivotal cohort. These patients had progressed on or after standard of care therapy, which is immune checkpoint inhibitors, or ICIs, and, targeted BRAF/MEK inhibitor therapy where appropriate. Based on the positive results of these cohorts, we completed a rolling Biologics License Application, or BLA, submission to the U.S. Food and Drug Administration, or FDA, for lifileucel in March 2023. The FDA accepted our BLA for lifileucel for patients with advanced melanoma in May 2023 and granted lifileucel Priority Review. The FDA assigned November 25, 2023 as the target action date for a decision under the Prescription Drug User Fee Act, or PDUFA. Our Phase 3 clinical trial of lifileucel in combination with pembrolizumab, TILVANCE-301, is intended to be registrational in frontline advanced melanoma and serve as a confirmatory clinical trial to support full approval of lifileucel monotherapy in post-anti-PD-1 advanced melanoma.</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are also pursuing registrational strategies for lifileucel in advanced cervical cancer and for our TIL therapy, LN-145, in metastatic non-small cell lung cancer, or NSCLC. To continuously innovate and maintain our global leadership within the field, we are investigating next generation approaches to optimize TIL products, manufacturing processes and treatment regimens, including a first-in-human clinical trial of our lead genetically modified TIL therapy, IOV-4001. We are also exploring a shorter manufacturing process, tumor tissue procurement via core biopsy, additional genetically modified TIL therapies including multiple immune checkpoint gene edits and cytokine-tethered TIL therapies, and a novel interleukin-2, or IL-2, analog, designated IOV-3001, as potential avenues to improve efficacy, manufacturing timelines, sample collection and supportive treatments involved in the overall TIL therapy process and treatment regimen.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Highlights of our current development pipeline are presented in the figure below:</w:t>
      </w:r>
    </w:p>
    <w:p>
      <w:pPr>
        <w:pStyle w:val="TextBody"/>
        <w:bidi w:val="0"/>
        <w:spacing w:before="0" w:after="200"/>
        <w:ind w:left="0" w:right="0" w:hanging="0"/>
        <w:jc w:val="center"/>
        <w:rPr/>
      </w:pPr>
      <w:r>
        <w:rPr/>
        <w:drawing>
          <wp:inline distT="0" distB="0" distL="0" distR="0">
            <wp:extent cx="6149340" cy="3462655"/>
            <wp:effectExtent l="0" t="0" r="0" b="0"/>
            <wp:docPr id="25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1" descr=""/>
                    <pic:cNvPicPr>
                      <a:picLocks noChangeAspect="1" noChangeArrowheads="1"/>
                    </pic:cNvPicPr>
                  </pic:nvPicPr>
                  <pic:blipFill>
                    <a:blip r:embed="rId2"/>
                    <a:stretch>
                      <a:fillRect/>
                    </a:stretch>
                  </pic:blipFill>
                  <pic:spPr bwMode="auto">
                    <a:xfrm>
                      <a:off x="0" y="0"/>
                      <a:ext cx="6149340" cy="3462655"/>
                    </a:xfrm>
                    <a:prstGeom prst="rect">
                      <a:avLst/>
                    </a:prstGeom>
                  </pic:spPr>
                </pic:pic>
              </a:graphicData>
            </a:graphic>
          </wp:inline>
        </w:drawing>
      </w:r>
    </w:p>
    <w:p>
      <w:pPr>
        <w:pStyle w:val="TextBody"/>
        <w:bidi w:val="0"/>
        <w:spacing w:before="100" w:after="200"/>
        <w:ind w:left="0" w:right="0" w:hanging="0"/>
        <w:jc w:val="left"/>
        <w:rPr>
          <w:rFonts w:ascii="Times New Roman;Times;serif" w:hAnsi="Times New Roman;Times;serif"/>
          <w:i/>
          <w:sz w:val="20"/>
        </w:rPr>
      </w:pPr>
      <w:r>
        <w:rPr>
          <w:rFonts w:ascii="Times New Roman;Times;serif" w:hAnsi="Times New Roman;Times;serif"/>
          <w:i/>
          <w:sz w:val="20"/>
        </w:rPr>
        <w:t xml:space="preserve">Platform Technologies and Manufacturing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Our T-cell-based immunotherapy technology platforms are potentially applicable to many solid tumor types and blood cancers. Each platform is focused on leveraging patient-specific cells to recognize and attack diverse cancer cells that are unique to each patient. Unlike other cell therapies that act on a single or small number of shared antigen targets common to certain tumors, our polyclonal T-cells are personalized therapies designed to target a variety of neoantigens that are unique to the patient or tumor. The majority of solid tumor immune targets are patient-specific, with fewer than 1% shared among patients. TIL therapy is our lead T-cell-based immunotherapy platform in multiple advanced solid tumor cancers. For blood cancers, our peripheral blood lymphocyte, or PBL, therapy platform is based on polyclonal T-cells that are collected from a patient’s blood sample, and then amplified and reinvigorated.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i/>
          <w:sz w:val="20"/>
        </w:rPr>
        <w:t>TIL</w:t>
      </w:r>
      <w:r>
        <w:rPr>
          <w:rFonts w:ascii="Times New Roman;Times;serif" w:hAnsi="Times New Roman;Times;serif"/>
          <w:sz w:val="20"/>
        </w:rPr>
        <w:t xml:space="preserve"> </w:t>
      </w:r>
      <w:r>
        <w:rPr>
          <w:rFonts w:ascii="Times New Roman;Times;serif" w:hAnsi="Times New Roman;Times;serif"/>
          <w:i/>
          <w:sz w:val="20"/>
        </w:rPr>
        <w:t>Therapy Clinical Development in Advanced, Metastatic or Unresectable Solid Tumor Cancers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Building on the prior TIL therapy clinical trials conducted at single academic centers, including the National Cancer Institute, or NCI, we have investigated TIL therapy in global, multi-center Phase 2 clinical trials in advanced melanoma, cervical cancer, NSCLC, and head and neck squamous cell carcinoma, or HNSCC. Additional information about our clinical trials is summarized below.</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In post-anti-PD-1 advanced melanoma, we are investigating lifileucel in our C-144-01 clinical trial that supports our BLA submission and potential approval of lifileucel.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 frontline advanced melanoma patients who are naïve to anti-PD-1 therapy, we are investigating lifileucel in combination with pembrolizumab in the IOV-COM-202 clinical trial and the Phase 3 TILVANCE-301 clinical trial. TILVANCE-301 is a randomized Phase 3 clinical trial intended to support registration in advanced frontline melanoma as well as to serve as a confirmatory trial for full approval in post-anti-PD-1 advanced melanoma.</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are also executing a registrational strategy for lifileucel in advanced cervical cancer. C-145-04 is a multicenter Phase 2 clinical trial that is currently enrolling a pivotal cohort to support a BLA in cervical cancer following progression on or after chemotherapy and pembrolizumab.</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 NSCLC, we are investigating our TIL therapy, LN-145, in two clinical trials in several NSCLC patient populations with significant unmet need. IOV-LUN-202 is a clinical trial of LN-145 in advanced NSCLC patients who have progressed following chemotherapy and anti-PD-1 therapy. IOV-COM-202 also includes cohorts of NSCLC patients treated with LN-145 monotherapy and combination therapy.</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 July 2023, we announced that we completed a preliminary analysis of the IOV-LUN-202 trial, which included 23 NSCLC patients treated with LN-145. An objective response rate of 26.1% by RECIST v1.1 (n=6, one complete response and five partial responses) was observed, with a disease control rate of 82.6%. While still early on study, the median duration of response, or DOR, was not reached. The DOR ranges from 1.4+ months to 9.8+ months. Treatment-emergent adverse events were consistent with the underlying disease and known adverse event profiles of non-myeloablative lymphodepletion and interleukin-2. Based on the regulatory discussions and positive regulatory feedback received by the FDA, we plan to enroll a total of approximately 120 patients into the registrational IOV-LUN-202 trial. Enrollment is expected to be completed during the second half of 2024. As previously announced, we are also preparing to meet with the FDA this year to discuss a randomized confirmatory trial of LN-145 in frontline advanced NSCLC patients. This confirmatory trial in frontline advanced NSCLC is expected to be well underway at the time of a potential approval in advance3d post-anti-PD-1 NSCLC.</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Our first genetically modified, PD-1 inactivated TIL therapy, IOV-4001, entered a first-in-human Phase 1/2 clinical trial, IOV-GM1-201, in 2022 in patients with previously treated advanced melanoma and NSCLC. IOV-4001 utilizes the gene-editing TALEN® technology, licensed from Cellectis S.A., or Cellectis, to inactivate the gene coding for the programmed cell death protein-1, or PD-1. </w:t>
      </w:r>
    </w:p>
    <w:p>
      <w:pPr>
        <w:pStyle w:val="TextBody"/>
        <w:bidi w:val="0"/>
        <w:spacing w:before="0" w:after="0"/>
        <w:ind w:left="0" w:right="0" w:firstLine="547"/>
        <w:jc w:val="left"/>
        <w:rPr>
          <w:rFonts w:ascii="Times New Roman;Times;serif" w:hAnsi="Times New Roman;Times;serif"/>
          <w:sz w:val="20"/>
        </w:rPr>
      </w:pPr>
      <w:bookmarkStart w:id="1590" w:name="_Hlk77724615"/>
      <w:bookmarkEnd w:id="1590"/>
      <w:r>
        <w:rPr>
          <w:rFonts w:ascii="Times New Roman;Times;serif" w:hAnsi="Times New Roman;Times;serif"/>
          <w:sz w:val="20"/>
        </w:rPr>
        <w:t>In metastatic head and neck cancer squamous cell carcinoma, or HNSCC, we are evaluating LN-145 as monotherapy and in combination with pembrolizumab. The Phase 2 C-145-03 trial began in June 2017 and closed in January 2021 after reaching its pre-specified enrollment target to investigate LN-145 using various manufacturing processes. Cohort 2A in IOV-COM-202 is evaluating LN-145 in combination with pembrolizumab in patients with HNSCC who are naïve to anti-PD-1 therapy.</w:t>
      </w:r>
    </w:p>
    <w:p>
      <w:pPr>
        <w:pStyle w:val="TextBody"/>
        <w:bidi w:val="0"/>
        <w:spacing w:before="0" w:after="0"/>
        <w:ind w:left="0" w:right="0" w:firstLine="547"/>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PBL Therapy in Blood Cancers</w:t>
      </w:r>
    </w:p>
    <w:p>
      <w:pPr>
        <w:pStyle w:val="TextBody"/>
        <w:bidi w:val="0"/>
        <w:spacing w:before="0" w:after="0"/>
        <w:ind w:left="0" w:right="0" w:firstLine="547"/>
        <w:jc w:val="left"/>
        <w:rPr/>
      </w:pPr>
      <w:r>
        <w:rPr/>
        <w:t>​</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In blood cancers, our clinical trial IOV-CLL-01 is a Phase 1/2 clinical trial evaluating the safety and efficacy of IOV-2001, our polyclonal PBL therapy, in patients with relapsed or refractory chronic lymphocytic leukemia, or CLL, and small lymphocytic lymphoma, or SLL, to receive IOV-2001. </w:t>
      </w:r>
    </w:p>
    <w:p>
      <w:pPr>
        <w:pStyle w:val="TextBody"/>
        <w:bidi w:val="0"/>
        <w:spacing w:before="0" w:after="0"/>
        <w:ind w:left="0" w:right="0" w:firstLine="547"/>
        <w:jc w:val="left"/>
        <w:rPr/>
      </w:pPr>
      <w:r>
        <w:rPr/>
        <w:t>​</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Beyond our Iovance-sponsored clinical trials, we have academic collaborations with leading cancer research centers to investigate TIL therapy, including next-generation processes and technologies, in other cancers and treatment settings. </w:t>
      </w:r>
    </w:p>
    <w:p>
      <w:pPr>
        <w:pStyle w:val="TextBody"/>
        <w:bidi w:val="0"/>
        <w:spacing w:before="0" w:after="0"/>
        <w:ind w:left="0" w:right="0" w:firstLine="547"/>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Next-Generation Therapeutic and Manufacturing Approaches </w:t>
      </w:r>
    </w:p>
    <w:p>
      <w:pPr>
        <w:pStyle w:val="TextBody"/>
        <w:bidi w:val="0"/>
        <w:spacing w:before="0" w:after="0"/>
        <w:ind w:left="0" w:right="0" w:hanging="0"/>
        <w:jc w:val="left"/>
        <w:rPr/>
      </w:pPr>
      <w:r>
        <w:rPr/>
        <w:t>​</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Our current next-generation technology platforms are designed to optimize TIL therapy, as well as TIL treatment regimen and manufacturing processes, across four key initiatives: genetic modifications, potency, process optimization and new treatment regimens.</w:t>
      </w:r>
    </w:p>
    <w:p>
      <w:pPr>
        <w:pStyle w:val="TextBody"/>
        <w:bidi w:val="0"/>
        <w:spacing w:before="0" w:after="0"/>
        <w:ind w:left="0" w:right="0" w:firstLine="547"/>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Genetic modifications:</w:t>
            </w:r>
            <w:r>
              <w:rPr>
                <w:caps w:val="false"/>
                <w:smallCaps w:val="false"/>
              </w:rPr>
              <w:t xml:space="preserve"> </w:t>
            </w:r>
            <w:r>
              <w:rPr>
                <w:rFonts w:ascii="Times New Roman;Times;serif" w:hAnsi="Times New Roman;Times;serif"/>
                <w:b w:val="false"/>
                <w:i w:val="false"/>
                <w:caps w:val="false"/>
                <w:smallCaps w:val="false"/>
                <w:sz w:val="20"/>
              </w:rPr>
              <w:t xml:space="preserve">We are pursuing several targets for genetic modification that utilize the gene-editing TALEN® platform licensed from the clinical-stage biotechnology company, Cellectis. Programs include single- and double-knockout candidates to further harness the immune system response to cancer and potentially increase the efficiency, potency and application of TIL therapy. Preclinical development is also ongoing with cytokine-tethered TIL products and additional TIL products and TIL-cell lines using transient and stable gene insertion and inactivation. Additional transient and permanent genetic modifications of TIL, such as cytokine-tethered TIL, may expand and activate TIL to achieve better efficacy while avoiding systemic side effects of cytokines. </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Potency:</w:t>
            </w:r>
            <w:r>
              <w:rPr>
                <w:caps w:val="false"/>
                <w:smallCaps w:val="false"/>
              </w:rPr>
              <w:t xml:space="preserve"> </w:t>
            </w:r>
            <w:r>
              <w:rPr>
                <w:rFonts w:ascii="Times New Roman;Times;serif" w:hAnsi="Times New Roman;Times;serif"/>
                <w:b w:val="false"/>
                <w:i w:val="false"/>
                <w:caps w:val="false"/>
                <w:smallCaps w:val="false"/>
                <w:sz w:val="20"/>
              </w:rPr>
              <w:t xml:space="preserve">Potential approaches to increase potency of the final TIL product include the sorting and selection of specific TIL, such as PD-1+ selected TIL and CD39/69 double-negative TIL products, and the use of certain inhibitors or other reagents in TIL expansion cultures. Our TIL candidate LN-145-S1 is manufactured from TIL selected for PD-1 expression and has been investigated in post-anti-PD-1 advanced melanoma and post-anti-PD-1 HNSCC patient cohorts in our clinical trials. </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Process optimization:</w:t>
            </w:r>
            <w:r>
              <w:rPr>
                <w:caps w:val="false"/>
                <w:smallCaps w:val="false"/>
              </w:rPr>
              <w:t xml:space="preserve"> </w:t>
            </w:r>
            <w:r>
              <w:rPr>
                <w:rFonts w:ascii="Times New Roman;Times;serif" w:hAnsi="Times New Roman;Times;serif"/>
                <w:b w:val="false"/>
                <w:i w:val="false"/>
                <w:caps w:val="false"/>
                <w:smallCaps w:val="false"/>
                <w:sz w:val="20"/>
              </w:rPr>
              <w:t xml:space="preserve">We are committed to further optimizing and streamlining the processes for manufacturing TIL therapy and collecting tumor samples. We are investigating a shorter manufacturing process, or Gen 3, in patient cohorts included in the C-145-03 clinical trial in HNSCC and the IOV-COM-202 clinical trial. We are also exploring our Gen 3 process to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manufacture TIL products from core biopsies as a less-invasive collection of tumor samples in a cohort of patients with NSCLC in our IOV-LUN-202 clinical trial.</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New treatment regimens:</w:t>
            </w:r>
            <w:r>
              <w:rPr>
                <w:caps w:val="false"/>
                <w:smallCaps w:val="false"/>
              </w:rPr>
              <w:t xml:space="preserve"> </w:t>
            </w:r>
            <w:r>
              <w:rPr>
                <w:rFonts w:ascii="Times New Roman;Times;serif" w:hAnsi="Times New Roman;Times;serif"/>
                <w:b w:val="false"/>
                <w:i w:val="false"/>
                <w:caps w:val="false"/>
                <w:smallCaps w:val="false"/>
                <w:sz w:val="20"/>
              </w:rPr>
              <w:t>We are exploring potential avenues to improve aspects of the TIL treatment regimen. In 2020, we licensed an antibody cytokine-engrafted protein, or IL-2 analog, which we refer to as IOV-3001, from Novartis. IOV-4001 is in IND-enabling studies supporting its use as part of the TIL treatment regimen following TIL infusion.</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Intellectual Property</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have established a leading intellectual property portfolio developed internally and licensed from third parties. We currently own more than 60 U.S. patents related to TIL therapy, including patents directed to compositions and methods of treatment in a broad range of cancers, such as U.S. Patent Nos. 10,130,659; 10,166,257; 10,272,113; 10,363,273; 10,398,734; 10,420,799; 10,463,697; 10,517,894; 10,537,595; 10,639,330; 10,646,517; 10,653,723; 10,695,372; 10,894,063; 10,905,718; 10,918,666; 10,925,900; 10,933,094; 10,946,044; 10,946,045; 10,953,046; 10,953,047; 11,007,225; 11,007,226; 11,013,770; 11,026,974; 11,040,070; 11,052,115; 11,052,116; 11,058,728; 11,083,752; 11,123,371; 11,141,438 11,168,303; 11,168,304; 11,179,419; 11,202,803; 11,202,804; 11,241,456; 11,254,913; 11,266,694; 11,273,180; 11,273,181; 11,291,687; 11,304,979; 11,304,980; 11,311,578; 11,337,998; 11,344,579; 11,344,580; 11,344,581; 11,351,197; 11,351,198; 11,351,199; 11,364,266; 11,369,637; 11,384,637; 1,433,097; 11,529,372; and 11,541,077. More than 35 of these patents are related to our Gen 2 TIL manufacturing processes and have terms that we anticipate will extend to January 2038, not including any patent term extensions or adjustments that may be available. Our owned and licensed intellectual property portfolio also includes patents and patent applications relating to TIL, MIL, and PBL therapies; frozen tumor-based TIL technologies; remnant TIL and digest TIL compositions, methods and processes; methods of manufacturing TIL, MIL, and PBL therapies; the use of costimulatory and T-cell modulating molecules in TIL therapy and manufacturing; stable and transient genetically-modified TIL therapies, including genetic knockouts of immune checkpoints; cytokine-tethered TIL therapies; methods of using ICIs in combination with TIL therapies; TIL selection technologies; and methods of treating patient subpopulations.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Impact of COVID-19 on our Business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Operations and Liquidity</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full impact of the novel strain of coronavirus, or COVID-19, pandemic is unknown and continuously evolving. While the potential economic impact brought by and over the duration of the COVID-19 pandemic may be difficult to assess or predict, the COVID-19 pandemic has resulted in significant disruption of global financial markets, which could in the future negatively affect our liquidity. In addition, a recession or market volatility resulting from the COVID-19 pandemic could affect our business. We have taken proactive, aggressive action throughout the COVID-19 pandemic to protect the health and safety of our employees and expect to continue to implement these measures until we determine that the COVID-19 pandemic is adequately contained for purposes of our business. We may take further actions as government authorities require or recommend or as we determine to be in the best interests of our employees. We do not believe that the COVID-19 pandemic had a material impact on our liquidity or results of operations for the three and six months ended June 30, 2023. Further, to date, the COVID-19 pandemic has not had significant effects on our clinical trial enrollment. Given the nature and type of our short-term investments in U.S. government securities, we do not believe that the COVID-19 pandemic will have a material impact on our current investment liquidity.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Outlook</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Although there is uncertainty related to the anticipated impact of the recent COVID-19 pandemic on our future results, we believe our current cash reserves leave us well positioned to manage our business in light of the COVID-19 pandemic. However, the impacts of the COVID-19 pandemic are broad-reaching and continuing and the financial impacts associated with the COVID-19 pandemic are still uncertain.</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COVID-19 pandemic is ongoing, and its dynamic nature, including uncertainties relating to the ultimate geographic spread of the virus, the severity of the disease, the duration of the pandemic, and actions that would be taken by governmental authorities to contain the pandemic or to treat its impact, makes it difficult to forecast any effects on our results for future periods.</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Despite the economic uncertainty resulting from the COVID-19 pandemic, we intend to continue to focus on the development of our product candidates. We continue to monitor the rapidly evolving situation and guidance from international and domestic authorities, including federal, state and local public health authorities and may take additional actions based on their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recommendations. In these circumstances, there may be developments outside our control requiring us to adjust our operating plan. As such, given the dynamic nature of this situation, we cannot reasonably estimate the impacts of COVID-19 on our financial condition, results of operations or cash flows in the future.</w:t>
      </w:r>
    </w:p>
    <w:p>
      <w:pPr>
        <w:pStyle w:val="TextBody"/>
        <w:bidi w:val="0"/>
        <w:spacing w:before="0" w:after="20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Significant Judgments and Estimates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The preparation of our Condensed Consolidated Financial Statements requires us to make estimates and assumptions that affect the reported amounts of assets and liabilities and the disclosure of contingent assets and liabilities at the date of our financial statements as well as the reported revenues and expenses during the reported periods. We base our estimates on historical experience and variance other market factors that we believe are reasonable under the circumstances, the result of which form the basis for making judgments about the carrying value of assets and liabilities that are not apparent from other sources. Actual results may differ from these estimates under different assumptions or conditions.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believe the following critical accounting policies reflect the more significant judgments and estimates used in the preparation of our Condensed Consolidated Financial Statements: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Asset Acquisitions</w:t>
      </w:r>
    </w:p>
    <w:p>
      <w:pPr>
        <w:pStyle w:val="TextBody"/>
        <w:bidi w:val="0"/>
        <w:spacing w:before="0" w:after="0"/>
        <w:ind w:left="0" w:right="0" w:hanging="0"/>
        <w:jc w:val="left"/>
        <w:rPr/>
      </w:pPr>
      <w:r>
        <w:rPr/>
        <w: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We make certain judgments to determine whether transactions should be accounted for acquisitions of assets or business combinations using the guidance in Accounting Standard Codification (“ASC”) Topic 805, </w:t>
      </w:r>
      <w:r>
        <w:rPr>
          <w:rFonts w:ascii="Times New Roman;Times;serif" w:hAnsi="Times New Roman;Times;serif"/>
          <w:i/>
          <w:sz w:val="20"/>
        </w:rPr>
        <w:t>Business Combinations</w:t>
      </w:r>
      <w:r>
        <w:rPr>
          <w:rFonts w:ascii="Times New Roman;Times;serif" w:hAnsi="Times New Roman;Times;serif"/>
          <w:sz w:val="20"/>
        </w:rPr>
        <w:t xml:space="preserve"> (“ASC 805”) by first applying a screen test to assess if substantially all of the fair value of the gross assets acquired is concentrated in a single identifiable asset or group of assets. If the screen test is met, the transaction is accounted for as an asset acquisition. If the screen test is not met, further assessment is required to determine whether we have acquired inputs and processes that have the ability to create outputs, which would meet the requirements of a business.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If the assets acquired do not constitute a business, we account for asset acquisitions using the cost accumulation and allocation method. Under this method the cost of the acquisition, including direct acquisition-related costs, is allocated to the assets acquired on a relative fair value basis. Goodwill is not recognized in an asset acquisition and any difference between consideration transferred and the fair value of the net assets acquired is allocated to the identifiable assets acquired based on their relative fair values.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Deferred tax liabilities arising from basis differences in assets acquired are calculated using the simultaneous equations method under ASC 740, </w:t>
      </w:r>
      <w:r>
        <w:rPr>
          <w:rFonts w:ascii="Times New Roman;Times;serif" w:hAnsi="Times New Roman;Times;serif"/>
          <w:i/>
          <w:sz w:val="20"/>
        </w:rPr>
        <w:t>Income Taxes</w:t>
      </w:r>
      <w:r>
        <w:rPr>
          <w:rFonts w:ascii="Times New Roman;Times;serif" w:hAnsi="Times New Roman;Times;serif"/>
          <w:sz w:val="20"/>
        </w:rPr>
        <w:t xml:space="preserve"> (“ASC 740”), and based on the effective tax rate. The resulting deferred tax liability is recorded against the carrying amount of the acquired intangible assets on a relative fair value basis.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Contingent consideration in the scope of ASC Topic 815, </w:t>
      </w:r>
      <w:r>
        <w:rPr>
          <w:rFonts w:ascii="Times New Roman;Times;serif" w:hAnsi="Times New Roman;Times;serif"/>
          <w:i/>
          <w:sz w:val="20"/>
        </w:rPr>
        <w:t>Derivatives and Hedging</w:t>
      </w:r>
      <w:r>
        <w:rPr>
          <w:rFonts w:ascii="Times New Roman;Times;serif" w:hAnsi="Times New Roman;Times;serif"/>
          <w:sz w:val="20"/>
        </w:rPr>
        <w:t xml:space="preserve"> (“ASC 815”), is included in the cost of the asset acquisition at its acquisition date fair value. Contingent consideration in the scope of ASC Topic 450, </w:t>
      </w:r>
      <w:r>
        <w:rPr>
          <w:rFonts w:ascii="Times New Roman;Times;serif" w:hAnsi="Times New Roman;Times;serif"/>
          <w:i/>
          <w:sz w:val="20"/>
        </w:rPr>
        <w:t>Contingencies</w:t>
      </w:r>
      <w:r>
        <w:rPr>
          <w:rFonts w:ascii="Times New Roman;Times;serif" w:hAnsi="Times New Roman;Times;serif"/>
          <w:sz w:val="20"/>
        </w:rPr>
        <w:t xml:space="preserve"> (ASC “450”), is recognized when it is both probable and reasonably estimable.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Intangible Assets</w:t>
      </w:r>
    </w:p>
    <w:p>
      <w:pPr>
        <w:pStyle w:val="TextBody"/>
        <w:bidi w:val="0"/>
        <w:spacing w:before="0" w:after="0"/>
        <w:ind w:left="0" w:right="0" w:hanging="0"/>
        <w:jc w:val="left"/>
        <w:rPr/>
      </w:pPr>
      <w:r>
        <w:rPr/>
        <w: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Our intangible assets are initially measured based on an allocation of the cost of the acquisition to the assets acquired on a relative fair value basis and are recorded net of accumulated amortization. We amortize the intangible assets on a straight-line basis over their estimated useful lives.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When contingent consideration is a component of the cost of an asset acquisition, we capitalize the amount of incremental cost from the contingent consideration related to the intangible asset acquired in the period the underlying contingency is resolved. When this occurs, we will recognize a cumulative catch-up to reflect amortization on the intangible assets that would have been recognized had the incremental cost from the contingent consideration been recorded as of the acquisition date.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We review intangible assets for impairment at least annually and whenever events or changes in circumstances have occurred which could indicate that the carrying value of the assets are not recoverable. If such indicators are present, we assess the recoverability of affected assets by determining if the carrying value of the assets is less than the sum of the undiscounted future cash flows of the assets. If the assets are found to not be recoverable, we measure the amount of impairment by comparing the carrying value of the assets to their fair values. We determined that no indicators of impairment existed as of June 30, 2023.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We recognize revenue from product sales in accordance with ASC 606, </w:t>
      </w:r>
      <w:r>
        <w:rPr>
          <w:rFonts w:ascii="Times New Roman;Times;serif" w:hAnsi="Times New Roman;Times;serif"/>
          <w:i/>
          <w:sz w:val="20"/>
        </w:rPr>
        <w:t>Revenue from Contracts with Customers</w:t>
      </w:r>
      <w:r>
        <w:rPr>
          <w:rFonts w:ascii="Times New Roman;Times;serif" w:hAnsi="Times New Roman;Times;serif"/>
          <w:sz w:val="20"/>
        </w:rPr>
        <w:t xml:space="preserve">. Under ASC 606, revenue is recognized when a customer obtains control of promised goods or services, in an amount that reflects the consideration which the entity expects to receive in exchange for those goods or services. To the extent the transaction price includes variable consideration, we estimate the amount of variable consideration that should be included in the transaction price using the most likely method based on historical experience as well as applicable information currently available. </w:t>
      </w:r>
    </w:p>
    <w:p>
      <w:pPr>
        <w:pStyle w:val="TextBody"/>
        <w:bidi w:val="0"/>
        <w:spacing w:before="0" w:after="20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Results of Operations</w:t>
      </w:r>
    </w:p>
    <w:p>
      <w:pPr>
        <w:pStyle w:val="TextBody"/>
        <w:bidi w:val="0"/>
        <w:spacing w:before="0" w:after="200"/>
        <w:ind w:left="0" w:right="0" w:hanging="0"/>
        <w:jc w:val="left"/>
        <w:rPr>
          <w:rFonts w:ascii="Times New Roman;Times;serif" w:hAnsi="Times New Roman;Times;serif"/>
          <w:b w:val="false"/>
          <w:i/>
          <w:sz w:val="20"/>
        </w:rPr>
      </w:pPr>
      <w:r>
        <w:rPr>
          <w:rFonts w:ascii="Times New Roman;Times;serif" w:hAnsi="Times New Roman;Times;serif"/>
          <w:b w:val="false"/>
          <w:i/>
          <w:sz w:val="20"/>
        </w:rPr>
        <w:t>Revenues</w:t>
      </w:r>
    </w:p>
    <w:p>
      <w:pPr>
        <w:pStyle w:val="TextBody"/>
        <w:bidi w:val="0"/>
        <w:spacing w:lineRule="auto" w:line="240"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Subsequent to the Proleukin® acquisition in May 2023, or the Acquisition, the Company began to sell Proleukin®. Proleukin® is currently being used in multiple active studies across multiple therapeutic areas and indications and investigated alongside TIL therapies within a number of oncology indications. Proleukin® is also part of our regimens of TIL therapy, including lifileucel, and is used in our multiple clinical trials. Revenues for the three and six months ended June 30, 2023 represents product sales of Proleukin® in licensed markets outside of the U.S. To date, there have been no product sales from Proleukin® in the U.S. market. </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val="false"/>
          <w:i w:val="false"/>
          <w:caps w:val="false"/>
          <w:smallCaps w:val="false"/>
          <w:sz w:val="20"/>
        </w:rPr>
        <w:t>With the completion of the rolling BLA</w:t>
      </w:r>
      <w:r>
        <w:rPr>
          <w:rFonts w:ascii="Times New Roman;Times;serif" w:hAnsi="Times New Roman;Times;serif"/>
          <w:b/>
          <w:i/>
          <w:sz w:val="20"/>
        </w:rPr>
        <w:t xml:space="preserve"> </w:t>
      </w:r>
      <w:r>
        <w:rPr>
          <w:rFonts w:ascii="Times New Roman;Times;serif" w:hAnsi="Times New Roman;Times;serif"/>
          <w:b w:val="false"/>
          <w:i w:val="false"/>
          <w:caps w:val="false"/>
          <w:smallCaps w:val="false"/>
          <w:sz w:val="20"/>
        </w:rPr>
        <w:t>submission for lifileucel for advanced melanoma in March 2023, we expect to generate revenues from the sale of our product lifileucel, if the BLA is approved.</w:t>
      </w:r>
      <w:r>
        <w:rPr>
          <w:rFonts w:ascii="Times New Roman;Times;serif" w:hAnsi="Times New Roman;Times;serif"/>
          <w:b/>
          <w:i/>
          <w:sz w:val="20"/>
        </w:rPr>
        <w:t xml:space="preserve"> </w:t>
      </w:r>
      <w:r>
        <w:rPr>
          <w:rFonts w:ascii="Times New Roman;Times;serif" w:hAnsi="Times New Roman;Times;serif"/>
          <w:b w:val="false"/>
          <w:i w:val="false"/>
          <w:caps w:val="false"/>
          <w:smallCaps w:val="false"/>
          <w:sz w:val="20"/>
        </w:rPr>
        <w:t>However, such revenues for Proleukin® and lifileucel may not be material during the 12 months from the date these Condensed Consolidated Financial Statements are issued. Our ability to generate revenues in the future will depend on our ability to complete the development of our product candidates and to obtain regulatory approval for them.</w:t>
      </w:r>
    </w:p>
    <w:p>
      <w:pPr>
        <w:pStyle w:val="TextBody"/>
        <w:bidi w:val="0"/>
        <w:spacing w:before="0" w:after="20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Costs and Expenses</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Cost of Sales</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Cost of sales includes the cost of Proleukin® inventories and other costs that are directly associated with the purchase and sales of Proleukin®. In addition, amortization expense for the fair value step-up of acquired Proleukin® inventory and the acquired intangible assets related to the developed technology are included in cost of sales.</w:t>
      </w:r>
    </w:p>
    <w:p>
      <w:pPr>
        <w:pStyle w:val="TextBody"/>
        <w:bidi w:val="0"/>
        <w:spacing w:before="0" w:after="0"/>
        <w:ind w:left="0" w:right="0" w:firstLine="547"/>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Research and Development</w:t>
      </w:r>
    </w:p>
    <w:p>
      <w:pPr>
        <w:pStyle w:val="TextBody"/>
        <w:bidi w:val="0"/>
        <w:spacing w:before="0" w:after="0"/>
        <w:ind w:left="0" w:right="0" w:hanging="0"/>
        <w:jc w:val="left"/>
        <w:rPr/>
      </w:pPr>
      <w:r>
        <w:rPr/>
        <w:t>​</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Research and development expenses include personnel and facility-related expenses, outside contracted services including clinical trial costs, manufacturing and process development costs, research costs and other consulting services.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w:t>
      </w:r>
    </w:p>
    <w:p>
      <w:pPr>
        <w:pStyle w:val="TextBody"/>
        <w:bidi w:val="0"/>
        <w:spacing w:before="0" w:after="0"/>
        <w:ind w:left="0" w:right="0" w:firstLine="547"/>
        <w:jc w:val="left"/>
        <w:rPr/>
      </w:pPr>
      <w:r>
        <w:rPr/>
        <w:t>​</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Clinical development costs are a significant component of research and development expenses. We have a history of contracting with third parties that perform various clinical trial activities on our behalf in connection with the ongoing development of our product candidates. The financial terms of these contracts are subject to negotiations and may vary from contract to contract and may result in an uneven payment flow. We accrue and expense costs for clinical trial activities performed by third parties based upon estimates of work completed to date of the individual trial in accordance with agreements established with contract research organizations and clinical trial sites. The duration, costs and timing of our clinical trials and development of our product candidates will depend on a number of factors that include, but are not limited to, the number of patients that enroll in the trial, per patient trial costs, number of sites included in the trial, discontinuation rates of patients, duration of patient follow-up, efficacy and safety profile of the product candidate, and the length of time required to enroll eligible patients. </w:t>
      </w:r>
    </w:p>
    <w:p>
      <w:pPr>
        <w:pStyle w:val="TextBody"/>
        <w:bidi w:val="0"/>
        <w:spacing w:before="0" w:after="0"/>
        <w:ind w:left="0" w:right="0" w:firstLine="547"/>
        <w:jc w:val="left"/>
        <w:rPr/>
      </w:pPr>
      <w:r>
        <w:rPr/>
        <w:t>​</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We expect our research and development expenses to continue to increase as we prepare for commercial manufacturing of our products and continue to conduct our clinical trials for other indications. However, it is difficult to determine with certainty the duration and completion costs of our current or future preclinical programs and clinical trials of our product candidates.</w:t>
      </w:r>
    </w:p>
    <w:p>
      <w:pPr>
        <w:pStyle w:val="TextBody"/>
        <w:bidi w:val="0"/>
        <w:spacing w:before="0" w:after="0"/>
        <w:ind w:left="0" w:right="0" w:firstLine="547"/>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Selling, General and Administrative</w:t>
      </w:r>
    </w:p>
    <w:p>
      <w:pPr>
        <w:pStyle w:val="TextBody"/>
        <w:bidi w:val="0"/>
        <w:spacing w:before="0" w:after="0"/>
        <w:ind w:left="0" w:right="0" w:hanging="0"/>
        <w:jc w:val="left"/>
        <w:rPr/>
      </w:pPr>
      <w:r>
        <w:rPr/>
        <w:t>​</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Selling, general and administrative expenses consist primarily of salaries and other related costs, including stock-based compensation, for personnel in executive, finance, procurement, legal, investor relations, facilities, business development, marketing, commercial, information technology and human resources functions. Other significant costs include facility costs not otherwise included in research and development expenses and amortization expense for the acquired assembled workforce intangible asset. Selling, general and administrative costs are expensed as incurred, and we accrue for services provided by third parties related to such expenses by monitoring the status of services provided and receiving estimates from its service providers and adjusting its accruals as actual costs become known. </w:t>
      </w:r>
    </w:p>
    <w:p>
      <w:pPr>
        <w:pStyle w:val="TextBody"/>
        <w:bidi w:val="0"/>
        <w:spacing w:before="0" w:after="0"/>
        <w:ind w:left="0" w:right="0" w:firstLine="547"/>
        <w:jc w:val="left"/>
        <w:rPr/>
      </w:pPr>
      <w:r>
        <w:rPr/>
        <w:t>​</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We anticipate selling, general and administrative expenses will increase as we continue to prepare for commercialization and the launch of lifileucel, the execution of the integration and launch of the recently acquired Proleukin® business, and support expected growth of the internal general and administrative team.</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Interest Income, net</w:t>
      </w:r>
    </w:p>
    <w:p>
      <w:pPr>
        <w:pStyle w:val="TextBody"/>
        <w:bidi w:val="0"/>
        <w:spacing w:before="0" w:after="0"/>
        <w:ind w:left="0" w:right="0" w:hanging="0"/>
        <w:jc w:val="left"/>
        <w:rPr/>
      </w:pPr>
      <w:r>
        <w:rPr/>
        <w:t>​</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Interest income, net results from our interest-bearing cash and investment balances.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Income Tax Benefit </w:t>
      </w:r>
    </w:p>
    <w:p>
      <w:pPr>
        <w:pStyle w:val="TextBody"/>
        <w:bidi w:val="0"/>
        <w:spacing w:before="0" w:after="0"/>
        <w:ind w:left="0" w:right="0" w:hanging="0"/>
        <w:jc w:val="left"/>
        <w:rPr/>
      </w:pPr>
      <w:r>
        <w:rPr/>
        <w:t>​</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Income tax benefit pertains to the operations in the United Kingdom and realization of related deferred taxes.</w:t>
      </w:r>
    </w:p>
    <w:p>
      <w:pPr>
        <w:pStyle w:val="TextBody"/>
        <w:bidi w:val="0"/>
        <w:spacing w:before="0" w:after="0"/>
        <w:ind w:left="0" w:right="0" w:firstLine="547"/>
        <w:jc w:val="left"/>
        <w:rPr/>
      </w:pPr>
      <w:r>
        <w:rPr/>
        <w:t>​</w:t>
      </w:r>
    </w:p>
    <w:p>
      <w:pPr>
        <w:pStyle w:val="TextBody"/>
        <w:bidi w:val="0"/>
        <w:spacing w:before="0" w:after="20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for the Three and Six Months Ended June 30, 2023 and 2022</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Revenue</w:t>
      </w:r>
    </w:p>
    <w:tbl>
      <w:tblPr>
        <w:tblW w:w="8414" w:type="dxa"/>
        <w:jc w:val="left"/>
        <w:tblInd w:w="0" w:type="dxa"/>
        <w:tblLayout w:type="fixed"/>
        <w:tblCellMar>
          <w:top w:w="0" w:type="dxa"/>
          <w:left w:w="0" w:type="dxa"/>
          <w:bottom w:w="0" w:type="dxa"/>
          <w:right w:w="0" w:type="dxa"/>
        </w:tblCellMar>
      </w:tblPr>
      <w:tblGrid>
        <w:gridCol w:w="2056"/>
        <w:gridCol w:w="206"/>
        <w:gridCol w:w="249"/>
        <w:gridCol w:w="498"/>
        <w:gridCol w:w="243"/>
        <w:gridCol w:w="249"/>
        <w:gridCol w:w="409"/>
        <w:gridCol w:w="206"/>
        <w:gridCol w:w="109"/>
        <w:gridCol w:w="421"/>
        <w:gridCol w:w="206"/>
        <w:gridCol w:w="421"/>
        <w:gridCol w:w="206"/>
        <w:gridCol w:w="220"/>
        <w:gridCol w:w="439"/>
        <w:gridCol w:w="215"/>
        <w:gridCol w:w="220"/>
        <w:gridCol w:w="361"/>
        <w:gridCol w:w="206"/>
        <w:gridCol w:w="109"/>
        <w:gridCol w:w="421"/>
        <w:gridCol w:w="206"/>
        <w:gridCol w:w="538"/>
      </w:tblGrid>
      <w:tr>
        <w:trPr/>
        <w:tc>
          <w:tcPr>
            <w:tcW w:w="2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305560" cy="175260"/>
                      <wp:effectExtent l="0" t="0" r="0" b="0"/>
                      <wp:wrapNone/>
                      <wp:docPr id="258" name="Frame257"/>
                      <a:graphic xmlns:a="http://schemas.openxmlformats.org/drawingml/2006/main">
                        <a:graphicData uri="http://schemas.microsoft.com/office/word/2010/wordprocessingShape">
                          <wps:wsp>
                            <wps:cNvSpPr txBox="1"/>
                            <wps:spPr>
                              <a:xfrm>
                                <a:off x="0" y="0"/>
                                <a:ext cx="1305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30810" cy="175260"/>
                      <wp:effectExtent l="0" t="0" r="0" b="0"/>
                      <wp:wrapNone/>
                      <wp:docPr id="259" name="Frame25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58115" cy="175260"/>
                      <wp:effectExtent l="0" t="0" r="0" b="0"/>
                      <wp:wrapNone/>
                      <wp:docPr id="260" name="Frame259"/>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316230" cy="175260"/>
                      <wp:effectExtent l="0" t="0" r="0" b="0"/>
                      <wp:wrapNone/>
                      <wp:docPr id="261" name="Frame260"/>
                      <a:graphic xmlns:a="http://schemas.openxmlformats.org/drawingml/2006/main">
                        <a:graphicData uri="http://schemas.microsoft.com/office/word/2010/wordprocessingShape">
                          <wps:wsp>
                            <wps:cNvSpPr txBox="1"/>
                            <wps:spPr>
                              <a:xfrm>
                                <a:off x="0" y="0"/>
                                <a:ext cx="316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54305" cy="175260"/>
                      <wp:effectExtent l="0" t="0" r="0" b="0"/>
                      <wp:wrapNone/>
                      <wp:docPr id="262" name="Frame261"/>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58115" cy="175260"/>
                      <wp:effectExtent l="0" t="0" r="0" b="0"/>
                      <wp:wrapNone/>
                      <wp:docPr id="263" name="Frame262"/>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59715" cy="175260"/>
                      <wp:effectExtent l="0" t="0" r="0" b="0"/>
                      <wp:wrapNone/>
                      <wp:docPr id="264" name="Frame263"/>
                      <a:graphic xmlns:a="http://schemas.openxmlformats.org/drawingml/2006/main">
                        <a:graphicData uri="http://schemas.microsoft.com/office/word/2010/wordprocessingShape">
                          <wps:wsp>
                            <wps:cNvSpPr txBox="1"/>
                            <wps:spPr>
                              <a:xfrm>
                                <a:off x="0" y="0"/>
                                <a:ext cx="259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30810" cy="175260"/>
                      <wp:effectExtent l="0" t="0" r="0" b="0"/>
                      <wp:wrapNone/>
                      <wp:docPr id="265" name="Frame264"/>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9215" cy="175260"/>
                      <wp:effectExtent l="0" t="0" r="0" b="0"/>
                      <wp:wrapNone/>
                      <wp:docPr id="266" name="Frame2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67335" cy="175260"/>
                      <wp:effectExtent l="0" t="0" r="0" b="0"/>
                      <wp:wrapNone/>
                      <wp:docPr id="267" name="Frame266"/>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30810" cy="175260"/>
                      <wp:effectExtent l="0" t="0" r="0" b="0"/>
                      <wp:wrapNone/>
                      <wp:docPr id="268" name="Frame267"/>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67335" cy="175260"/>
                      <wp:effectExtent l="0" t="0" r="0" b="0"/>
                      <wp:wrapNone/>
                      <wp:docPr id="269" name="Frame268"/>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30810" cy="175260"/>
                      <wp:effectExtent l="0" t="0" r="0" b="0"/>
                      <wp:wrapNone/>
                      <wp:docPr id="270" name="Frame269"/>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39700" cy="175260"/>
                      <wp:effectExtent l="0" t="0" r="0" b="0"/>
                      <wp:wrapNone/>
                      <wp:docPr id="271" name="Frame270"/>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78765" cy="175260"/>
                      <wp:effectExtent l="0" t="0" r="0" b="0"/>
                      <wp:wrapNone/>
                      <wp:docPr id="272" name="Frame271"/>
                      <a:graphic xmlns:a="http://schemas.openxmlformats.org/drawingml/2006/main">
                        <a:graphicData uri="http://schemas.microsoft.com/office/word/2010/wordprocessingShape">
                          <wps:wsp>
                            <wps:cNvSpPr txBox="1"/>
                            <wps:spPr>
                              <a:xfrm>
                                <a:off x="0" y="0"/>
                                <a:ext cx="278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36525" cy="175260"/>
                      <wp:effectExtent l="0" t="0" r="0" b="0"/>
                      <wp:wrapNone/>
                      <wp:docPr id="273" name="Frame272"/>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39700" cy="175260"/>
                      <wp:effectExtent l="0" t="0" r="0" b="0"/>
                      <wp:wrapNone/>
                      <wp:docPr id="274" name="Frame273"/>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29235" cy="175260"/>
                      <wp:effectExtent l="0" t="0" r="0" b="0"/>
                      <wp:wrapNone/>
                      <wp:docPr id="275" name="Frame27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30810" cy="175260"/>
                      <wp:effectExtent l="0" t="0" r="0" b="0"/>
                      <wp:wrapNone/>
                      <wp:docPr id="276" name="Frame275"/>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9215" cy="175260"/>
                      <wp:effectExtent l="0" t="0" r="0" b="0"/>
                      <wp:wrapNone/>
                      <wp:docPr id="277" name="Frame2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67335" cy="175260"/>
                      <wp:effectExtent l="0" t="0" r="0" b="0"/>
                      <wp:wrapNone/>
                      <wp:docPr id="278" name="Frame277"/>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30810" cy="175260"/>
                      <wp:effectExtent l="0" t="0" r="0" b="0"/>
                      <wp:wrapNone/>
                      <wp:docPr id="279" name="Frame27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341630" cy="175260"/>
                      <wp:effectExtent l="0" t="0" r="0" b="0"/>
                      <wp:wrapNone/>
                      <wp:docPr id="280" name="Frame279"/>
                      <a:graphic xmlns:a="http://schemas.openxmlformats.org/drawingml/2006/main">
                        <a:graphicData uri="http://schemas.microsoft.com/office/word/2010/wordprocessingShape">
                          <wps:wsp>
                            <wps:cNvSpPr txBox="1"/>
                            <wps:spPr>
                              <a:xfrm>
                                <a:off x="0" y="0"/>
                                <a:ext cx="3416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5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center"/>
              <w:rPr/>
            </w:pPr>
            <w:r>
              <w:rPr/>
              <w:t>​</w:t>
            </w:r>
          </w:p>
        </w:tc>
        <w:tc>
          <w:tcPr>
            <w:tcW w:w="1648"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206" w:type="dxa"/>
            <w:tcBorders/>
            <w:vAlign w:val="center"/>
          </w:tcPr>
          <w:p>
            <w:pPr>
              <w:pStyle w:val="TableContents"/>
              <w:bidi w:val="0"/>
              <w:spacing w:before="0" w:after="1"/>
              <w:ind w:left="0" w:right="0" w:hanging="0"/>
              <w:jc w:val="center"/>
              <w:rPr/>
            </w:pPr>
            <w:r>
              <w:rPr/>
              <w:t>​</w:t>
            </w:r>
          </w:p>
        </w:tc>
        <w:tc>
          <w:tcPr>
            <w:tcW w:w="1157"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Increase </w:t>
            </w:r>
          </w:p>
        </w:tc>
        <w:tc>
          <w:tcPr>
            <w:tcW w:w="206" w:type="dxa"/>
            <w:tcBorders/>
            <w:vAlign w:val="center"/>
          </w:tcPr>
          <w:p>
            <w:pPr>
              <w:pStyle w:val="TableContents"/>
              <w:bidi w:val="0"/>
              <w:spacing w:before="0" w:after="1"/>
              <w:ind w:left="0" w:right="0" w:hanging="0"/>
              <w:jc w:val="left"/>
              <w:rPr/>
            </w:pPr>
            <w:r>
              <w:rPr/>
              <w:t> </w:t>
            </w:r>
          </w:p>
        </w:tc>
        <w:tc>
          <w:tcPr>
            <w:tcW w:w="145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206" w:type="dxa"/>
            <w:tcBorders/>
            <w:vAlign w:val="center"/>
          </w:tcPr>
          <w:p>
            <w:pPr>
              <w:pStyle w:val="TableContents"/>
              <w:bidi w:val="0"/>
              <w:spacing w:before="0" w:after="1"/>
              <w:ind w:left="0" w:right="0" w:hanging="0"/>
              <w:jc w:val="center"/>
              <w:rPr/>
            </w:pPr>
            <w:r>
              <w:rPr/>
              <w:t>​</w:t>
            </w:r>
          </w:p>
        </w:tc>
        <w:tc>
          <w:tcPr>
            <w:tcW w:w="1274"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Increase </w:t>
            </w:r>
          </w:p>
        </w:tc>
      </w:tr>
      <w:tr>
        <w:trPr/>
        <w:tc>
          <w:tcPr>
            <w:tcW w:w="205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164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06" w:type="dxa"/>
            <w:tcBorders/>
            <w:vAlign w:val="center"/>
          </w:tcPr>
          <w:p>
            <w:pPr>
              <w:pStyle w:val="TableContents"/>
              <w:bidi w:val="0"/>
              <w:spacing w:before="0" w:after="1"/>
              <w:ind w:left="0" w:right="0" w:hanging="0"/>
              <w:jc w:val="center"/>
              <w:rPr/>
            </w:pPr>
            <w:r>
              <w:rPr/>
              <w:t>​</w:t>
            </w:r>
          </w:p>
        </w:tc>
        <w:tc>
          <w:tcPr>
            <w:tcW w:w="1157"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206" w:type="dxa"/>
            <w:tcBorders/>
            <w:vAlign w:val="center"/>
          </w:tcPr>
          <w:p>
            <w:pPr>
              <w:pStyle w:val="TableContents"/>
              <w:bidi w:val="0"/>
              <w:spacing w:before="0" w:after="1"/>
              <w:ind w:left="0" w:right="0" w:hanging="0"/>
              <w:jc w:val="left"/>
              <w:rPr/>
            </w:pPr>
            <w:r>
              <w:rPr/>
              <w:t>​</w:t>
            </w:r>
          </w:p>
        </w:tc>
        <w:tc>
          <w:tcPr>
            <w:tcW w:w="145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06" w:type="dxa"/>
            <w:tcBorders/>
            <w:vAlign w:val="center"/>
          </w:tcPr>
          <w:p>
            <w:pPr>
              <w:pStyle w:val="TableContents"/>
              <w:bidi w:val="0"/>
              <w:spacing w:before="0" w:after="1"/>
              <w:ind w:left="0" w:right="0" w:hanging="0"/>
              <w:jc w:val="center"/>
              <w:rPr/>
            </w:pPr>
            <w:r>
              <w:rPr/>
              <w:t>​</w:t>
            </w:r>
          </w:p>
        </w:tc>
        <w:tc>
          <w:tcPr>
            <w:tcW w:w="127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(Decrease)</w:t>
            </w:r>
          </w:p>
        </w:tc>
      </w:tr>
      <w:tr>
        <w:trPr/>
        <w:tc>
          <w:tcPr>
            <w:tcW w:w="205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206" w:type="dxa"/>
            <w:tcBorders/>
            <w:vAlign w:val="center"/>
          </w:tcPr>
          <w:p>
            <w:pPr>
              <w:pStyle w:val="TableContents"/>
              <w:bidi w:val="0"/>
              <w:spacing w:before="0" w:after="1"/>
              <w:ind w:left="0" w:right="0" w:hanging="0"/>
              <w:jc w:val="left"/>
              <w:rPr/>
            </w:pPr>
            <w:r>
              <w:rPr/>
              <w:t>  </w:t>
            </w:r>
          </w:p>
        </w:tc>
        <w:tc>
          <w:tcPr>
            <w:tcW w:w="7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43" w:type="dxa"/>
            <w:tcBorders/>
            <w:vAlign w:val="center"/>
          </w:tcPr>
          <w:p>
            <w:pPr>
              <w:pStyle w:val="TableContents"/>
              <w:bidi w:val="0"/>
              <w:spacing w:before="0" w:after="1"/>
              <w:ind w:left="0" w:right="0" w:hanging="0"/>
              <w:jc w:val="center"/>
              <w:rPr/>
            </w:pPr>
            <w:r>
              <w:rPr/>
              <w:t>  </w:t>
            </w:r>
          </w:p>
        </w:tc>
        <w:tc>
          <w:tcPr>
            <w:tcW w:w="65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206" w:type="dxa"/>
            <w:tcBorders/>
            <w:vAlign w:val="center"/>
          </w:tcPr>
          <w:p>
            <w:pPr>
              <w:pStyle w:val="TableContents"/>
              <w:bidi w:val="0"/>
              <w:spacing w:before="0" w:after="1"/>
              <w:ind w:left="0" w:right="0" w:hanging="0"/>
              <w:jc w:val="center"/>
              <w:rPr/>
            </w:pPr>
            <w:r>
              <w:rPr/>
              <w:t>  </w:t>
            </w:r>
          </w:p>
        </w:tc>
        <w:tc>
          <w:tcPr>
            <w:tcW w:w="5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206" w:type="dxa"/>
            <w:tcBorders/>
            <w:vAlign w:val="center"/>
          </w:tcPr>
          <w:p>
            <w:pPr>
              <w:pStyle w:val="TableContents"/>
              <w:bidi w:val="0"/>
              <w:spacing w:before="0" w:after="1"/>
              <w:ind w:left="0" w:right="0" w:hanging="0"/>
              <w:jc w:val="center"/>
              <w:rPr/>
            </w:pPr>
            <w:r>
              <w:rPr/>
              <w:t>  </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206" w:type="dxa"/>
            <w:tcBorders/>
            <w:vAlign w:val="center"/>
          </w:tcPr>
          <w:p>
            <w:pPr>
              <w:pStyle w:val="TableContents"/>
              <w:bidi w:val="0"/>
              <w:spacing w:before="0" w:after="1"/>
              <w:ind w:left="0" w:right="0" w:hanging="0"/>
              <w:jc w:val="left"/>
              <w:rPr/>
            </w:pPr>
            <w:r>
              <w:rPr/>
              <w:t>  </w:t>
            </w:r>
          </w:p>
        </w:tc>
        <w:tc>
          <w:tcPr>
            <w:tcW w:w="65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15" w:type="dxa"/>
            <w:tcBorders/>
            <w:vAlign w:val="center"/>
          </w:tcPr>
          <w:p>
            <w:pPr>
              <w:pStyle w:val="TableContents"/>
              <w:bidi w:val="0"/>
              <w:spacing w:before="0" w:after="1"/>
              <w:ind w:left="0" w:right="0" w:hanging="0"/>
              <w:jc w:val="center"/>
              <w:rPr/>
            </w:pPr>
            <w:r>
              <w:rPr/>
              <w:t>  </w:t>
            </w:r>
          </w:p>
        </w:tc>
        <w:tc>
          <w:tcPr>
            <w:tcW w:w="5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206" w:type="dxa"/>
            <w:tcBorders/>
            <w:vAlign w:val="center"/>
          </w:tcPr>
          <w:p>
            <w:pPr>
              <w:pStyle w:val="TableContents"/>
              <w:bidi w:val="0"/>
              <w:spacing w:before="0" w:after="1"/>
              <w:ind w:left="0" w:right="0" w:hanging="0"/>
              <w:jc w:val="center"/>
              <w:rPr/>
            </w:pPr>
            <w:r>
              <w:rPr/>
              <w:t>  </w:t>
            </w:r>
          </w:p>
        </w:tc>
        <w:tc>
          <w:tcPr>
            <w:tcW w:w="5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206" w:type="dxa"/>
            <w:tcBorders/>
            <w:vAlign w:val="center"/>
          </w:tcPr>
          <w:p>
            <w:pPr>
              <w:pStyle w:val="TableContents"/>
              <w:bidi w:val="0"/>
              <w:spacing w:before="0" w:after="1"/>
              <w:ind w:left="0" w:right="0" w:hanging="0"/>
              <w:jc w:val="center"/>
              <w:rPr/>
            </w:pPr>
            <w:r>
              <w:rPr/>
              <w:t>  </w:t>
            </w:r>
          </w:p>
        </w:tc>
        <w:tc>
          <w:tcPr>
            <w:tcW w:w="53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20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 product sales</w:t>
            </w:r>
          </w:p>
        </w:tc>
        <w:tc>
          <w:tcPr>
            <w:tcW w:w="20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w:t>
            </w:r>
          </w:p>
        </w:tc>
        <w:tc>
          <w:tcPr>
            <w:tcW w:w="243"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09"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w:t>
            </w:r>
          </w:p>
        </w:tc>
        <w:tc>
          <w:tcPr>
            <w:tcW w:w="20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20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w:t>
            </w:r>
          </w:p>
        </w:tc>
        <w:tc>
          <w:tcPr>
            <w:tcW w:w="215"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61"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w:t>
            </w:r>
          </w:p>
        </w:tc>
        <w:tc>
          <w:tcPr>
            <w:tcW w:w="206" w:type="dxa"/>
            <w:tcBorders/>
            <w:shd w:fill="CCEEFF" w:val="clear"/>
            <w:vAlign w:val="center"/>
          </w:tcPr>
          <w:p>
            <w:pPr>
              <w:pStyle w:val="TableContents"/>
              <w:bidi w:val="0"/>
              <w:spacing w:before="0" w:after="1"/>
              <w:ind w:left="0" w:right="0" w:hanging="0"/>
              <w:jc w:val="right"/>
              <w:rPr/>
            </w:pPr>
            <w:r>
              <w:rPr/>
              <w:t>​</w:t>
            </w:r>
          </w:p>
        </w:tc>
        <w:tc>
          <w:tcPr>
            <w:tcW w:w="538" w:type="dxa"/>
            <w:tcBorders/>
            <w:shd w:fill="CCEEFF" w:val="cle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100</w:t>
            </w:r>
          </w:p>
        </w:tc>
      </w:tr>
    </w:tbl>
    <w:p>
      <w:pPr>
        <w:pStyle w:val="TextBody"/>
        <w:bidi w:val="0"/>
        <w:spacing w:before="0" w:after="200"/>
        <w:ind w:left="0" w:right="0" w:hanging="0"/>
        <w:jc w:val="left"/>
        <w:rPr/>
      </w:pPr>
      <w:r>
        <w:rPr/>
        <w:t>​</w:t>
      </w:r>
    </w:p>
    <w:p>
      <w:pPr>
        <w:pStyle w:val="TextBody"/>
        <w:bidi w:val="0"/>
        <w:spacing w:lineRule="auto" w:line="240" w:before="0" w:after="0"/>
        <w:ind w:left="0" w:right="0" w:firstLine="547"/>
        <w:jc w:val="left"/>
        <w:rPr>
          <w:rFonts w:ascii="Times New Roman;Times;serif" w:hAnsi="Times New Roman;Times;serif"/>
          <w:sz w:val="20"/>
        </w:rPr>
      </w:pPr>
      <w:r>
        <w:rPr>
          <w:rFonts w:ascii="Times New Roman;Times;serif" w:hAnsi="Times New Roman;Times;serif"/>
          <w:sz w:val="20"/>
        </w:rPr>
        <w:t>Revenue for the three and six months ended June 30, 2023 was $0.2 million and related entirely to product sales of Proleukin® in licensed markets outside of the U.S following the completion of the acquisition of worldwide rights to Proleukin® in May 2023. To date, there have been no product sales from Proleukin® in the U.S. market. There was no revenue for the same periods in 2022.</w:t>
      </w:r>
    </w:p>
    <w:p>
      <w:pPr>
        <w:pStyle w:val="TextBody"/>
        <w:bidi w:val="0"/>
        <w:spacing w:before="0" w:after="0"/>
        <w:ind w:left="0" w:right="0" w:firstLine="547"/>
        <w:jc w:val="left"/>
        <w:rPr/>
      </w:pPr>
      <w:r>
        <w:rPr/>
        <w: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Costs and Expenses</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The following table summarizes the period-over-period changes in our costs and expenses:</w:t>
      </w:r>
    </w:p>
    <w:p>
      <w:pPr>
        <w:pStyle w:val="TextBody"/>
        <w:bidi w:val="0"/>
        <w:spacing w:before="0" w:after="200"/>
        <w:ind w:left="0" w:right="0" w:firstLine="547"/>
        <w:jc w:val="left"/>
        <w:rPr/>
      </w:pPr>
      <w:r>
        <w:rPr/>
        <w:t>​</w:t>
      </w:r>
    </w:p>
    <w:tbl>
      <w:tblPr>
        <w:tblW w:w="10205" w:type="dxa"/>
        <w:jc w:val="left"/>
        <w:tblInd w:w="0" w:type="dxa"/>
        <w:tblLayout w:type="fixed"/>
        <w:tblCellMar>
          <w:top w:w="0" w:type="dxa"/>
          <w:left w:w="0" w:type="dxa"/>
          <w:bottom w:w="0" w:type="dxa"/>
          <w:right w:w="0" w:type="dxa"/>
        </w:tblCellMar>
      </w:tblPr>
      <w:tblGrid>
        <w:gridCol w:w="2520"/>
        <w:gridCol w:w="206"/>
        <w:gridCol w:w="211"/>
        <w:gridCol w:w="676"/>
        <w:gridCol w:w="206"/>
        <w:gridCol w:w="211"/>
        <w:gridCol w:w="676"/>
        <w:gridCol w:w="109"/>
        <w:gridCol w:w="109"/>
        <w:gridCol w:w="683"/>
        <w:gridCol w:w="206"/>
        <w:gridCol w:w="428"/>
        <w:gridCol w:w="206"/>
        <w:gridCol w:w="211"/>
        <w:gridCol w:w="781"/>
        <w:gridCol w:w="206"/>
        <w:gridCol w:w="211"/>
        <w:gridCol w:w="781"/>
        <w:gridCol w:w="109"/>
        <w:gridCol w:w="109"/>
        <w:gridCol w:w="676"/>
        <w:gridCol w:w="206"/>
        <w:gridCol w:w="468"/>
      </w:tblGrid>
      <w:tr>
        <w:trPr/>
        <w:tc>
          <w:tcPr>
            <w:tcW w:w="25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600200" cy="175260"/>
                      <wp:effectExtent l="0" t="0" r="0" b="0"/>
                      <wp:wrapNone/>
                      <wp:docPr id="281" name="Frame280"/>
                      <a:graphic xmlns:a="http://schemas.openxmlformats.org/drawingml/2006/main">
                        <a:graphicData uri="http://schemas.microsoft.com/office/word/2010/wordprocessingShape">
                          <wps:wsp>
                            <wps:cNvSpPr txBox="1"/>
                            <wps:spPr>
                              <a:xfrm>
                                <a:off x="0" y="0"/>
                                <a:ext cx="1600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30810" cy="175260"/>
                      <wp:effectExtent l="0" t="0" r="0" b="0"/>
                      <wp:wrapNone/>
                      <wp:docPr id="282" name="Frame281"/>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33985" cy="175260"/>
                      <wp:effectExtent l="0" t="0" r="0" b="0"/>
                      <wp:wrapNone/>
                      <wp:docPr id="283" name="Frame2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429260" cy="175260"/>
                      <wp:effectExtent l="0" t="0" r="0" b="0"/>
                      <wp:wrapNone/>
                      <wp:docPr id="284" name="Frame28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30810" cy="175260"/>
                      <wp:effectExtent l="0" t="0" r="0" b="0"/>
                      <wp:wrapNone/>
                      <wp:docPr id="285" name="Frame284"/>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33985" cy="175260"/>
                      <wp:effectExtent l="0" t="0" r="0" b="0"/>
                      <wp:wrapNone/>
                      <wp:docPr id="286" name="Frame2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429260" cy="175260"/>
                      <wp:effectExtent l="0" t="0" r="0" b="0"/>
                      <wp:wrapNone/>
                      <wp:docPr id="287" name="Frame28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9215" cy="175260"/>
                      <wp:effectExtent l="0" t="0" r="0" b="0"/>
                      <wp:wrapNone/>
                      <wp:docPr id="288" name="Frame2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9215" cy="175260"/>
                      <wp:effectExtent l="0" t="0" r="0" b="0"/>
                      <wp:wrapNone/>
                      <wp:docPr id="289" name="Frame2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433705" cy="175260"/>
                      <wp:effectExtent l="0" t="0" r="0" b="0"/>
                      <wp:wrapNone/>
                      <wp:docPr id="290" name="Frame289"/>
                      <a:graphic xmlns:a="http://schemas.openxmlformats.org/drawingml/2006/main">
                        <a:graphicData uri="http://schemas.microsoft.com/office/word/2010/wordprocessingShape">
                          <wps:wsp>
                            <wps:cNvSpPr txBox="1"/>
                            <wps:spPr>
                              <a:xfrm>
                                <a:off x="0" y="0"/>
                                <a:ext cx="433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30810" cy="175260"/>
                      <wp:effectExtent l="0" t="0" r="0" b="0"/>
                      <wp:wrapNone/>
                      <wp:docPr id="291" name="Frame290"/>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71780" cy="175260"/>
                      <wp:effectExtent l="0" t="0" r="0" b="0"/>
                      <wp:wrapNone/>
                      <wp:docPr id="292" name="Frame291"/>
                      <a:graphic xmlns:a="http://schemas.openxmlformats.org/drawingml/2006/main">
                        <a:graphicData uri="http://schemas.microsoft.com/office/word/2010/wordprocessingShape">
                          <wps:wsp>
                            <wps:cNvSpPr txBox="1"/>
                            <wps:spPr>
                              <a:xfrm>
                                <a:off x="0" y="0"/>
                                <a:ext cx="271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30810" cy="175260"/>
                      <wp:effectExtent l="0" t="0" r="0" b="0"/>
                      <wp:wrapNone/>
                      <wp:docPr id="293" name="Frame292"/>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33985" cy="175260"/>
                      <wp:effectExtent l="0" t="0" r="0" b="0"/>
                      <wp:wrapNone/>
                      <wp:docPr id="294" name="Frame2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495935" cy="175260"/>
                      <wp:effectExtent l="0" t="0" r="0" b="0"/>
                      <wp:wrapNone/>
                      <wp:docPr id="295" name="Frame29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30810" cy="175260"/>
                      <wp:effectExtent l="0" t="0" r="0" b="0"/>
                      <wp:wrapNone/>
                      <wp:docPr id="296" name="Frame295"/>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33985" cy="175260"/>
                      <wp:effectExtent l="0" t="0" r="0" b="0"/>
                      <wp:wrapNone/>
                      <wp:docPr id="297" name="Frame2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495935" cy="175260"/>
                      <wp:effectExtent l="0" t="0" r="0" b="0"/>
                      <wp:wrapNone/>
                      <wp:docPr id="298" name="Frame29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9215" cy="175260"/>
                      <wp:effectExtent l="0" t="0" r="0" b="0"/>
                      <wp:wrapNone/>
                      <wp:docPr id="299" name="Frame2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9215" cy="175260"/>
                      <wp:effectExtent l="0" t="0" r="0" b="0"/>
                      <wp:wrapNone/>
                      <wp:docPr id="300" name="Frame2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429260" cy="175260"/>
                      <wp:effectExtent l="0" t="0" r="0" b="0"/>
                      <wp:wrapNone/>
                      <wp:docPr id="301" name="Frame30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30810" cy="175260"/>
                      <wp:effectExtent l="0" t="0" r="0" b="0"/>
                      <wp:wrapNone/>
                      <wp:docPr id="302" name="Frame301"/>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97180" cy="175260"/>
                      <wp:effectExtent l="0" t="0" r="0" b="0"/>
                      <wp:wrapNone/>
                      <wp:docPr id="303" name="Frame302"/>
                      <a:graphic xmlns:a="http://schemas.openxmlformats.org/drawingml/2006/main">
                        <a:graphicData uri="http://schemas.microsoft.com/office/word/2010/wordprocessingShape">
                          <wps:wsp>
                            <wps:cNvSpPr txBox="1"/>
                            <wps:spPr>
                              <a:xfrm>
                                <a:off x="0" y="0"/>
                                <a:ext cx="297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20"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center"/>
              <w:rPr/>
            </w:pPr>
            <w:r>
              <w:rPr/>
              <w:t>​</w:t>
            </w:r>
          </w:p>
        </w:tc>
        <w:tc>
          <w:tcPr>
            <w:tcW w:w="198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1"/>
              <w:ind w:left="0" w:right="0" w:hanging="0"/>
              <w:jc w:val="center"/>
              <w:rPr/>
            </w:pPr>
            <w:r>
              <w:rPr/>
              <w:t>​</w:t>
            </w:r>
          </w:p>
        </w:tc>
        <w:tc>
          <w:tcPr>
            <w:tcW w:w="1426"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Increase </w:t>
            </w:r>
          </w:p>
        </w:tc>
        <w:tc>
          <w:tcPr>
            <w:tcW w:w="206" w:type="dxa"/>
            <w:tcBorders/>
            <w:vAlign w:val="center"/>
          </w:tcPr>
          <w:p>
            <w:pPr>
              <w:pStyle w:val="TableContents"/>
              <w:bidi w:val="0"/>
              <w:spacing w:before="0" w:after="1"/>
              <w:ind w:left="0" w:right="0" w:hanging="0"/>
              <w:jc w:val="center"/>
              <w:rPr/>
            </w:pPr>
            <w:r>
              <w:rPr/>
              <w:t>​</w:t>
            </w:r>
          </w:p>
        </w:tc>
        <w:tc>
          <w:tcPr>
            <w:tcW w:w="219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109" w:type="dxa"/>
            <w:tcBorders/>
            <w:vAlign w:val="center"/>
          </w:tcPr>
          <w:p>
            <w:pPr>
              <w:pStyle w:val="TableContents"/>
              <w:bidi w:val="0"/>
              <w:spacing w:before="0" w:after="1"/>
              <w:ind w:left="0" w:right="0" w:hanging="0"/>
              <w:jc w:val="center"/>
              <w:rPr/>
            </w:pPr>
            <w:r>
              <w:rPr/>
              <w:t>​</w:t>
            </w:r>
          </w:p>
        </w:tc>
        <w:tc>
          <w:tcPr>
            <w:tcW w:w="1459"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Increase </w:t>
            </w:r>
          </w:p>
        </w:tc>
      </w:tr>
      <w:tr>
        <w:trPr/>
        <w:tc>
          <w:tcPr>
            <w:tcW w:w="2520"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center"/>
              <w:rPr/>
            </w:pPr>
            <w:r>
              <w:rPr/>
              <w:t>​</w:t>
            </w:r>
          </w:p>
        </w:tc>
        <w:tc>
          <w:tcPr>
            <w:tcW w:w="198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1"/>
              <w:ind w:left="0" w:right="0" w:hanging="0"/>
              <w:jc w:val="center"/>
              <w:rPr/>
            </w:pPr>
            <w:r>
              <w:rPr/>
              <w:t>​</w:t>
            </w:r>
          </w:p>
        </w:tc>
        <w:tc>
          <w:tcPr>
            <w:tcW w:w="1426"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206" w:type="dxa"/>
            <w:tcBorders/>
            <w:vAlign w:val="center"/>
          </w:tcPr>
          <w:p>
            <w:pPr>
              <w:pStyle w:val="TableContents"/>
              <w:bidi w:val="0"/>
              <w:spacing w:before="0" w:after="1"/>
              <w:ind w:left="0" w:right="0" w:hanging="0"/>
              <w:jc w:val="center"/>
              <w:rPr/>
            </w:pPr>
            <w:r>
              <w:rPr/>
              <w:t>​</w:t>
            </w:r>
          </w:p>
        </w:tc>
        <w:tc>
          <w:tcPr>
            <w:tcW w:w="219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1"/>
              <w:ind w:left="0" w:right="0" w:hanging="0"/>
              <w:jc w:val="center"/>
              <w:rPr/>
            </w:pPr>
            <w:r>
              <w:rPr/>
              <w:t>​</w:t>
            </w:r>
          </w:p>
        </w:tc>
        <w:tc>
          <w:tcPr>
            <w:tcW w:w="145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(Decrease)</w:t>
            </w:r>
          </w:p>
        </w:tc>
      </w:tr>
      <w:tr>
        <w:trPr/>
        <w:tc>
          <w:tcPr>
            <w:tcW w:w="2520"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20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0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1"/>
              <w:ind w:left="0" w:right="0" w:hanging="0"/>
              <w:jc w:val="center"/>
              <w:rPr/>
            </w:pPr>
            <w:r>
              <w:rPr/>
              <w:t>​</w:t>
            </w:r>
          </w:p>
        </w:tc>
        <w:tc>
          <w:tcPr>
            <w:tcW w:w="7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206" w:type="dxa"/>
            <w:tcBorders/>
            <w:vAlign w:val="center"/>
          </w:tcPr>
          <w:p>
            <w:pPr>
              <w:pStyle w:val="TableContents"/>
              <w:bidi w:val="0"/>
              <w:spacing w:before="0" w:after="1"/>
              <w:ind w:left="0" w:right="0" w:hanging="0"/>
              <w:jc w:val="center"/>
              <w:rPr/>
            </w:pPr>
            <w:r>
              <w:rPr/>
              <w:t>  </w:t>
            </w:r>
          </w:p>
        </w:tc>
        <w:tc>
          <w:tcPr>
            <w:tcW w:w="42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20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0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1"/>
              <w:ind w:left="0" w:right="0" w:hanging="0"/>
              <w:jc w:val="center"/>
              <w:rPr/>
            </w:pPr>
            <w:r>
              <w:rPr/>
              <w:t>​</w:t>
            </w:r>
          </w:p>
        </w:tc>
        <w:tc>
          <w:tcPr>
            <w:tcW w:w="7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206" w:type="dxa"/>
            <w:tcBorders/>
            <w:vAlign w:val="center"/>
          </w:tcPr>
          <w:p>
            <w:pPr>
              <w:pStyle w:val="TableContents"/>
              <w:bidi w:val="0"/>
              <w:spacing w:before="0" w:after="1"/>
              <w:ind w:left="0" w:right="0" w:hanging="0"/>
              <w:jc w:val="center"/>
              <w:rPr/>
            </w:pPr>
            <w:r>
              <w:rPr/>
              <w:t>  </w:t>
            </w:r>
          </w:p>
        </w:tc>
        <w:tc>
          <w:tcPr>
            <w:tcW w:w="46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25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2,050</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2,050</w:t>
            </w:r>
          </w:p>
        </w:tc>
        <w:tc>
          <w:tcPr>
            <w:tcW w:w="206" w:type="dxa"/>
            <w:tcBorders/>
            <w:shd w:fill="CCEEFF" w:val="clear"/>
            <w:vAlign w:val="center"/>
          </w:tcPr>
          <w:p>
            <w:pPr>
              <w:pStyle w:val="TableContents"/>
              <w:bidi w:val="0"/>
              <w:spacing w:before="0" w:after="1"/>
              <w:ind w:left="0" w:right="0" w:hanging="0"/>
              <w:jc w:val="right"/>
              <w:rPr/>
            </w:pPr>
            <w:r>
              <w:rPr/>
              <w:t>​</w:t>
            </w:r>
          </w:p>
        </w:tc>
        <w:tc>
          <w:tcPr>
            <w:tcW w:w="4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2,050</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2,050</w:t>
            </w:r>
          </w:p>
        </w:tc>
        <w:tc>
          <w:tcPr>
            <w:tcW w:w="206" w:type="dxa"/>
            <w:tcBorders/>
            <w:shd w:fill="CCEEFF" w:val="clear"/>
            <w:vAlign w:val="center"/>
          </w:tcPr>
          <w:p>
            <w:pPr>
              <w:pStyle w:val="TableContents"/>
              <w:bidi w:val="0"/>
              <w:spacing w:before="0" w:after="1"/>
              <w:ind w:left="0" w:right="0" w:hanging="0"/>
              <w:jc w:val="right"/>
              <w:rPr/>
            </w:pPr>
            <w:r>
              <w:rPr/>
              <w:t>​</w:t>
            </w:r>
          </w:p>
        </w:tc>
        <w:tc>
          <w:tcPr>
            <w:tcW w:w="4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25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expense</w:t>
            </w:r>
          </w:p>
        </w:tc>
        <w:tc>
          <w:tcPr>
            <w:tcW w:w="2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86,347</w:t>
            </w:r>
          </w:p>
        </w:tc>
        <w:tc>
          <w:tcPr>
            <w:tcW w:w="2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73,406</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12,941</w:t>
            </w:r>
          </w:p>
        </w:tc>
        <w:tc>
          <w:tcPr>
            <w:tcW w:w="206" w:type="dxa"/>
            <w:tcBorders/>
            <w:vAlign w:val="center"/>
          </w:tcPr>
          <w:p>
            <w:pPr>
              <w:pStyle w:val="TableContents"/>
              <w:bidi w:val="0"/>
              <w:spacing w:before="0" w:after="1"/>
              <w:ind w:left="0" w:right="0" w:hanging="0"/>
              <w:jc w:val="right"/>
              <w:rPr/>
            </w:pPr>
            <w:r>
              <w:rPr/>
              <w:t>​</w:t>
            </w:r>
          </w:p>
        </w:tc>
        <w:tc>
          <w:tcPr>
            <w:tcW w:w="4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2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169,081</w:t>
            </w:r>
          </w:p>
        </w:tc>
        <w:tc>
          <w:tcPr>
            <w:tcW w:w="2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141,706</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27,375</w:t>
            </w:r>
          </w:p>
        </w:tc>
        <w:tc>
          <w:tcPr>
            <w:tcW w:w="206" w:type="dxa"/>
            <w:tcBorders/>
            <w:vAlign w:val="center"/>
          </w:tcPr>
          <w:p>
            <w:pPr>
              <w:pStyle w:val="TableContents"/>
              <w:bidi w:val="0"/>
              <w:spacing w:before="0" w:after="1"/>
              <w:ind w:left="0" w:right="0" w:hanging="0"/>
              <w:jc w:val="right"/>
              <w:rPr/>
            </w:pPr>
            <w:r>
              <w:rPr/>
              <w:t>​</w:t>
            </w:r>
          </w:p>
        </w:tc>
        <w:tc>
          <w:tcPr>
            <w:tcW w:w="4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25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21,927</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26,328</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(4,401)</w:t>
            </w:r>
          </w:p>
        </w:tc>
        <w:tc>
          <w:tcPr>
            <w:tcW w:w="206" w:type="dxa"/>
            <w:tcBorders/>
            <w:shd w:fill="CCEEFF" w:val="clear"/>
            <w:vAlign w:val="center"/>
          </w:tcPr>
          <w:p>
            <w:pPr>
              <w:pStyle w:val="TableContents"/>
              <w:bidi w:val="0"/>
              <w:spacing w:before="0" w:after="1"/>
              <w:ind w:left="0" w:right="0" w:hanging="0"/>
              <w:jc w:val="right"/>
              <w:rPr/>
            </w:pPr>
            <w:r>
              <w:rPr/>
              <w:t>​</w:t>
            </w:r>
          </w:p>
        </w:tc>
        <w:tc>
          <w:tcPr>
            <w:tcW w:w="4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50,049</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49,741</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w:t>
            </w:r>
          </w:p>
        </w:tc>
        <w:tc>
          <w:tcPr>
            <w:tcW w:w="206" w:type="dxa"/>
            <w:tcBorders/>
            <w:shd w:fill="CCEEFF" w:val="clear"/>
            <w:vAlign w:val="center"/>
          </w:tcPr>
          <w:p>
            <w:pPr>
              <w:pStyle w:val="TableContents"/>
              <w:bidi w:val="0"/>
              <w:spacing w:before="0" w:after="1"/>
              <w:ind w:left="0" w:right="0" w:hanging="0"/>
              <w:jc w:val="right"/>
              <w:rPr/>
            </w:pPr>
            <w:r>
              <w:rPr/>
              <w:t>​</w:t>
            </w:r>
          </w:p>
        </w:tc>
        <w:tc>
          <w:tcPr>
            <w:tcW w:w="468" w:type="dxa"/>
            <w:tcBorders/>
            <w:shd w:fill="CCEEFF" w:val="cle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Cost of Sales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Cost of sales for the three and six months ended June 30, 2023 was $2.1 million, which consists of $0.2 million cost of inventory and related inventoriable costs associated with sales of Proleukin® and $1.9 million of amortization expense for the developed technology intangible asset recorded as part of the Acquisition. In addition, the fair-value step-up of inventory recorded at the time of the Acquisition was recognized in Cost of Sales on a per unit basis as the units were sold, however such amount was immaterial for the three and six months ended June 30, 2023. No cost of sales was incurred for the same periods in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i/>
          <w:sz w:val="20"/>
        </w:rPr>
      </w:pPr>
      <w:bookmarkStart w:id="1591" w:name="_Hlk141703614"/>
      <w:bookmarkEnd w:id="1591"/>
      <w:r>
        <w:rPr>
          <w:rFonts w:ascii="Times New Roman;Times;serif" w:hAnsi="Times New Roman;Times;serif"/>
          <w:i/>
          <w:sz w:val="20"/>
        </w:rPr>
        <w:t xml:space="preserve">Research and development expense </w:t>
      </w:r>
    </w:p>
    <w:p>
      <w:pPr>
        <w:pStyle w:val="TextBody"/>
        <w:bidi w:val="0"/>
        <w:spacing w:before="0" w:after="0"/>
        <w:ind w:left="0" w:right="0" w:hanging="0"/>
        <w:jc w:val="left"/>
        <w:rPr/>
      </w:pPr>
      <w:r>
        <w:rPr/>
        <w: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Research and development expense for the three months ended June 30, 2023 increased by $12.9 million, or 18%, compared to the same period in 2022. The increase was primarily attributable to (i) a $10.9 million increase in payroll and related expenses, driven by increased hiring of research and development employees to support our ongoing and planned clinical development activities, (ii) a $2.8 million increase in clinical trial costs driven primarily by the initiation of our Phase 3 TILVANCE-301 clinical trial, (iii) a $2.1 million increase in manufacturing costs driven by activities associated with qualifying </w:t>
      </w:r>
      <w:r>
        <w:rPr>
          <w:rFonts w:ascii="Times New Roman;Times;serif" w:hAnsi="Times New Roman;Times;serif"/>
          <w:i/>
          <w:sz w:val="20"/>
        </w:rPr>
        <w:t>i</w:t>
      </w:r>
      <w:r>
        <w:rPr>
          <w:rFonts w:ascii="Times New Roman;Times;serif" w:hAnsi="Times New Roman;Times;serif"/>
          <w:sz w:val="20"/>
        </w:rPr>
        <w:t xml:space="preserve">CTC suites for commercial manufacturing readiness, and (iv) a $2.3 million increase in other costs, including facility and related costs associated with the second phase of the </w:t>
      </w:r>
      <w:r>
        <w:rPr>
          <w:rFonts w:ascii="Times New Roman;Times;serif" w:hAnsi="Times New Roman;Times;serif"/>
          <w:i/>
          <w:sz w:val="20"/>
        </w:rPr>
        <w:t>i</w:t>
      </w:r>
      <w:r>
        <w:rPr>
          <w:rFonts w:ascii="Times New Roman;Times;serif" w:hAnsi="Times New Roman;Times;serif"/>
          <w:sz w:val="20"/>
        </w:rPr>
        <w:t>CTC build-out intended to expand manufacturing capacity and license costs related to the expansion of our information technology infrastructure to support our clinical activities. These expenses were partially offset by a $4.5 million decrease in stock-based compensation expenses primarily driven by a lower average stock price, and a $0.7 million decrease in other costs, including research alliance activities and costs associated with travel and marketing.</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Research and development expense for the six months ended June 30, 2023 increased by $27.4 million, or 19%, compared to the same period in 2022. The increase was primarily attributable to (i) a $20.9 million increase in payroll and related expenses, driven by increased hiring of research and development employees to support our ongoing and planned clinical development activities, (ii) a $6.9 million increase in clinical trial costs driven primarily by the initiation of our Phase 3 TILVANCE-301 clinical trial, (iii) a $4.7 million increase in manufacturing costs driven by activities associated with qualifying </w:t>
      </w:r>
      <w:r>
        <w:rPr>
          <w:rFonts w:ascii="Times New Roman;Times;serif" w:hAnsi="Times New Roman;Times;serif"/>
          <w:i/>
          <w:sz w:val="20"/>
        </w:rPr>
        <w:t>i</w:t>
      </w:r>
      <w:r>
        <w:rPr>
          <w:rFonts w:ascii="Times New Roman;Times;serif" w:hAnsi="Times New Roman;Times;serif"/>
          <w:sz w:val="20"/>
        </w:rPr>
        <w:t xml:space="preserve">CTC suites for commercial manufacturing readiness, (iv) a $3.2 million increase in facility and related costs associated with the second phase of the </w:t>
      </w:r>
      <w:r>
        <w:rPr>
          <w:rFonts w:ascii="Times New Roman;Times;serif" w:hAnsi="Times New Roman;Times;serif"/>
          <w:i/>
          <w:sz w:val="20"/>
        </w:rPr>
        <w:t>i</w:t>
      </w:r>
      <w:r>
        <w:rPr>
          <w:rFonts w:ascii="Times New Roman;Times;serif" w:hAnsi="Times New Roman;Times;serif"/>
          <w:sz w:val="20"/>
        </w:rPr>
        <w:t>CTC build-out intended to expand manufacturing capacity, and (v) a $1.0 million increase in other costs, including license costs related to the expansion of our information technology infrastructure to support our clinical activities. These expenses were partially offset by a $9.3 million decrease in stock-based compensation expenses primarily driven by a lower average stock price.</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Selling, general and administrative expense</w:t>
      </w:r>
    </w:p>
    <w:p>
      <w:pPr>
        <w:pStyle w:val="TextBody"/>
        <w:bidi w:val="0"/>
        <w:spacing w:before="0" w:after="0"/>
        <w:ind w:left="0" w:right="0" w:hanging="0"/>
        <w:jc w:val="both"/>
        <w:rPr/>
      </w:pPr>
      <w:r>
        <w:rPr/>
        <w: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General and administrative expenses for the three months ended June 30, 2023 decreased by $4.4 million, or 17%, compared to the same period in 2022. The decrease was primarily attributable to (i) a $4.2 million decrease in legal fees driven by the capitalization of previously expensed costs directly associated with the Acquisition upon completion of the transaction in May 2023 as well as lower intellectual property legal fees, (ii) a $1.2 million decrease in stock-based compensation expenses primarily driven by a lower average stock price, and (iii) a $1.5 million decrease in other costs, including marketing and advertising due to the timing of spend to align with the expected timing of the BLA approval as well as license and insurance costs. These expenses were partially offset by a $2.2 million increase in payroll and related expenses, resulting from increases in headcount to support the growth in the overall business and $0.3 million other costs, including professional fees and travel expenses.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General and administrative expenses for the six months ended June 30, 2023 increased by $0.3 million, or 1%, compared to the same period in 2022. The increase was primarily attributable to (i) a $7.4 million increase in payroll and related expenses, resulting from increases in headcount to support the growth in the overall business and related corporate infrastructure, as well as the growth of our commercial organization to support our commercial readiness activities, and (ii) a $0.7 million increase in other costs, including costs associated with travel and professional fees to support the Acquisition. These increases were partially offset by (i) a $3.0 million decrease</w:t>
      </w:r>
      <w:r>
        <w:rPr>
          <w:rFonts w:ascii="Times New Roman;Times;serif" w:hAnsi="Times New Roman;Times;serif"/>
          <w:color w:val="FF0000"/>
          <w:sz w:val="20"/>
        </w:rPr>
        <w:t xml:space="preserve"> </w:t>
      </w:r>
      <w:r>
        <w:rPr>
          <w:rFonts w:ascii="Times New Roman;Times;serif" w:hAnsi="Times New Roman;Times;serif"/>
          <w:sz w:val="20"/>
        </w:rPr>
        <w:t>in stock-based compensation expenses, primarily driven by a lower average stock price, (ii) a $2.4 million decrease in intellectual property legal fees, and (iii) a $2.4 million decrease in other costs, including marketing and advertising due to the timing of spend to align with the expected timing of the BLA approval and license and insurance costs.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Interest income, net</w:t>
      </w:r>
    </w:p>
    <w:p>
      <w:pPr>
        <w:pStyle w:val="TextBody"/>
        <w:bidi w:val="0"/>
        <w:spacing w:before="0" w:after="0"/>
        <w:ind w:left="0" w:right="0" w:hanging="0"/>
        <w:jc w:val="left"/>
        <w:rPr/>
      </w:pPr>
      <w:r>
        <w:rPr/>
        <w:t>​</w:t>
      </w:r>
    </w:p>
    <w:tbl>
      <w:tblPr>
        <w:tblW w:w="8685" w:type="dxa"/>
        <w:jc w:val="left"/>
        <w:tblInd w:w="0" w:type="dxa"/>
        <w:tblLayout w:type="fixed"/>
        <w:tblCellMar>
          <w:top w:w="0" w:type="dxa"/>
          <w:left w:w="0" w:type="dxa"/>
          <w:bottom w:w="0" w:type="dxa"/>
          <w:right w:w="0" w:type="dxa"/>
        </w:tblCellMar>
      </w:tblPr>
      <w:tblGrid>
        <w:gridCol w:w="1711"/>
        <w:gridCol w:w="206"/>
        <w:gridCol w:w="215"/>
        <w:gridCol w:w="581"/>
        <w:gridCol w:w="209"/>
        <w:gridCol w:w="215"/>
        <w:gridCol w:w="429"/>
        <w:gridCol w:w="206"/>
        <w:gridCol w:w="109"/>
        <w:gridCol w:w="571"/>
        <w:gridCol w:w="206"/>
        <w:gridCol w:w="421"/>
        <w:gridCol w:w="206"/>
        <w:gridCol w:w="211"/>
        <w:gridCol w:w="571"/>
        <w:gridCol w:w="206"/>
        <w:gridCol w:w="211"/>
        <w:gridCol w:w="421"/>
        <w:gridCol w:w="206"/>
        <w:gridCol w:w="109"/>
        <w:gridCol w:w="571"/>
        <w:gridCol w:w="206"/>
        <w:gridCol w:w="688"/>
      </w:tblGrid>
      <w:tr>
        <w:trPr/>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086485" cy="175260"/>
                      <wp:effectExtent l="0" t="0" r="0" b="0"/>
                      <wp:wrapNone/>
                      <wp:docPr id="304" name="Frame303"/>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30810" cy="175260"/>
                      <wp:effectExtent l="0" t="0" r="0" b="0"/>
                      <wp:wrapNone/>
                      <wp:docPr id="305" name="Frame304"/>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36525" cy="175260"/>
                      <wp:effectExtent l="0" t="0" r="0" b="0"/>
                      <wp:wrapNone/>
                      <wp:docPr id="306" name="Frame305"/>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368935" cy="175260"/>
                      <wp:effectExtent l="0" t="0" r="0" b="0"/>
                      <wp:wrapNone/>
                      <wp:docPr id="307" name="Frame306"/>
                      <a:graphic xmlns:a="http://schemas.openxmlformats.org/drawingml/2006/main">
                        <a:graphicData uri="http://schemas.microsoft.com/office/word/2010/wordprocessingShape">
                          <wps:wsp>
                            <wps:cNvSpPr txBox="1"/>
                            <wps:spPr>
                              <a:xfrm>
                                <a:off x="0" y="0"/>
                                <a:ext cx="36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32715" cy="175260"/>
                      <wp:effectExtent l="0" t="0" r="0" b="0"/>
                      <wp:wrapNone/>
                      <wp:docPr id="308" name="Frame307"/>
                      <a:graphic xmlns:a="http://schemas.openxmlformats.org/drawingml/2006/main">
                        <a:graphicData uri="http://schemas.microsoft.com/office/word/2010/wordprocessingShape">
                          <wps:wsp>
                            <wps:cNvSpPr txBox="1"/>
                            <wps:spPr>
                              <a:xfrm>
                                <a:off x="0" y="0"/>
                                <a:ext cx="132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36525" cy="175260"/>
                      <wp:effectExtent l="0" t="0" r="0" b="0"/>
                      <wp:wrapNone/>
                      <wp:docPr id="309" name="Frame308"/>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72415" cy="175260"/>
                      <wp:effectExtent l="0" t="0" r="0" b="0"/>
                      <wp:wrapNone/>
                      <wp:docPr id="310" name="Frame309"/>
                      <a:graphic xmlns:a="http://schemas.openxmlformats.org/drawingml/2006/main">
                        <a:graphicData uri="http://schemas.microsoft.com/office/word/2010/wordprocessingShape">
                          <wps:wsp>
                            <wps:cNvSpPr txBox="1"/>
                            <wps:spPr>
                              <a:xfrm>
                                <a:off x="0" y="0"/>
                                <a:ext cx="272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30810" cy="175260"/>
                      <wp:effectExtent l="0" t="0" r="0" b="0"/>
                      <wp:wrapNone/>
                      <wp:docPr id="311" name="Frame310"/>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9215" cy="175260"/>
                      <wp:effectExtent l="0" t="0" r="0" b="0"/>
                      <wp:wrapNone/>
                      <wp:docPr id="312" name="Frame3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362585" cy="175260"/>
                      <wp:effectExtent l="0" t="0" r="0" b="0"/>
                      <wp:wrapNone/>
                      <wp:docPr id="313" name="Frame31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30810" cy="175260"/>
                      <wp:effectExtent l="0" t="0" r="0" b="0"/>
                      <wp:wrapNone/>
                      <wp:docPr id="314" name="Frame313"/>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67335" cy="175260"/>
                      <wp:effectExtent l="0" t="0" r="0" b="0"/>
                      <wp:wrapNone/>
                      <wp:docPr id="315" name="Frame314"/>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30810" cy="175260"/>
                      <wp:effectExtent l="0" t="0" r="0" b="0"/>
                      <wp:wrapNone/>
                      <wp:docPr id="316" name="Frame315"/>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33985" cy="175260"/>
                      <wp:effectExtent l="0" t="0" r="0" b="0"/>
                      <wp:wrapNone/>
                      <wp:docPr id="317" name="Frame3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362585" cy="175260"/>
                      <wp:effectExtent l="0" t="0" r="0" b="0"/>
                      <wp:wrapNone/>
                      <wp:docPr id="318" name="Frame31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130810" cy="175260"/>
                      <wp:effectExtent l="0" t="0" r="0" b="0"/>
                      <wp:wrapNone/>
                      <wp:docPr id="319" name="Frame31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33985" cy="175260"/>
                      <wp:effectExtent l="0" t="0" r="0" b="0"/>
                      <wp:wrapNone/>
                      <wp:docPr id="320" name="Frame3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67335" cy="175260"/>
                      <wp:effectExtent l="0" t="0" r="0" b="0"/>
                      <wp:wrapNone/>
                      <wp:docPr id="321" name="Frame320"/>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30810" cy="175260"/>
                      <wp:effectExtent l="0" t="0" r="0" b="0"/>
                      <wp:wrapNone/>
                      <wp:docPr id="322" name="Frame321"/>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9215" cy="175260"/>
                      <wp:effectExtent l="0" t="0" r="0" b="0"/>
                      <wp:wrapNone/>
                      <wp:docPr id="323" name="Frame3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362585" cy="175260"/>
                      <wp:effectExtent l="0" t="0" r="0" b="0"/>
                      <wp:wrapNone/>
                      <wp:docPr id="324" name="Frame32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30810" cy="175260"/>
                      <wp:effectExtent l="0" t="0" r="0" b="0"/>
                      <wp:wrapNone/>
                      <wp:docPr id="325" name="Frame324"/>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436880" cy="175260"/>
                      <wp:effectExtent l="0" t="0" r="0" b="0"/>
                      <wp:wrapNone/>
                      <wp:docPr id="326" name="Frame325"/>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1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center"/>
              <w:rPr/>
            </w:pPr>
            <w:r>
              <w:rPr/>
              <w:t>​</w:t>
            </w:r>
          </w:p>
        </w:tc>
        <w:tc>
          <w:tcPr>
            <w:tcW w:w="164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206" w:type="dxa"/>
            <w:tcBorders/>
            <w:vAlign w:val="center"/>
          </w:tcPr>
          <w:p>
            <w:pPr>
              <w:pStyle w:val="TableContents"/>
              <w:bidi w:val="0"/>
              <w:spacing w:before="0" w:after="0"/>
              <w:ind w:left="0" w:right="0" w:hanging="0"/>
              <w:jc w:val="center"/>
              <w:rPr/>
            </w:pPr>
            <w:r>
              <w:rPr/>
              <w:t>​</w:t>
            </w:r>
          </w:p>
        </w:tc>
        <w:tc>
          <w:tcPr>
            <w:tcW w:w="1307"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 </w:t>
            </w:r>
          </w:p>
        </w:tc>
        <w:tc>
          <w:tcPr>
            <w:tcW w:w="206" w:type="dxa"/>
            <w:tcBorders/>
            <w:vAlign w:val="center"/>
          </w:tcPr>
          <w:p>
            <w:pPr>
              <w:pStyle w:val="TableContents"/>
              <w:bidi w:val="0"/>
              <w:spacing w:before="0" w:after="0"/>
              <w:ind w:left="0" w:right="0" w:hanging="0"/>
              <w:jc w:val="center"/>
              <w:rPr/>
            </w:pPr>
            <w:r>
              <w:rPr/>
              <w:t> </w:t>
            </w:r>
          </w:p>
        </w:tc>
        <w:tc>
          <w:tcPr>
            <w:tcW w:w="16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206" w:type="dxa"/>
            <w:tcBorders/>
            <w:vAlign w:val="center"/>
          </w:tcPr>
          <w:p>
            <w:pPr>
              <w:pStyle w:val="TableContents"/>
              <w:bidi w:val="0"/>
              <w:spacing w:before="0" w:after="0"/>
              <w:ind w:left="0" w:right="0" w:hanging="0"/>
              <w:jc w:val="center"/>
              <w:rPr/>
            </w:pPr>
            <w:r>
              <w:rPr/>
              <w:t>​</w:t>
            </w:r>
          </w:p>
        </w:tc>
        <w:tc>
          <w:tcPr>
            <w:tcW w:w="157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 </w:t>
            </w:r>
          </w:p>
        </w:tc>
      </w:tr>
      <w:tr>
        <w:trPr/>
        <w:tc>
          <w:tcPr>
            <w:tcW w:w="171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center"/>
              <w:rPr/>
            </w:pPr>
            <w:r>
              <w:rPr/>
              <w:t>​</w:t>
            </w:r>
          </w:p>
        </w:tc>
        <w:tc>
          <w:tcPr>
            <w:tcW w:w="164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06" w:type="dxa"/>
            <w:tcBorders/>
            <w:vAlign w:val="center"/>
          </w:tcPr>
          <w:p>
            <w:pPr>
              <w:pStyle w:val="TableContents"/>
              <w:bidi w:val="0"/>
              <w:spacing w:before="0" w:after="0"/>
              <w:ind w:left="0" w:right="0" w:hanging="0"/>
              <w:jc w:val="center"/>
              <w:rPr/>
            </w:pPr>
            <w:r>
              <w:rPr/>
              <w:t>​</w:t>
            </w:r>
          </w:p>
        </w:tc>
        <w:tc>
          <w:tcPr>
            <w:tcW w:w="1307"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206" w:type="dxa"/>
            <w:tcBorders/>
            <w:vAlign w:val="center"/>
          </w:tcPr>
          <w:p>
            <w:pPr>
              <w:pStyle w:val="TableContents"/>
              <w:bidi w:val="0"/>
              <w:spacing w:before="0" w:after="0"/>
              <w:ind w:left="0" w:right="0" w:hanging="0"/>
              <w:jc w:val="center"/>
              <w:rPr/>
            </w:pPr>
            <w:r>
              <w:rPr/>
              <w:t>​</w:t>
            </w:r>
          </w:p>
        </w:tc>
        <w:tc>
          <w:tcPr>
            <w:tcW w:w="16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06" w:type="dxa"/>
            <w:tcBorders/>
            <w:vAlign w:val="center"/>
          </w:tcPr>
          <w:p>
            <w:pPr>
              <w:pStyle w:val="TableContents"/>
              <w:bidi w:val="0"/>
              <w:spacing w:before="0" w:after="0"/>
              <w:ind w:left="0" w:right="0" w:hanging="0"/>
              <w:jc w:val="center"/>
              <w:rPr/>
            </w:pPr>
            <w:r>
              <w:rPr/>
              <w:t>​</w:t>
            </w:r>
          </w:p>
        </w:tc>
        <w:tc>
          <w:tcPr>
            <w:tcW w:w="157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r>
      <w:tr>
        <w:trPr/>
        <w:tc>
          <w:tcPr>
            <w:tcW w:w="17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206" w:type="dxa"/>
            <w:tcBorders/>
            <w:vAlign w:val="center"/>
          </w:tcPr>
          <w:p>
            <w:pPr>
              <w:pStyle w:val="TableContents"/>
              <w:bidi w:val="0"/>
              <w:spacing w:before="0" w:after="0"/>
              <w:ind w:left="0" w:right="0" w:hanging="0"/>
              <w:jc w:val="center"/>
              <w:rPr/>
            </w:pPr>
            <w:r>
              <w:rPr/>
              <w:t>  </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09" w:type="dxa"/>
            <w:tcBorders/>
            <w:vAlign w:val="center"/>
          </w:tcPr>
          <w:p>
            <w:pPr>
              <w:pStyle w:val="TableContents"/>
              <w:bidi w:val="0"/>
              <w:spacing w:before="0" w:after="0"/>
              <w:ind w:left="0" w:right="0" w:hanging="0"/>
              <w:jc w:val="center"/>
              <w:rPr/>
            </w:pPr>
            <w:r>
              <w:rPr/>
              <w:t>  </w:t>
            </w:r>
          </w:p>
        </w:tc>
        <w:tc>
          <w:tcPr>
            <w:tcW w:w="6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206" w:type="dxa"/>
            <w:tcBorders/>
            <w:vAlign w:val="center"/>
          </w:tcPr>
          <w:p>
            <w:pPr>
              <w:pStyle w:val="TableContents"/>
              <w:bidi w:val="0"/>
              <w:spacing w:before="0" w:after="0"/>
              <w:ind w:left="0" w:right="0" w:hanging="0"/>
              <w:jc w:val="center"/>
              <w:rPr/>
            </w:pPr>
            <w:r>
              <w:rPr/>
              <w:t>  </w:t>
            </w:r>
          </w:p>
        </w:tc>
        <w:tc>
          <w:tcPr>
            <w:tcW w:w="6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06" w:type="dxa"/>
            <w:tcBorders/>
            <w:vAlign w:val="center"/>
          </w:tcPr>
          <w:p>
            <w:pPr>
              <w:pStyle w:val="TableContents"/>
              <w:bidi w:val="0"/>
              <w:spacing w:before="0" w:after="0"/>
              <w:ind w:left="0" w:right="0" w:hanging="0"/>
              <w:jc w:val="center"/>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06" w:type="dxa"/>
            <w:tcBorders/>
            <w:vAlign w:val="center"/>
          </w:tcPr>
          <w:p>
            <w:pPr>
              <w:pStyle w:val="TableContents"/>
              <w:bidi w:val="0"/>
              <w:spacing w:before="0" w:after="0"/>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06" w:type="dxa"/>
            <w:tcBorders/>
            <w:vAlign w:val="center"/>
          </w:tcPr>
          <w:p>
            <w:pPr>
              <w:pStyle w:val="TableContents"/>
              <w:bidi w:val="0"/>
              <w:spacing w:before="0" w:after="0"/>
              <w:ind w:left="0" w:right="0" w:hanging="0"/>
              <w:jc w:val="center"/>
              <w:rPr/>
            </w:pPr>
            <w:r>
              <w:rPr/>
              <w:t>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206" w:type="dxa"/>
            <w:tcBorders/>
            <w:vAlign w:val="center"/>
          </w:tcPr>
          <w:p>
            <w:pPr>
              <w:pStyle w:val="TableContents"/>
              <w:bidi w:val="0"/>
              <w:spacing w:before="0" w:after="0"/>
              <w:ind w:left="0" w:right="0" w:hanging="0"/>
              <w:jc w:val="center"/>
              <w:rPr/>
            </w:pPr>
            <w:r>
              <w:rPr/>
              <w:t>  </w:t>
            </w:r>
          </w:p>
        </w:tc>
        <w:tc>
          <w:tcPr>
            <w:tcW w:w="6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06" w:type="dxa"/>
            <w:tcBorders/>
            <w:vAlign w:val="center"/>
          </w:tcPr>
          <w:p>
            <w:pPr>
              <w:pStyle w:val="TableContents"/>
              <w:bidi w:val="0"/>
              <w:spacing w:before="0" w:after="0"/>
              <w:ind w:left="0" w:right="0" w:hanging="0"/>
              <w:jc w:val="center"/>
              <w:rPr/>
            </w:pPr>
            <w:r>
              <w:rPr/>
              <w:t>  </w:t>
            </w:r>
          </w:p>
        </w:tc>
        <w:tc>
          <w:tcPr>
            <w:tcW w:w="68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1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net</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3,081</w:t>
            </w:r>
          </w:p>
        </w:tc>
        <w:tc>
          <w:tcPr>
            <w:tcW w:w="209"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w:t>
            </w:r>
          </w:p>
        </w:tc>
        <w:tc>
          <w:tcPr>
            <w:tcW w:w="20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2,696</w:t>
            </w:r>
          </w:p>
        </w:tc>
        <w:tc>
          <w:tcPr>
            <w:tcW w:w="206"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6,567</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w:t>
            </w:r>
          </w:p>
        </w:tc>
        <w:tc>
          <w:tcPr>
            <w:tcW w:w="20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6,076</w:t>
            </w:r>
          </w:p>
        </w:tc>
        <w:tc>
          <w:tcPr>
            <w:tcW w:w="206" w:type="dxa"/>
            <w:tcBorders/>
            <w:shd w:fill="CCEEFF" w:val="clear"/>
            <w:vAlign w:val="center"/>
          </w:tcPr>
          <w:p>
            <w:pPr>
              <w:pStyle w:val="TableContents"/>
              <w:bidi w:val="0"/>
              <w:spacing w:before="0" w:after="0"/>
              <w:ind w:left="0" w:right="0" w:hanging="0"/>
              <w:jc w:val="right"/>
              <w:rPr/>
            </w:pPr>
            <w:r>
              <w:rPr/>
              <w:t>​</w:t>
            </w:r>
          </w:p>
        </w:tc>
        <w:tc>
          <w:tcPr>
            <w:tcW w:w="688"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1,237</w:t>
            </w:r>
          </w:p>
        </w:tc>
      </w:tr>
    </w:tbl>
    <w:p>
      <w:pPr>
        <w:pStyle w:val="TextBody"/>
        <w:bidi w:val="0"/>
        <w:spacing w:before="0" w:after="0"/>
        <w:ind w:left="0" w:right="0" w:hanging="0"/>
        <w:jc w:val="left"/>
        <w:rPr/>
      </w:pPr>
      <w:r>
        <w:rPr/>
        <w: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Interest income, net for the three and six months ended June 30, 2023 increased by $2.7 million, or 700%, and $6.6 million, or 1,237%, compared to the same periods in 2022, respectively. The increase was primarily due to increases in interest rates resulting in increased interest income as well as a shift in our portfolio to interest bearing investments such as U.S. treasury securities and money market funds.</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Income tax benefit </w:t>
      </w:r>
    </w:p>
    <w:p>
      <w:pPr>
        <w:pStyle w:val="TextBody"/>
        <w:bidi w:val="0"/>
        <w:spacing w:before="0" w:after="0"/>
        <w:ind w:left="0" w:right="0" w:hanging="0"/>
        <w:jc w:val="both"/>
        <w:rPr/>
      </w:pPr>
      <w:r>
        <w:rPr/>
        <w:t>​</w:t>
      </w:r>
    </w:p>
    <w:tbl>
      <w:tblPr>
        <w:tblW w:w="7994" w:type="dxa"/>
        <w:jc w:val="left"/>
        <w:tblInd w:w="0" w:type="dxa"/>
        <w:tblLayout w:type="fixed"/>
        <w:tblCellMar>
          <w:top w:w="0" w:type="dxa"/>
          <w:left w:w="0" w:type="dxa"/>
          <w:bottom w:w="0" w:type="dxa"/>
          <w:right w:w="0" w:type="dxa"/>
        </w:tblCellMar>
      </w:tblPr>
      <w:tblGrid>
        <w:gridCol w:w="1636"/>
        <w:gridCol w:w="206"/>
        <w:gridCol w:w="249"/>
        <w:gridCol w:w="498"/>
        <w:gridCol w:w="243"/>
        <w:gridCol w:w="249"/>
        <w:gridCol w:w="409"/>
        <w:gridCol w:w="206"/>
        <w:gridCol w:w="109"/>
        <w:gridCol w:w="421"/>
        <w:gridCol w:w="206"/>
        <w:gridCol w:w="421"/>
        <w:gridCol w:w="206"/>
        <w:gridCol w:w="220"/>
        <w:gridCol w:w="439"/>
        <w:gridCol w:w="215"/>
        <w:gridCol w:w="220"/>
        <w:gridCol w:w="361"/>
        <w:gridCol w:w="206"/>
        <w:gridCol w:w="109"/>
        <w:gridCol w:w="421"/>
        <w:gridCol w:w="206"/>
        <w:gridCol w:w="538"/>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038860" cy="175260"/>
                      <wp:effectExtent l="0" t="0" r="0" b="0"/>
                      <wp:wrapNone/>
                      <wp:docPr id="327" name="Frame326"/>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30810" cy="175260"/>
                      <wp:effectExtent l="0" t="0" r="0" b="0"/>
                      <wp:wrapNone/>
                      <wp:docPr id="328" name="Frame327"/>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58115" cy="175260"/>
                      <wp:effectExtent l="0" t="0" r="0" b="0"/>
                      <wp:wrapNone/>
                      <wp:docPr id="329" name="Frame328"/>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316230" cy="175260"/>
                      <wp:effectExtent l="0" t="0" r="0" b="0"/>
                      <wp:wrapNone/>
                      <wp:docPr id="330" name="Frame329"/>
                      <a:graphic xmlns:a="http://schemas.openxmlformats.org/drawingml/2006/main">
                        <a:graphicData uri="http://schemas.microsoft.com/office/word/2010/wordprocessingShape">
                          <wps:wsp>
                            <wps:cNvSpPr txBox="1"/>
                            <wps:spPr>
                              <a:xfrm>
                                <a:off x="0" y="0"/>
                                <a:ext cx="316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54305" cy="175260"/>
                      <wp:effectExtent l="0" t="0" r="0" b="0"/>
                      <wp:wrapNone/>
                      <wp:docPr id="331" name="Frame330"/>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58115" cy="175260"/>
                      <wp:effectExtent l="0" t="0" r="0" b="0"/>
                      <wp:wrapNone/>
                      <wp:docPr id="332" name="Frame331"/>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59715" cy="175260"/>
                      <wp:effectExtent l="0" t="0" r="0" b="0"/>
                      <wp:wrapNone/>
                      <wp:docPr id="333" name="Frame332"/>
                      <a:graphic xmlns:a="http://schemas.openxmlformats.org/drawingml/2006/main">
                        <a:graphicData uri="http://schemas.microsoft.com/office/word/2010/wordprocessingShape">
                          <wps:wsp>
                            <wps:cNvSpPr txBox="1"/>
                            <wps:spPr>
                              <a:xfrm>
                                <a:off x="0" y="0"/>
                                <a:ext cx="259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30810" cy="175260"/>
                      <wp:effectExtent l="0" t="0" r="0" b="0"/>
                      <wp:wrapNone/>
                      <wp:docPr id="334" name="Frame333"/>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9215" cy="175260"/>
                      <wp:effectExtent l="0" t="0" r="0" b="0"/>
                      <wp:wrapNone/>
                      <wp:docPr id="335" name="Frame3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67335" cy="175260"/>
                      <wp:effectExtent l="0" t="0" r="0" b="0"/>
                      <wp:wrapNone/>
                      <wp:docPr id="336" name="Frame335"/>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130810" cy="175260"/>
                      <wp:effectExtent l="0" t="0" r="0" b="0"/>
                      <wp:wrapNone/>
                      <wp:docPr id="337" name="Frame336"/>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67335" cy="175260"/>
                      <wp:effectExtent l="0" t="0" r="0" b="0"/>
                      <wp:wrapNone/>
                      <wp:docPr id="338" name="Frame337"/>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30810" cy="175260"/>
                      <wp:effectExtent l="0" t="0" r="0" b="0"/>
                      <wp:wrapNone/>
                      <wp:docPr id="339" name="Frame33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39700" cy="175260"/>
                      <wp:effectExtent l="0" t="0" r="0" b="0"/>
                      <wp:wrapNone/>
                      <wp:docPr id="340" name="Frame339"/>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78765" cy="175260"/>
                      <wp:effectExtent l="0" t="0" r="0" b="0"/>
                      <wp:wrapNone/>
                      <wp:docPr id="341" name="Frame340"/>
                      <a:graphic xmlns:a="http://schemas.openxmlformats.org/drawingml/2006/main">
                        <a:graphicData uri="http://schemas.microsoft.com/office/word/2010/wordprocessingShape">
                          <wps:wsp>
                            <wps:cNvSpPr txBox="1"/>
                            <wps:spPr>
                              <a:xfrm>
                                <a:off x="0" y="0"/>
                                <a:ext cx="278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36525" cy="175260"/>
                      <wp:effectExtent l="0" t="0" r="0" b="0"/>
                      <wp:wrapNone/>
                      <wp:docPr id="342" name="Frame341"/>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139700" cy="175260"/>
                      <wp:effectExtent l="0" t="0" r="0" b="0"/>
                      <wp:wrapNone/>
                      <wp:docPr id="343" name="Frame342"/>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29235" cy="175260"/>
                      <wp:effectExtent l="0" t="0" r="0" b="0"/>
                      <wp:wrapNone/>
                      <wp:docPr id="344" name="Frame34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130810" cy="175260"/>
                      <wp:effectExtent l="0" t="0" r="0" b="0"/>
                      <wp:wrapNone/>
                      <wp:docPr id="345" name="Frame344"/>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9215" cy="175260"/>
                      <wp:effectExtent l="0" t="0" r="0" b="0"/>
                      <wp:wrapNone/>
                      <wp:docPr id="346" name="Frame3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67335" cy="175260"/>
                      <wp:effectExtent l="0" t="0" r="0" b="0"/>
                      <wp:wrapNone/>
                      <wp:docPr id="347" name="Frame346"/>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130810" cy="175260"/>
                      <wp:effectExtent l="0" t="0" r="0" b="0"/>
                      <wp:wrapNone/>
                      <wp:docPr id="348" name="Frame347"/>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341630" cy="175260"/>
                      <wp:effectExtent l="0" t="0" r="0" b="0"/>
                      <wp:wrapNone/>
                      <wp:docPr id="349" name="Frame348"/>
                      <a:graphic xmlns:a="http://schemas.openxmlformats.org/drawingml/2006/main">
                        <a:graphicData uri="http://schemas.microsoft.com/office/word/2010/wordprocessingShape">
                          <wps:wsp>
                            <wps:cNvSpPr txBox="1"/>
                            <wps:spPr>
                              <a:xfrm>
                                <a:off x="0" y="0"/>
                                <a:ext cx="341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3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center"/>
              <w:rPr/>
            </w:pPr>
            <w:r>
              <w:rPr/>
              <w:t>​</w:t>
            </w:r>
          </w:p>
        </w:tc>
        <w:tc>
          <w:tcPr>
            <w:tcW w:w="164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206" w:type="dxa"/>
            <w:tcBorders/>
            <w:vAlign w:val="center"/>
          </w:tcPr>
          <w:p>
            <w:pPr>
              <w:pStyle w:val="TableContents"/>
              <w:bidi w:val="0"/>
              <w:spacing w:before="0" w:after="0"/>
              <w:ind w:left="0" w:right="0" w:hanging="0"/>
              <w:jc w:val="center"/>
              <w:rPr/>
            </w:pPr>
            <w:r>
              <w:rPr/>
              <w:t>​</w:t>
            </w:r>
          </w:p>
        </w:tc>
        <w:tc>
          <w:tcPr>
            <w:tcW w:w="1157"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 </w:t>
            </w:r>
          </w:p>
        </w:tc>
        <w:tc>
          <w:tcPr>
            <w:tcW w:w="206" w:type="dxa"/>
            <w:tcBorders/>
            <w:vAlign w:val="center"/>
          </w:tcPr>
          <w:p>
            <w:pPr>
              <w:pStyle w:val="TableContents"/>
              <w:bidi w:val="0"/>
              <w:spacing w:before="0" w:after="0"/>
              <w:ind w:left="0" w:right="0" w:hanging="0"/>
              <w:jc w:val="center"/>
              <w:rPr/>
            </w:pPr>
            <w:r>
              <w:rPr/>
              <w:t> </w:t>
            </w:r>
          </w:p>
        </w:tc>
        <w:tc>
          <w:tcPr>
            <w:tcW w:w="145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206" w:type="dxa"/>
            <w:tcBorders/>
            <w:vAlign w:val="center"/>
          </w:tcPr>
          <w:p>
            <w:pPr>
              <w:pStyle w:val="TableContents"/>
              <w:bidi w:val="0"/>
              <w:spacing w:before="0" w:after="0"/>
              <w:ind w:left="0" w:right="0" w:hanging="0"/>
              <w:jc w:val="center"/>
              <w:rPr/>
            </w:pPr>
            <w:r>
              <w:rPr/>
              <w:t>​</w:t>
            </w:r>
          </w:p>
        </w:tc>
        <w:tc>
          <w:tcPr>
            <w:tcW w:w="127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 </w:t>
            </w:r>
          </w:p>
        </w:tc>
      </w:tr>
      <w:tr>
        <w:trPr/>
        <w:tc>
          <w:tcPr>
            <w:tcW w:w="163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center"/>
              <w:rPr/>
            </w:pPr>
            <w:r>
              <w:rPr/>
              <w:t>​</w:t>
            </w:r>
          </w:p>
        </w:tc>
        <w:tc>
          <w:tcPr>
            <w:tcW w:w="164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06" w:type="dxa"/>
            <w:tcBorders/>
            <w:vAlign w:val="center"/>
          </w:tcPr>
          <w:p>
            <w:pPr>
              <w:pStyle w:val="TableContents"/>
              <w:bidi w:val="0"/>
              <w:spacing w:before="0" w:after="0"/>
              <w:ind w:left="0" w:right="0" w:hanging="0"/>
              <w:jc w:val="center"/>
              <w:rPr/>
            </w:pPr>
            <w:r>
              <w:rPr/>
              <w:t>​</w:t>
            </w:r>
          </w:p>
        </w:tc>
        <w:tc>
          <w:tcPr>
            <w:tcW w:w="1157"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206" w:type="dxa"/>
            <w:tcBorders/>
            <w:vAlign w:val="center"/>
          </w:tcPr>
          <w:p>
            <w:pPr>
              <w:pStyle w:val="TableContents"/>
              <w:bidi w:val="0"/>
              <w:spacing w:before="0" w:after="0"/>
              <w:ind w:left="0" w:right="0" w:hanging="0"/>
              <w:jc w:val="center"/>
              <w:rPr/>
            </w:pPr>
            <w:r>
              <w:rPr/>
              <w:t>​</w:t>
            </w:r>
          </w:p>
        </w:tc>
        <w:tc>
          <w:tcPr>
            <w:tcW w:w="14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06" w:type="dxa"/>
            <w:tcBorders/>
            <w:vAlign w:val="center"/>
          </w:tcPr>
          <w:p>
            <w:pPr>
              <w:pStyle w:val="TableContents"/>
              <w:bidi w:val="0"/>
              <w:spacing w:before="0" w:after="0"/>
              <w:ind w:left="0" w:right="0" w:hanging="0"/>
              <w:jc w:val="center"/>
              <w:rPr/>
            </w:pPr>
            <w:r>
              <w:rPr/>
              <w:t>​</w:t>
            </w:r>
          </w:p>
        </w:tc>
        <w:tc>
          <w:tcPr>
            <w:tcW w:w="127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r>
      <w:tr>
        <w:trPr/>
        <w:tc>
          <w:tcPr>
            <w:tcW w:w="16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206" w:type="dxa"/>
            <w:tcBorders/>
            <w:vAlign w:val="center"/>
          </w:tcPr>
          <w:p>
            <w:pPr>
              <w:pStyle w:val="TableContents"/>
              <w:bidi w:val="0"/>
              <w:spacing w:before="0" w:after="0"/>
              <w:ind w:left="0" w:right="0" w:hanging="0"/>
              <w:jc w:val="center"/>
              <w:rPr/>
            </w:pPr>
            <w:r>
              <w:rPr/>
              <w:t>  </w:t>
            </w:r>
          </w:p>
        </w:tc>
        <w:tc>
          <w:tcPr>
            <w:tcW w:w="7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43" w:type="dxa"/>
            <w:tcBorders/>
            <w:vAlign w:val="center"/>
          </w:tcPr>
          <w:p>
            <w:pPr>
              <w:pStyle w:val="TableContents"/>
              <w:bidi w:val="0"/>
              <w:spacing w:before="0" w:after="0"/>
              <w:ind w:left="0" w:right="0" w:hanging="0"/>
              <w:jc w:val="center"/>
              <w:rPr/>
            </w:pPr>
            <w:r>
              <w:rPr/>
              <w:t>  </w:t>
            </w:r>
          </w:p>
        </w:tc>
        <w:tc>
          <w:tcPr>
            <w:tcW w:w="6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206" w:type="dxa"/>
            <w:tcBorders/>
            <w:vAlign w:val="center"/>
          </w:tcPr>
          <w:p>
            <w:pPr>
              <w:pStyle w:val="TableContents"/>
              <w:bidi w:val="0"/>
              <w:spacing w:before="0" w:after="0"/>
              <w:ind w:left="0" w:right="0" w:hanging="0"/>
              <w:jc w:val="center"/>
              <w:rPr/>
            </w:pPr>
            <w:r>
              <w:rPr/>
              <w:t>  </w:t>
            </w:r>
          </w:p>
        </w:tc>
        <w:tc>
          <w:tcPr>
            <w:tcW w:w="5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06" w:type="dxa"/>
            <w:tcBorders/>
            <w:vAlign w:val="center"/>
          </w:tcPr>
          <w:p>
            <w:pPr>
              <w:pStyle w:val="TableContents"/>
              <w:bidi w:val="0"/>
              <w:spacing w:before="0" w:after="0"/>
              <w:ind w:left="0" w:right="0" w:hanging="0"/>
              <w:jc w:val="center"/>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06" w:type="dxa"/>
            <w:tcBorders/>
            <w:vAlign w:val="center"/>
          </w:tcPr>
          <w:p>
            <w:pPr>
              <w:pStyle w:val="TableContents"/>
              <w:bidi w:val="0"/>
              <w:spacing w:before="0" w:after="0"/>
              <w:ind w:left="0" w:right="0" w:hanging="0"/>
              <w:jc w:val="center"/>
              <w:rPr/>
            </w:pPr>
            <w:r>
              <w:rPr/>
              <w:t>  </w:t>
            </w:r>
          </w:p>
        </w:tc>
        <w:tc>
          <w:tcPr>
            <w:tcW w:w="6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15" w:type="dxa"/>
            <w:tcBorders/>
            <w:vAlign w:val="center"/>
          </w:tcPr>
          <w:p>
            <w:pPr>
              <w:pStyle w:val="TableContents"/>
              <w:bidi w:val="0"/>
              <w:spacing w:before="0" w:after="0"/>
              <w:ind w:left="0" w:right="0" w:hanging="0"/>
              <w:jc w:val="center"/>
              <w:rPr/>
            </w:pPr>
            <w:r>
              <w:rPr/>
              <w:t>  </w:t>
            </w:r>
          </w:p>
        </w:tc>
        <w:tc>
          <w:tcPr>
            <w:tcW w:w="5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206" w:type="dxa"/>
            <w:tcBorders/>
            <w:vAlign w:val="center"/>
          </w:tcPr>
          <w:p>
            <w:pPr>
              <w:pStyle w:val="TableContents"/>
              <w:bidi w:val="0"/>
              <w:spacing w:before="0" w:after="0"/>
              <w:ind w:left="0" w:right="0" w:hanging="0"/>
              <w:jc w:val="center"/>
              <w:rPr/>
            </w:pPr>
            <w:r>
              <w:rPr/>
              <w:t>  </w:t>
            </w:r>
          </w:p>
        </w:tc>
        <w:tc>
          <w:tcPr>
            <w:tcW w:w="5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06" w:type="dxa"/>
            <w:tcBorders/>
            <w:vAlign w:val="center"/>
          </w:tcPr>
          <w:p>
            <w:pPr>
              <w:pStyle w:val="TableContents"/>
              <w:bidi w:val="0"/>
              <w:spacing w:before="0" w:after="0"/>
              <w:ind w:left="0" w:right="0" w:hanging="0"/>
              <w:jc w:val="center"/>
              <w:rPr/>
            </w:pPr>
            <w:r>
              <w:rPr/>
              <w:t>  </w:t>
            </w:r>
          </w:p>
        </w:tc>
        <w:tc>
          <w:tcPr>
            <w:tcW w:w="53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w:t>
            </w:r>
          </w:p>
        </w:tc>
        <w:tc>
          <w:tcPr>
            <w:tcW w:w="20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w:t>
            </w:r>
          </w:p>
        </w:tc>
        <w:tc>
          <w:tcPr>
            <w:tcW w:w="243"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0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w:t>
            </w:r>
          </w:p>
        </w:tc>
        <w:tc>
          <w:tcPr>
            <w:tcW w:w="206"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20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w:t>
            </w:r>
          </w:p>
        </w:tc>
        <w:tc>
          <w:tcPr>
            <w:tcW w:w="215"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6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w:t>
            </w:r>
          </w:p>
        </w:tc>
        <w:tc>
          <w:tcPr>
            <w:tcW w:w="206" w:type="dxa"/>
            <w:tcBorders/>
            <w:shd w:fill="CCEEFF" w:val="clear"/>
            <w:vAlign w:val="center"/>
          </w:tcPr>
          <w:p>
            <w:pPr>
              <w:pStyle w:val="TableContents"/>
              <w:bidi w:val="0"/>
              <w:spacing w:before="0" w:after="0"/>
              <w:ind w:left="0" w:right="0" w:hanging="0"/>
              <w:jc w:val="right"/>
              <w:rPr/>
            </w:pPr>
            <w:r>
              <w:rPr/>
              <w:t>​</w:t>
            </w:r>
          </w:p>
        </w:tc>
        <w:tc>
          <w:tcPr>
            <w:tcW w:w="538"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100</w:t>
            </w:r>
          </w:p>
        </w:tc>
      </w:tr>
    </w:tbl>
    <w:p>
      <w:pPr>
        <w:pStyle w:val="TextBody"/>
        <w:bidi w:val="0"/>
        <w:spacing w:before="0" w:after="0"/>
        <w:ind w:left="0" w:right="0" w:hanging="0"/>
        <w:jc w:val="both"/>
        <w:rPr/>
      </w:pPr>
      <w:r>
        <w:rPr/>
        <w: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Income tax benefit for the three and six months ended June 30, 2023 was $0.5 million, as a result of the tax benefit from the realization of the related deferred taxes for operations in the United Kingdom.</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Net loss </w:t>
      </w:r>
    </w:p>
    <w:p>
      <w:pPr>
        <w:pStyle w:val="TextBody"/>
        <w:bidi w:val="0"/>
        <w:spacing w:before="0" w:after="0"/>
        <w:ind w:left="0" w:right="0" w:hanging="0"/>
        <w:jc w:val="both"/>
        <w:rPr/>
      </w:pPr>
      <w:r>
        <w:rPr/>
        <w:t>​</w:t>
      </w:r>
    </w:p>
    <w:tbl>
      <w:tblPr>
        <w:tblW w:w="9511" w:type="dxa"/>
        <w:jc w:val="left"/>
        <w:tblInd w:w="0" w:type="dxa"/>
        <w:tblLayout w:type="fixed"/>
        <w:tblCellMar>
          <w:top w:w="0" w:type="dxa"/>
          <w:left w:w="0" w:type="dxa"/>
          <w:bottom w:w="0" w:type="dxa"/>
          <w:right w:w="0" w:type="dxa"/>
        </w:tblCellMar>
      </w:tblPr>
      <w:tblGrid>
        <w:gridCol w:w="1111"/>
        <w:gridCol w:w="206"/>
        <w:gridCol w:w="211"/>
        <w:gridCol w:w="901"/>
        <w:gridCol w:w="206"/>
        <w:gridCol w:w="211"/>
        <w:gridCol w:w="796"/>
        <w:gridCol w:w="206"/>
        <w:gridCol w:w="109"/>
        <w:gridCol w:w="691"/>
        <w:gridCol w:w="206"/>
        <w:gridCol w:w="271"/>
        <w:gridCol w:w="206"/>
        <w:gridCol w:w="211"/>
        <w:gridCol w:w="901"/>
        <w:gridCol w:w="206"/>
        <w:gridCol w:w="211"/>
        <w:gridCol w:w="901"/>
        <w:gridCol w:w="206"/>
        <w:gridCol w:w="109"/>
        <w:gridCol w:w="796"/>
        <w:gridCol w:w="206"/>
        <w:gridCol w:w="433"/>
      </w:tblGrid>
      <w:tr>
        <w:trPr/>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705485" cy="175260"/>
                      <wp:effectExtent l="0" t="0" r="0" b="0"/>
                      <wp:wrapNone/>
                      <wp:docPr id="350" name="Frame349"/>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130810" cy="175260"/>
                      <wp:effectExtent l="0" t="0" r="0" b="0"/>
                      <wp:wrapNone/>
                      <wp:docPr id="351" name="Frame350"/>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33985" cy="175260"/>
                      <wp:effectExtent l="0" t="0" r="0" b="0"/>
                      <wp:wrapNone/>
                      <wp:docPr id="352" name="Frame3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572135" cy="175260"/>
                      <wp:effectExtent l="0" t="0" r="0" b="0"/>
                      <wp:wrapNone/>
                      <wp:docPr id="353" name="Frame35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30810" cy="175260"/>
                      <wp:effectExtent l="0" t="0" r="0" b="0"/>
                      <wp:wrapNone/>
                      <wp:docPr id="354" name="Frame353"/>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133985" cy="175260"/>
                      <wp:effectExtent l="0" t="0" r="0" b="0"/>
                      <wp:wrapNone/>
                      <wp:docPr id="355" name="Frame3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505460" cy="175260"/>
                      <wp:effectExtent l="0" t="0" r="0" b="0"/>
                      <wp:wrapNone/>
                      <wp:docPr id="356" name="Frame35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30810" cy="175260"/>
                      <wp:effectExtent l="0" t="0" r="0" b="0"/>
                      <wp:wrapNone/>
                      <wp:docPr id="357" name="Frame356"/>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9215" cy="175260"/>
                      <wp:effectExtent l="0" t="0" r="0" b="0"/>
                      <wp:wrapNone/>
                      <wp:docPr id="358" name="Frame3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438785" cy="175260"/>
                      <wp:effectExtent l="0" t="0" r="0" b="0"/>
                      <wp:wrapNone/>
                      <wp:docPr id="359" name="Frame35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30810" cy="175260"/>
                      <wp:effectExtent l="0" t="0" r="0" b="0"/>
                      <wp:wrapNone/>
                      <wp:docPr id="360" name="Frame359"/>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172085" cy="175260"/>
                      <wp:effectExtent l="0" t="0" r="0" b="0"/>
                      <wp:wrapNone/>
                      <wp:docPr id="361" name="Frame360"/>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30810" cy="175260"/>
                      <wp:effectExtent l="0" t="0" r="0" b="0"/>
                      <wp:wrapNone/>
                      <wp:docPr id="362" name="Frame361"/>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133985" cy="175260"/>
                      <wp:effectExtent l="0" t="0" r="0" b="0"/>
                      <wp:wrapNone/>
                      <wp:docPr id="363" name="Frame3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572135" cy="175260"/>
                      <wp:effectExtent l="0" t="0" r="0" b="0"/>
                      <wp:wrapNone/>
                      <wp:docPr id="364" name="Frame36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30810" cy="175260"/>
                      <wp:effectExtent l="0" t="0" r="0" b="0"/>
                      <wp:wrapNone/>
                      <wp:docPr id="365" name="Frame364"/>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133985" cy="175260"/>
                      <wp:effectExtent l="0" t="0" r="0" b="0"/>
                      <wp:wrapNone/>
                      <wp:docPr id="366" name="Frame3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572135" cy="175260"/>
                      <wp:effectExtent l="0" t="0" r="0" b="0"/>
                      <wp:wrapNone/>
                      <wp:docPr id="367" name="Frame36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130810" cy="175260"/>
                      <wp:effectExtent l="0" t="0" r="0" b="0"/>
                      <wp:wrapNone/>
                      <wp:docPr id="368" name="Frame367"/>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9215" cy="175260"/>
                      <wp:effectExtent l="0" t="0" r="0" b="0"/>
                      <wp:wrapNone/>
                      <wp:docPr id="369" name="Frame3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505460" cy="175260"/>
                      <wp:effectExtent l="0" t="0" r="0" b="0"/>
                      <wp:wrapNone/>
                      <wp:docPr id="370" name="Frame36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30810" cy="175260"/>
                      <wp:effectExtent l="0" t="0" r="0" b="0"/>
                      <wp:wrapNone/>
                      <wp:docPr id="371" name="Frame370"/>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74955" cy="175260"/>
                      <wp:effectExtent l="0" t="0" r="0" b="0"/>
                      <wp:wrapNone/>
                      <wp:docPr id="372" name="Frame371"/>
                      <a:graphic xmlns:a="http://schemas.openxmlformats.org/drawingml/2006/main">
                        <a:graphicData uri="http://schemas.microsoft.com/office/word/2010/wordprocessingShape">
                          <wps:wsp>
                            <wps:cNvSpPr txBox="1"/>
                            <wps:spPr>
                              <a:xfrm>
                                <a:off x="0" y="0"/>
                                <a:ext cx="274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1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center"/>
              <w:rPr/>
            </w:pPr>
            <w:r>
              <w:rPr/>
              <w:t>​</w:t>
            </w:r>
          </w:p>
        </w:tc>
        <w:tc>
          <w:tcPr>
            <w:tcW w:w="232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206" w:type="dxa"/>
            <w:tcBorders/>
            <w:vAlign w:val="center"/>
          </w:tcPr>
          <w:p>
            <w:pPr>
              <w:pStyle w:val="TableContents"/>
              <w:bidi w:val="0"/>
              <w:spacing w:before="0" w:after="0"/>
              <w:ind w:left="0" w:right="0" w:hanging="0"/>
              <w:jc w:val="center"/>
              <w:rPr/>
            </w:pPr>
            <w:r>
              <w:rPr/>
              <w:t>​</w:t>
            </w:r>
          </w:p>
        </w:tc>
        <w:tc>
          <w:tcPr>
            <w:tcW w:w="1277"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206" w:type="dxa"/>
            <w:tcBorders/>
            <w:vAlign w:val="center"/>
          </w:tcPr>
          <w:p>
            <w:pPr>
              <w:pStyle w:val="TableContents"/>
              <w:bidi w:val="0"/>
              <w:spacing w:before="0" w:after="0"/>
              <w:ind w:left="0" w:right="0" w:hanging="0"/>
              <w:jc w:val="center"/>
              <w:rPr/>
            </w:pPr>
            <w:r>
              <w:rPr/>
              <w:t> </w:t>
            </w:r>
          </w:p>
        </w:tc>
        <w:tc>
          <w:tcPr>
            <w:tcW w:w="24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206" w:type="dxa"/>
            <w:tcBorders/>
            <w:vAlign w:val="center"/>
          </w:tcPr>
          <w:p>
            <w:pPr>
              <w:pStyle w:val="TableContents"/>
              <w:bidi w:val="0"/>
              <w:spacing w:before="0" w:after="0"/>
              <w:ind w:left="0" w:right="0" w:hanging="0"/>
              <w:jc w:val="center"/>
              <w:rPr/>
            </w:pPr>
            <w:r>
              <w:rPr/>
              <w:t>​</w:t>
            </w:r>
          </w:p>
        </w:tc>
        <w:tc>
          <w:tcPr>
            <w:tcW w:w="154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 </w:t>
            </w:r>
          </w:p>
        </w:tc>
      </w:tr>
      <w:tr>
        <w:trPr/>
        <w:tc>
          <w:tcPr>
            <w:tcW w:w="111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center"/>
              <w:rPr/>
            </w:pPr>
            <w:r>
              <w:rPr/>
              <w:t>​</w:t>
            </w:r>
          </w:p>
        </w:tc>
        <w:tc>
          <w:tcPr>
            <w:tcW w:w="23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06" w:type="dxa"/>
            <w:tcBorders/>
            <w:vAlign w:val="center"/>
          </w:tcPr>
          <w:p>
            <w:pPr>
              <w:pStyle w:val="TableContents"/>
              <w:bidi w:val="0"/>
              <w:spacing w:before="0" w:after="0"/>
              <w:ind w:left="0" w:right="0" w:hanging="0"/>
              <w:jc w:val="center"/>
              <w:rPr/>
            </w:pPr>
            <w:r>
              <w:rPr/>
              <w:t>​</w:t>
            </w:r>
          </w:p>
        </w:tc>
        <w:tc>
          <w:tcPr>
            <w:tcW w:w="1277"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206" w:type="dxa"/>
            <w:tcBorders/>
            <w:vAlign w:val="center"/>
          </w:tcPr>
          <w:p>
            <w:pPr>
              <w:pStyle w:val="TableContents"/>
              <w:bidi w:val="0"/>
              <w:spacing w:before="0" w:after="0"/>
              <w:ind w:left="0" w:right="0" w:hanging="0"/>
              <w:jc w:val="center"/>
              <w:rPr/>
            </w:pPr>
            <w:r>
              <w:rPr/>
              <w:t>​</w:t>
            </w:r>
          </w:p>
        </w:tc>
        <w:tc>
          <w:tcPr>
            <w:tcW w:w="24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06" w:type="dxa"/>
            <w:tcBorders/>
            <w:vAlign w:val="center"/>
          </w:tcPr>
          <w:p>
            <w:pPr>
              <w:pStyle w:val="TableContents"/>
              <w:bidi w:val="0"/>
              <w:spacing w:before="0" w:after="0"/>
              <w:ind w:left="0" w:right="0" w:hanging="0"/>
              <w:jc w:val="center"/>
              <w:rPr/>
            </w:pPr>
            <w:r>
              <w:rPr/>
              <w:t>​</w:t>
            </w:r>
          </w:p>
        </w:tc>
        <w:tc>
          <w:tcPr>
            <w:tcW w:w="154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r>
      <w:tr>
        <w:trPr/>
        <w:tc>
          <w:tcPr>
            <w:tcW w:w="11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206" w:type="dxa"/>
            <w:tcBorders/>
            <w:vAlign w:val="center"/>
          </w:tcPr>
          <w:p>
            <w:pPr>
              <w:pStyle w:val="TableContents"/>
              <w:bidi w:val="0"/>
              <w:spacing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0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206" w:type="dxa"/>
            <w:tcBorders/>
            <w:vAlign w:val="center"/>
          </w:tcPr>
          <w:p>
            <w:pPr>
              <w:pStyle w:val="TableContents"/>
              <w:bidi w:val="0"/>
              <w:spacing w:before="0" w:after="0"/>
              <w:ind w:left="0" w:right="0" w:hanging="0"/>
              <w:jc w:val="center"/>
              <w:rPr/>
            </w:pPr>
            <w:r>
              <w:rPr/>
              <w:t>  </w:t>
            </w:r>
          </w:p>
        </w:tc>
        <w:tc>
          <w:tcPr>
            <w:tcW w:w="8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06" w:type="dxa"/>
            <w:tcBorders/>
            <w:vAlign w:val="center"/>
          </w:tcPr>
          <w:p>
            <w:pPr>
              <w:pStyle w:val="TableContents"/>
              <w:bidi w:val="0"/>
              <w:spacing w:before="0" w:after="0"/>
              <w:ind w:left="0" w:right="0" w:hanging="0"/>
              <w:jc w:val="center"/>
              <w:rPr/>
            </w:pPr>
            <w:r>
              <w:rPr/>
              <w:t>  </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06" w:type="dxa"/>
            <w:tcBorders/>
            <w:vAlign w:val="center"/>
          </w:tcPr>
          <w:p>
            <w:pPr>
              <w:pStyle w:val="TableContents"/>
              <w:bidi w:val="0"/>
              <w:spacing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06" w:type="dxa"/>
            <w:tcBorders/>
            <w:vAlign w:val="center"/>
          </w:tcPr>
          <w:p>
            <w:pPr>
              <w:pStyle w:val="TableContents"/>
              <w:bidi w:val="0"/>
              <w:spacing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206" w:type="dxa"/>
            <w:tcBorders/>
            <w:vAlign w:val="center"/>
          </w:tcPr>
          <w:p>
            <w:pPr>
              <w:pStyle w:val="TableContents"/>
              <w:bidi w:val="0"/>
              <w:spacing w:before="0" w:after="0"/>
              <w:ind w:left="0" w:right="0" w:hanging="0"/>
              <w:jc w:val="center"/>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06" w:type="dxa"/>
            <w:tcBorders/>
            <w:vAlign w:val="center"/>
          </w:tcPr>
          <w:p>
            <w:pPr>
              <w:pStyle w:val="TableContents"/>
              <w:bidi w:val="0"/>
              <w:spacing w:before="0" w:after="0"/>
              <w:ind w:left="0" w:right="0" w:hanging="0"/>
              <w:jc w:val="center"/>
              <w:rPr/>
            </w:pPr>
            <w:r>
              <w:rPr/>
              <w:t>  </w:t>
            </w:r>
          </w:p>
        </w:tc>
        <w:tc>
          <w:tcPr>
            <w:tcW w:w="43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1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(106,528)</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(99,349)</w:t>
            </w:r>
          </w:p>
        </w:tc>
        <w:tc>
          <w:tcPr>
            <w:tcW w:w="20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(7,179)</w:t>
            </w:r>
          </w:p>
        </w:tc>
        <w:tc>
          <w:tcPr>
            <w:tcW w:w="206"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(213,898)</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(190,956)</w:t>
            </w:r>
          </w:p>
        </w:tc>
        <w:tc>
          <w:tcPr>
            <w:tcW w:w="20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(22,942)</w:t>
            </w:r>
          </w:p>
        </w:tc>
        <w:tc>
          <w:tcPr>
            <w:tcW w:w="206" w:type="dxa"/>
            <w:tcBorders/>
            <w:shd w:fill="CCEEFF" w:val="clear"/>
            <w:vAlign w:val="center"/>
          </w:tcPr>
          <w:p>
            <w:pPr>
              <w:pStyle w:val="TableContents"/>
              <w:bidi w:val="0"/>
              <w:spacing w:before="0" w:after="0"/>
              <w:ind w:left="0" w:right="0" w:hanging="0"/>
              <w:jc w:val="right"/>
              <w:rPr/>
            </w:pPr>
            <w:r>
              <w:rPr/>
              <w:t>​</w:t>
            </w:r>
          </w:p>
        </w:tc>
        <w:tc>
          <w:tcPr>
            <w:tcW w:w="433"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12</w:t>
            </w:r>
          </w:p>
        </w:tc>
      </w:tr>
    </w:tbl>
    <w:p>
      <w:pPr>
        <w:pStyle w:val="TextBody"/>
        <w:bidi w:val="0"/>
        <w:spacing w:before="0" w:after="0"/>
        <w:ind w:left="0" w:right="0" w:hanging="0"/>
        <w:jc w:val="left"/>
        <w:rPr/>
      </w:pPr>
      <w:r>
        <w:rPr/>
        <w: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Net loss for the three and six months ended June 30, 2023 increased by $7.2 million, or 7%, and $22.9 million, or 12%, compared to the same periods in 2022, respectively. The increase in our net loss was due to the continued expansion of our research and development activities, ongoing and newly initiated clinical trials, and the overall growth of our corporate infrastructure, as well as our pre-commercialization activities for lifileucel. We anticipate that we will continue to incur net losses in the future as we further invest in our research and development activities, as well as our commercial readiness launch preparation, Proleukin® business integration and both clinical and internal development programs.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Liquidity and Capital Resources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We have incurred losses and generated negative cash flows from operations since inception. Historically, we have funded our operations from various public and private offerings of our equity securities, both common stock and preferred stock, from option and warrant exercises, and from interest income. Since 2017, our primary source of funds has been from the public sale of our common stock. With the completion of the rolling BLA submission for lifileucel for advanced melanoma in March 2023, we expect to generate revenue from the sale of our product, lifileucel, if the BLA is approved. Furthermore, upon the completion of the closing of the acquisition of the worldwide rights to Proleukin® in the second quarter of 2023, we began to generate revenue from the sales of Proleukin® during the three months ended June 30, 2023. However, such revenues for Proleukin® and lifileucel may not be material during the 12 months from the date these Condensed Consolidated Financial Statements are issued. We expect to continue to incur significant expenses to support our preparations for the commercialization and launch of lifileucel, if approved, including continuing to prepare our </w:t>
      </w:r>
      <w:r>
        <w:rPr>
          <w:rFonts w:ascii="Times New Roman;Times;serif" w:hAnsi="Times New Roman;Times;serif"/>
          <w:i/>
          <w:sz w:val="20"/>
        </w:rPr>
        <w:t>i</w:t>
      </w:r>
      <w:r>
        <w:rPr>
          <w:rFonts w:ascii="Times New Roman;Times;serif" w:hAnsi="Times New Roman;Times;serif"/>
          <w:sz w:val="20"/>
        </w:rPr>
        <w:t>CTC facility to support our ongoing clinical programs to expand the combination of TIL therapy and to support Proleukin® integration activities during the remainder of 2023 and beyond. Based on the funds we have available as of the date of our consolidated financial statements, which include estimated net proceeds (after deducting underwriting and other offering expenses) of $161.4 million from the public offering of its common stock completed on July 13, 2023, we believe that we have sufficient capital to fund our anticipated operating expenses and capital expenditures, as planned for at least the next twelve months from the date these Condensed Consolidated Financial Statements are issued.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 xml:space="preserve">Corporate Capitalization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As of June 30, 2023, we had outstanding 224,688,434 shares of our $0.000041666 par value common stock, 194 shares of our $0.001 par value Series A Convertible Preferred Stock, and 2,842,158 shares of our $0.001 par value Series B Convertible Preferred Stock. The outstanding shares of Series A Convertible Preferred Stock are currently convertible into 97,000 shares of our common stock, and the outstanding shares of Series B Convertible Preferred Stock are currently convertible into 2,842,158 shares of our common stock. The shares of Series A Convertible Preferred Stock and Series B Convertible Preferred Stock do not have voting rights or accrue dividends.</w:t>
      </w:r>
    </w:p>
    <w:p>
      <w:pPr>
        <w:pStyle w:val="TextBody"/>
        <w:bidi w:val="0"/>
        <w:spacing w:before="0" w:after="200"/>
        <w:ind w:left="0" w:right="0" w:firstLine="547"/>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On November 18, 2022, we entered into an Open Market Sales Agreement, or the 2022 Sales Agreement, with Jefferies LLC, or Jefferies, with respect to an “at the market” offering program. Under the terms of the 2022 Sales Agreement, we were able to, from time to time, in our sole discretion, issue and sell up to $500.0 million of shares of our Common Shares.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On June 16, 2023, we entered into a new Open Market Sales Agreement, or the 2023 Sales Agreement, with Jefferies, which superseded and replaced in its entirety the 2022 Sales Agreement. Under the terms of the 2023 Sales Agreement, we may, from time to time, in its sole discretion, issue and sell up to $450.0 million of shares of the Company’s Common Shares. The issuance and sale, if any, of the Common Shares by us under the 2022 Sales Agreement and the 2023 Sales Agreement (together, the “Sales Agreements”) was or will be made pursuant to a prospectus supplement, dated November 18, 2022 and June 16, 2023, respectively, to our Registration Statements on Form S-3ASR which became effective immediately upon filing with the Securities and Exchange Commission on May 27, 2020 and June 16, 2023</w:t>
      </w:r>
      <w:r>
        <w:rPr>
          <w:rFonts w:ascii="Times New Roman;Times;serif" w:hAnsi="Times New Roman;Times;serif"/>
          <w:sz w:val="20"/>
          <w:shd w:fill="FFFFFF" w:val="clear"/>
        </w:rPr>
        <w:t xml:space="preserve">. </w:t>
      </w:r>
      <w:r>
        <w:rPr>
          <w:rFonts w:ascii="Times New Roman;Times;serif" w:hAnsi="Times New Roman;Times;serif"/>
          <w:sz w:val="20"/>
        </w:rPr>
        <w:t xml:space="preserve">For the six months ended June 30, 2023, the Company received approximately $260.1 million in net proceeds, net of offering costs, through the sale of 36,080,226 shares of its common stock through the Sales Agreements at a weighted average price per share of $7.35.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 the future, we may periodically offer one or more of these securities in amounts, prices and terms to be announced when and if the securities are offered. If any of the securities covered by our Registration Statement on Form S-3ASR filed on June 16, 2023 are offered for sale, a prospectus supplement will be prepared and filed with the SEC containing specific information about the terms of such offering at that time.</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Cash Flows</w:t>
      </w:r>
    </w:p>
    <w:p>
      <w:pPr>
        <w:pStyle w:val="TextBody"/>
        <w:bidi w:val="0"/>
        <w:spacing w:before="0" w:after="0"/>
        <w:ind w:left="0" w:right="0" w:firstLine="540"/>
        <w:jc w:val="left"/>
        <w:rPr/>
      </w:pPr>
      <w: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The following table summarizes our cash flows for the periods indicated (in thousands):</w:t>
      </w:r>
    </w:p>
    <w:p>
      <w:pPr>
        <w:pStyle w:val="TextBody"/>
        <w:bidi w:val="0"/>
        <w:spacing w:before="0" w:after="0"/>
        <w:ind w:left="0" w:right="0" w:firstLine="540"/>
        <w:jc w:val="left"/>
        <w:rPr/>
      </w:pPr>
      <w:r>
        <w:rPr/>
        <w:t>​</w:t>
      </w:r>
    </w:p>
    <w:tbl>
      <w:tblPr>
        <w:tblW w:w="7737" w:type="dxa"/>
        <w:jc w:val="left"/>
        <w:tblInd w:w="0" w:type="dxa"/>
        <w:tblLayout w:type="fixed"/>
        <w:tblCellMar>
          <w:top w:w="0" w:type="dxa"/>
          <w:left w:w="0" w:type="dxa"/>
          <w:bottom w:w="0" w:type="dxa"/>
          <w:right w:w="0" w:type="dxa"/>
        </w:tblCellMar>
      </w:tblPr>
      <w:tblGrid>
        <w:gridCol w:w="4816"/>
        <w:gridCol w:w="326"/>
        <w:gridCol w:w="211"/>
        <w:gridCol w:w="901"/>
        <w:gridCol w:w="326"/>
        <w:gridCol w:w="211"/>
        <w:gridCol w:w="946"/>
      </w:tblGrid>
      <w:tr>
        <w:trPr/>
        <w:tc>
          <w:tcPr>
            <w:tcW w:w="4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3058160" cy="175260"/>
                      <wp:effectExtent l="0" t="0" r="0" b="0"/>
                      <wp:wrapNone/>
                      <wp:docPr id="373" name="Frame372"/>
                      <a:graphic xmlns:a="http://schemas.openxmlformats.org/drawingml/2006/main">
                        <a:graphicData uri="http://schemas.microsoft.com/office/word/2010/wordprocessingShape">
                          <wps:wsp>
                            <wps:cNvSpPr txBox="1"/>
                            <wps:spPr>
                              <a:xfrm>
                                <a:off x="0" y="0"/>
                                <a:ext cx="3058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07010" cy="175260"/>
                      <wp:effectExtent l="0" t="0" r="0" b="0"/>
                      <wp:wrapNone/>
                      <wp:docPr id="374" name="Frame3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33985" cy="175260"/>
                      <wp:effectExtent l="0" t="0" r="0" b="0"/>
                      <wp:wrapNone/>
                      <wp:docPr id="375" name="Frame3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572135" cy="175260"/>
                      <wp:effectExtent l="0" t="0" r="0" b="0"/>
                      <wp:wrapNone/>
                      <wp:docPr id="376" name="Frame375"/>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07010" cy="175260"/>
                      <wp:effectExtent l="0" t="0" r="0" b="0"/>
                      <wp:wrapNone/>
                      <wp:docPr id="377" name="Frame3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33985" cy="175260"/>
                      <wp:effectExtent l="0" t="0" r="0" b="0"/>
                      <wp:wrapNone/>
                      <wp:docPr id="378" name="Frame3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600710" cy="175260"/>
                      <wp:effectExtent l="0" t="0" r="0" b="0"/>
                      <wp:wrapNone/>
                      <wp:docPr id="379" name="Frame378"/>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5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8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  </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(193,767)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(151,437)</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182,279</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259,197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in cash, cash equivalents and 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30,192</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Excludes effect of exchange rate changes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540"/>
        <w:jc w:val="left"/>
        <w:rPr/>
      </w:pPr>
      <w:r>
        <w:rPr/>
        <w:t>​</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Operating Activities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Net cash used in operating activities represents cash disbursements related to all of our activities other than investing and financing activities. Operating cash flow is derived by adjusting our net loss for non-cash items and changes in operating assets and liabilities. Net cash used in operating activities for the six months ended June 30, 2023 was $193.8 million as compared to $151.4 million for the same period in 2022. The $42.3 million increase in cash used in operating activities was driven by a $22.9 million increase in net loss related to increased costs in research and development, including the overall expansion of our clinical trials for new TIL therapies, as well as our pre-commercialization activities for lifileucel and the overall growth in our corporate infrastructure. </w:t>
      </w:r>
      <w:r>
        <w:rPr>
          <w:rFonts w:ascii="Times New Roman;Times;serif" w:hAnsi="Times New Roman;Times;serif"/>
          <w:sz w:val="20"/>
          <w:shd w:fill="FFFFFF" w:val="clear"/>
        </w:rPr>
        <w:t>In addition, it reflects a decrease in non-cash charges of $11.8 million primarily driven by lower stock-based compensation expenses and accretion of discount on investments, partially offset by an increase in amortization of intangible assets and depreciation expenses.</w:t>
      </w:r>
      <w:r>
        <w:rPr>
          <w:rFonts w:ascii="Times New Roman;Times;serif" w:hAnsi="Times New Roman;Times;serif"/>
          <w:sz w:val="20"/>
        </w:rPr>
        <w:t xml:space="preserve"> Further, cash used by assets and liabilities increased by $7.6 million, driven primarily by the purchase of Proleukin® inventory as part of the Acquisition, an increase in lease payments for our lease arrangements as a result of full utilization of tenant improvement allowances offered under our lease agreements, as well as changes in prepaid assets and accruals resulting from an increased workforce, the overall growth in business and operations, and the timing of vendor invoicing and related payments.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Investing Activities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Net cash used in/provided by investing activities for the periods presented primarily relates to the cash utilized to fund the Acquisition, the purchase and maturity of investments and capital expenditures. Net cash used in investing activities for the six months ended June 30, 2023 was $3.4 million compared to net cash provided by investing activities of $182.3 million for the same period in 2022. The increase in cash used of $185.7 million was primarily driven by the $209.5 million payment for the acquisition of Proleukin® business, excluding the payment of acquired inventories which is presented in the operating activities, which was partially offset by a $23.0 million net decrease in the timing of maturities and purchases of investments and a $0.8 million decrease in capital expenditures.</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Financing Activities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Net cash used provided by financing activities for the six months ended June 30, 2023 was $259.2 million compared to net cash used of $0.7 million for the same period in 2022. The increase in net cash provided by financing activities was driven by net proceeds of $260.1 million received from sales of common shares through the “at the market” offering program, $1.1 million received from the issuance of common stock under the 2020 ESPP and a decrease in tax payments related to shares withheld for vested restricted stock units. These increases were partially offset by a $1.4 million decrease in proceeds from issuance of common stock upon exercise of stock options.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Contractual Obligations and Commitments</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 xml:space="preserve">In addition to the contractual obligations disclosed in our Annual Report on Form 10-K for the year ended December 31, 2022, we have included new contractual obligations associated with the manufacturing and supply agreement of Proleukin®. Details of our future contractual obligations and the effects that such obligations are expected to have on our liquidity and cash flows in future periods are presented below (in thousands):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92"/>
        <w:gridCol w:w="326"/>
        <w:gridCol w:w="211"/>
        <w:gridCol w:w="781"/>
        <w:gridCol w:w="326"/>
        <w:gridCol w:w="211"/>
        <w:gridCol w:w="676"/>
        <w:gridCol w:w="326"/>
        <w:gridCol w:w="211"/>
        <w:gridCol w:w="676"/>
        <w:gridCol w:w="326"/>
        <w:gridCol w:w="211"/>
        <w:gridCol w:w="676"/>
        <w:gridCol w:w="326"/>
        <w:gridCol w:w="211"/>
        <w:gridCol w:w="676"/>
        <w:gridCol w:w="326"/>
        <w:gridCol w:w="211"/>
        <w:gridCol w:w="676"/>
        <w:gridCol w:w="326"/>
        <w:gridCol w:w="211"/>
        <w:gridCol w:w="793"/>
      </w:tblGrid>
      <w:tr>
        <w:trPr/>
        <w:tc>
          <w:tcPr>
            <w:tcW w:w="14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947420" cy="175260"/>
                      <wp:effectExtent l="0" t="0" r="0" b="0"/>
                      <wp:wrapNone/>
                      <wp:docPr id="380" name="Frame379"/>
                      <a:graphic xmlns:a="http://schemas.openxmlformats.org/drawingml/2006/main">
                        <a:graphicData uri="http://schemas.microsoft.com/office/word/2010/wordprocessingShape">
                          <wps:wsp>
                            <wps:cNvSpPr txBox="1"/>
                            <wps:spPr>
                              <a:xfrm>
                                <a:off x="0" y="0"/>
                                <a:ext cx="947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07010" cy="175260"/>
                      <wp:effectExtent l="0" t="0" r="0" b="0"/>
                      <wp:wrapNone/>
                      <wp:docPr id="381" name="Frame3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133985" cy="175260"/>
                      <wp:effectExtent l="0" t="0" r="0" b="0"/>
                      <wp:wrapNone/>
                      <wp:docPr id="382" name="Frame3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495935" cy="175260"/>
                      <wp:effectExtent l="0" t="0" r="0" b="0"/>
                      <wp:wrapNone/>
                      <wp:docPr id="383" name="Frame38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07010" cy="175260"/>
                      <wp:effectExtent l="0" t="0" r="0" b="0"/>
                      <wp:wrapNone/>
                      <wp:docPr id="384" name="Frame3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133985" cy="175260"/>
                      <wp:effectExtent l="0" t="0" r="0" b="0"/>
                      <wp:wrapNone/>
                      <wp:docPr id="385" name="Frame3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429260" cy="175260"/>
                      <wp:effectExtent l="0" t="0" r="0" b="0"/>
                      <wp:wrapNone/>
                      <wp:docPr id="386" name="Frame38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07010" cy="175260"/>
                      <wp:effectExtent l="0" t="0" r="0" b="0"/>
                      <wp:wrapNone/>
                      <wp:docPr id="387" name="Frame3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33985" cy="175260"/>
                      <wp:effectExtent l="0" t="0" r="0" b="0"/>
                      <wp:wrapNone/>
                      <wp:docPr id="388" name="Frame3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429260" cy="175260"/>
                      <wp:effectExtent l="0" t="0" r="0" b="0"/>
                      <wp:wrapNone/>
                      <wp:docPr id="389" name="Frame38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07010" cy="175260"/>
                      <wp:effectExtent l="0" t="0" r="0" b="0"/>
                      <wp:wrapNone/>
                      <wp:docPr id="390" name="Frame3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133985" cy="175260"/>
                      <wp:effectExtent l="0" t="0" r="0" b="0"/>
                      <wp:wrapNone/>
                      <wp:docPr id="391" name="Frame3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429260" cy="175260"/>
                      <wp:effectExtent l="0" t="0" r="0" b="0"/>
                      <wp:wrapNone/>
                      <wp:docPr id="392" name="Frame39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07010" cy="175260"/>
                      <wp:effectExtent l="0" t="0" r="0" b="0"/>
                      <wp:wrapNone/>
                      <wp:docPr id="393" name="Frame3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133985" cy="175260"/>
                      <wp:effectExtent l="0" t="0" r="0" b="0"/>
                      <wp:wrapNone/>
                      <wp:docPr id="394" name="Frame3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429260" cy="175260"/>
                      <wp:effectExtent l="0" t="0" r="0" b="0"/>
                      <wp:wrapNone/>
                      <wp:docPr id="395" name="Frame39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07010" cy="175260"/>
                      <wp:effectExtent l="0" t="0" r="0" b="0"/>
                      <wp:wrapNone/>
                      <wp:docPr id="396" name="Frame3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133985" cy="175260"/>
                      <wp:effectExtent l="0" t="0" r="0" b="0"/>
                      <wp:wrapNone/>
                      <wp:docPr id="397" name="Frame3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429260" cy="175260"/>
                      <wp:effectExtent l="0" t="0" r="0" b="0"/>
                      <wp:wrapNone/>
                      <wp:docPr id="398" name="Frame39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07010" cy="175260"/>
                      <wp:effectExtent l="0" t="0" r="0" b="0"/>
                      <wp:wrapNone/>
                      <wp:docPr id="399" name="Frame3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133985" cy="175260"/>
                      <wp:effectExtent l="0" t="0" r="0" b="0"/>
                      <wp:wrapNone/>
                      <wp:docPr id="400" name="Frame3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503555" cy="175260"/>
                      <wp:effectExtent l="0" t="0" r="0" b="0"/>
                      <wp:wrapNone/>
                      <wp:docPr id="401" name="Frame400"/>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387" w:type="dxa"/>
            <w:gridSpan w:val="2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Payments due by period</w:t>
            </w:r>
          </w:p>
        </w:tc>
      </w:tr>
      <w:tr>
        <w:trPr/>
        <w:tc>
          <w:tcPr>
            <w:tcW w:w="149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2027</w:t>
            </w:r>
          </w:p>
        </w:tc>
        <w:tc>
          <w:tcPr>
            <w:tcW w:w="326" w:type="dxa"/>
            <w:tcBorders/>
            <w:vAlign w:val="center"/>
          </w:tcPr>
          <w:p>
            <w:pPr>
              <w:pStyle w:val="TableContents"/>
              <w:bidi w:val="0"/>
              <w:spacing w:before="0" w:after="0"/>
              <w:ind w:left="0" w:right="0" w:hanging="0"/>
              <w:jc w:val="center"/>
              <w:rPr/>
            </w:pPr>
            <w:r>
              <w:rPr/>
              <w:t>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Thereafter</w:t>
            </w:r>
          </w:p>
        </w:tc>
      </w:tr>
      <w:tr>
        <w:trPr/>
        <w:tc>
          <w:tcPr>
            <w:tcW w:w="14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obligations - facilities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128,873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83,827</w:t>
            </w:r>
          </w:p>
        </w:tc>
      </w:tr>
      <w:tr>
        <w:trPr/>
        <w:tc>
          <w:tcPr>
            <w:tcW w:w="14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obligations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34,447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9,456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4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163,320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16,651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20,146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14,068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83,827</w:t>
            </w:r>
          </w:p>
        </w:tc>
      </w:tr>
    </w:tbl>
    <w:p>
      <w:pPr>
        <w:pStyle w:val="TextBody"/>
        <w:bidi w:val="0"/>
        <w:spacing w:before="0" w:after="0"/>
        <w:ind w:left="0" w:right="0" w:firstLine="540"/>
        <w:jc w:val="left"/>
        <w:rPr/>
      </w:pPr>
      <w: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We have purchase obligations of $34.4 million related to manufacturing and supply agreements for Proleukin® under a contract we acquired as part of the Acquisition.</w:t>
      </w:r>
    </w:p>
    <w:p>
      <w:pPr>
        <w:pStyle w:val="TextBody"/>
        <w:bidi w:val="0"/>
        <w:spacing w:before="0" w:after="0"/>
        <w:ind w:left="0" w:right="0" w:firstLine="540"/>
        <w:jc w:val="left"/>
        <w:rPr/>
      </w:pPr>
      <w:r>
        <w:rPr/>
        <w: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Off-Balance Sheet Arrangements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As of June 30, 2023, we had no obligations that would require disclosure as off-balance sheet arrangements.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Recent Accounting Standards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There were no applicable recently issued accounting standards nor did we adopt any new accounting standards during the three and six months ended June 30, 2023.</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Inflation</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Inflation has not had a material effect on our business, financial condition, or results of operations over our two most recent fiscal years.</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sz w:val="20"/>
        </w:rPr>
      </w:pPr>
      <w:bookmarkStart w:id="1592" w:name="Item3QuantitativeandQualitativeDisclosur"/>
      <w:bookmarkStart w:id="1593" w:name="_e97175a6_281c_4f9c_b5c1_0da70723247b"/>
      <w:bookmarkEnd w:id="1592"/>
      <w:bookmarkEnd w:id="1593"/>
      <w:r>
        <w:rPr>
          <w:rFonts w:ascii="Times New Roman;Times;serif" w:hAnsi="Times New Roman;Times;serif"/>
          <w:b/>
          <w:i w:val="false"/>
          <w:caps w:val="false"/>
          <w:smallCaps w:val="false"/>
          <w:sz w:val="20"/>
        </w:rPr>
        <w:t>Item 3.</w:t>
      </w:r>
      <w:r>
        <w:rPr>
          <w:rFonts w:ascii="Times New Roman;Times;serif" w:hAnsi="Times New Roman;Times;serif"/>
          <w:b/>
          <w:sz w:val="20"/>
        </w:rPr>
        <w:t>Quantitative and Qualitative Disclosures About Market Risk</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Interest rate risk</w:t>
      </w:r>
    </w:p>
    <w:p>
      <w:pPr>
        <w:pStyle w:val="TextBody"/>
        <w:bidi w:val="0"/>
        <w:spacing w:before="0" w:after="0"/>
        <w:ind w:left="0" w:right="0" w:firstLine="72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Our exposure to market risk is limited primarily to interest income sensitivity, which is affected by changes in the general level of U.S. interest rates, particularly because a significant portion of our investments are in interest bearing cash accounts consisting of short-term debt securities issued by the U.S. government. The primary objective of our investment activities is to preserve principal. We adhere to an investment policy that requires us to limit amounts invested in securities based on credit rating, maturity, industry group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and investment type and issuer, except for securities issued by the U.S. government. We do not have any derivative financial instruments or foreign currency instruments. As of June 30, 2023, we had $196.9 million invested in marketable securities with a maturity date of less than one year. As such, we believe that we are not exposed to any material market risk. If interest rates had varied by 1% as of June 30, 2023, the fair value of our investment portfolio would increase or decrease by a de minimus amount.</w:t>
      </w:r>
    </w:p>
    <w:p>
      <w:pPr>
        <w:pStyle w:val="TextBody"/>
        <w:bidi w:val="0"/>
        <w:spacing w:before="0" w:after="0"/>
        <w:ind w:left="0" w:right="0" w:firstLine="547"/>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Foreign currency exchange risk</w:t>
      </w:r>
    </w:p>
    <w:p>
      <w:pPr>
        <w:pStyle w:val="TextBody"/>
        <w:bidi w:val="0"/>
        <w:spacing w:before="0" w:after="0"/>
        <w:ind w:left="0" w:right="0" w:hanging="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We have acquired and established newly formed foreign subsidiaries to consummate our acquisition of worldwide rights in Proleukin® in the second quarter of 2023, in addition to our existing foreign operations. As a result, our financial results could be significantly affected by factors such as changes in foreign currency exchange rates or weak economic conditions in the foreign markets in which we distribute our products of Proleukin®. Our operating results could be exposed to changes in foreign currency exchange rates between U.S. dollar and various foreign currencies, the most significant of which is the Great Britain Pound. When the U.S. dollar strengthens against these currencies the relative value of sales made in the respective foreign currency decreases. Conversely, when the U.S. dollar weakens against these currencies, the relative value of such sales increase. </w:t>
      </w:r>
    </w:p>
    <w:p>
      <w:pPr>
        <w:pStyle w:val="TextBody"/>
        <w:bidi w:val="0"/>
        <w:spacing w:before="0" w:after="0"/>
        <w:ind w:left="0" w:right="0" w:hanging="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All of our product sales during the three and six months ended June 30, 2023 were denominated in foreign currencies, however, foreign currency transaction loss was immaterial for the periods ended June 30, 2023.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594" w:name="Item4ControlsandProcedures_270789"/>
      <w:bookmarkStart w:id="1595" w:name="_cc3e2ec8_5c58_469a_b3d7_e839600d17b7"/>
      <w:bookmarkEnd w:id="1594"/>
      <w:bookmarkEnd w:id="1595"/>
      <w:r>
        <w:rPr>
          <w:rFonts w:ascii="Times New Roman;Times;serif" w:hAnsi="Times New Roman;Times;serif"/>
          <w:b/>
          <w:i w:val="false"/>
          <w:caps w:val="false"/>
          <w:smallCaps w:val="false"/>
          <w:sz w:val="20"/>
        </w:rPr>
        <w:t>Item 4.</w:t>
      </w:r>
      <w:r>
        <w:rPr>
          <w:rFonts w:ascii="Times New Roman;Times;serif" w:hAnsi="Times New Roman;Times;serif"/>
          <w:b/>
          <w:sz w:val="20"/>
        </w:rPr>
        <w:t>Controls and Procedures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Conclusion Regarding the Effectiveness of Disclosure Controls and Procedures</w:t>
      </w:r>
    </w:p>
    <w:p>
      <w:pPr>
        <w:pStyle w:val="TextBody"/>
        <w:bidi w:val="0"/>
        <w:spacing w:before="0" w:after="0"/>
        <w:ind w:left="0" w:right="0" w:hanging="0"/>
        <w:jc w:val="left"/>
        <w:rPr/>
      </w:pPr>
      <w: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Under the supervision and with the participation of our management, including our principal executive officer and principal financial officer, we conducted an evaluation of our disclosure controls and procedures, as such term is defined under Rule 13a-15(e) promulgated under the Exchange Act as of the end of the period covered by this Quarterly Report on Form 10-Q. Based on this evaluation, our principal executive officer and our principal financial officer concluded that our disclosure controls and procedures were effective as of the end of the period covered by this Quarterly Report on Form 10-Q.</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Changes in Internal Controls Over Financial Reporting</w:t>
      </w:r>
    </w:p>
    <w:p>
      <w:pPr>
        <w:pStyle w:val="TextBody"/>
        <w:bidi w:val="0"/>
        <w:spacing w:before="0" w:after="0"/>
        <w:ind w:left="0" w:right="0" w:hanging="0"/>
        <w:jc w:val="left"/>
        <w:rPr/>
      </w:pPr>
      <w:r>
        <w:rPr/>
        <w:t>​</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During the quarter ended June 30, 2023, we implemented certain internal controls in connection with our acquisition of Proleukin® and related revenue and inventory processes resulting from the acquisition. There have not been any changes other than the aforementioned in our internal controls over financial reporting (as such term is defined in Rules 13a-15(f) and 15d-15(f) under the Exchange Act) during the quarter ended June 30, 2023 that have materially affected, or are reasonably likely to materially affect, our internal controls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b/>
          <w:sz w:val="20"/>
        </w:rPr>
      </w:pPr>
      <w:bookmarkStart w:id="1596" w:name="PARTIIOTHERINFORMATION_407750"/>
      <w:bookmarkStart w:id="1597" w:name="_d2367e3a_b77f_4337_b76a_ef175f182446"/>
      <w:bookmarkEnd w:id="1596"/>
      <w:bookmarkEnd w:id="1597"/>
      <w:r>
        <w:rPr>
          <w:rFonts w:ascii="Times New Roman;Times;serif" w:hAnsi="Times New Roman;Times;serif"/>
          <w:b/>
          <w:sz w:val="20"/>
        </w:rPr>
        <w:t>PART II. OTHER INFORMATION</w:t>
      </w:r>
    </w:p>
    <w:p>
      <w:pPr>
        <w:pStyle w:val="TextBody"/>
        <w:bidi w:val="0"/>
        <w:spacing w:before="0" w:after="200"/>
        <w:ind w:left="0" w:right="0" w:hanging="0"/>
        <w:jc w:val="left"/>
        <w:rPr>
          <w:rFonts w:ascii="Times New Roman;Times;serif" w:hAnsi="Times New Roman;Times;serif"/>
          <w:sz w:val="20"/>
        </w:rPr>
      </w:pPr>
      <w:bookmarkStart w:id="1598" w:name="Item1LegalProceedings_444925"/>
      <w:bookmarkEnd w:id="1598"/>
      <w:r>
        <w:rPr>
          <w:rFonts w:ascii="Times New Roman;Times;serif" w:hAnsi="Times New Roman;Times;serif"/>
          <w:b/>
          <w:i w:val="false"/>
          <w:caps w:val="false"/>
          <w:smallCaps w:val="false"/>
          <w:sz w:val="20"/>
        </w:rPr>
        <w:t>Item 1.</w:t>
      </w:r>
      <w:r>
        <w:rPr>
          <w:rFonts w:ascii="Times New Roman;Times;serif" w:hAnsi="Times New Roman;Times;serif"/>
          <w:b/>
          <w:sz w:val="20"/>
        </w:rPr>
        <w:t>Legal Proceedings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information in Note 9 to the Condensed Consolidated Financial Statements contained in Part I, Item 1 of this Quarterly Report on Form 10-Q is incorporated herein by reference. There are no matters which constitute material pending legal proceedings to which we are a party other than those incorporated into this item by reference from Note 13 to our Condensed Consolidated Financial Statements for the quarter ended June 30, 2023 contained in this Quarterly Report on Form 10-Q.</w:t>
      </w:r>
    </w:p>
    <w:p>
      <w:pPr>
        <w:pStyle w:val="TextBody"/>
        <w:bidi w:val="0"/>
        <w:spacing w:before="0" w:after="200"/>
        <w:ind w:left="0" w:right="0" w:hanging="0"/>
        <w:jc w:val="left"/>
        <w:rPr>
          <w:rFonts w:ascii="Times New Roman;Times;serif" w:hAnsi="Times New Roman;Times;serif"/>
          <w:sz w:val="20"/>
        </w:rPr>
      </w:pPr>
      <w:bookmarkStart w:id="1599" w:name="Item1ARiskFactors_493740"/>
      <w:bookmarkStart w:id="1600" w:name="_462c93c0_e153_46b2_957e_25b59c8b4890"/>
      <w:bookmarkEnd w:id="1599"/>
      <w:bookmarkEnd w:id="1600"/>
      <w:r>
        <w:rPr>
          <w:rFonts w:ascii="Times New Roman;Times;serif" w:hAnsi="Times New Roman;Times;serif"/>
          <w:b/>
          <w:i w:val="false"/>
          <w:caps w:val="false"/>
          <w:smallCaps w:val="false"/>
          <w:sz w:val="20"/>
        </w:rPr>
        <w:t>Item 1A.</w:t>
      </w:r>
      <w:r>
        <w:rPr>
          <w:rFonts w:ascii="Times New Roman;Times;serif" w:hAnsi="Times New Roman;Times;serif"/>
          <w:b/>
          <w:sz w:val="20"/>
        </w:rPr>
        <w:t>Risk Factors</w:t>
      </w:r>
    </w:p>
    <w:p>
      <w:pPr>
        <w:pStyle w:val="TextBody"/>
        <w:bidi w:val="0"/>
        <w:spacing w:before="0" w:after="200"/>
        <w:ind w:left="0" w:right="0" w:firstLine="547"/>
        <w:jc w:val="left"/>
        <w:rPr>
          <w:rFonts w:ascii="Times New Roman;Times;serif" w:hAnsi="Times New Roman;Times;serif"/>
          <w:i/>
          <w:sz w:val="20"/>
        </w:rPr>
      </w:pPr>
      <w:r>
        <w:rPr>
          <w:rFonts w:ascii="Times New Roman;Times;serif" w:hAnsi="Times New Roman;Times;serif"/>
          <w:i/>
          <w:sz w:val="20"/>
        </w:rPr>
        <w:t>The risks described below may not be the only ones relating to our company. Additional risks that we currently believe are immaterial may also impair our business operations. Our business, financial conditions and future prospects and the trading price of our common stock could be harmed as a result of any of these risks. Investors should also refer to the other information contained or incorporated by reference in this Quarterly Report on Form 10-Q, including our financial statements and related notes, and our other filings from time to time with the Securities and Exchange Commission, or SEC.</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Risk Factors Summary</w:t>
      </w:r>
    </w:p>
    <w:p>
      <w:pPr>
        <w:pStyle w:val="TextBody"/>
        <w:bidi w:val="0"/>
        <w:spacing w:before="0" w:after="200"/>
        <w:ind w:left="0" w:right="0" w:firstLine="547"/>
        <w:jc w:val="left"/>
        <w:rPr>
          <w:rFonts w:ascii="Times New Roman;Times;serif" w:hAnsi="Times New Roman;Times;serif"/>
          <w:i/>
          <w:sz w:val="20"/>
          <w:shd w:fill="FFFFFF" w:val="clear"/>
        </w:rPr>
      </w:pPr>
      <w:r>
        <w:rPr>
          <w:rFonts w:ascii="Times New Roman;Times;serif" w:hAnsi="Times New Roman;Times;serif"/>
          <w:i/>
          <w:sz w:val="20"/>
          <w:shd w:fill="FFFFFF" w:val="clear"/>
        </w:rPr>
        <w:t>We have marked with an asterisk (*) those risk factors below that reflect a substantive change from the risk factors included in our Annual Report on Form 10-K filed with the SEC on February 28, 2023.</w:t>
      </w:r>
    </w:p>
    <w:p>
      <w:pPr>
        <w:pStyle w:val="TextBody"/>
        <w:bidi w:val="0"/>
        <w:spacing w:before="0" w:after="0"/>
        <w:ind w:left="0" w:right="0" w:firstLine="547"/>
        <w:jc w:val="left"/>
        <w:rPr>
          <w:rFonts w:ascii="Times New Roman;Times;serif" w:hAnsi="Times New Roman;Times;serif"/>
          <w:sz w:val="20"/>
        </w:rPr>
      </w:pPr>
      <w:bookmarkStart w:id="1601" w:name="_cp_text_1_484"/>
      <w:bookmarkEnd w:id="1601"/>
      <w:r>
        <w:rPr>
          <w:rFonts w:ascii="Times New Roman;Times;serif" w:hAnsi="Times New Roman;Times;serif"/>
          <w:sz w:val="20"/>
        </w:rPr>
        <w:t>Our business is subject to a number of risks and uncertainties, including those risks discussed at length below. These risks include, among others, the brief bulleted list of our principal risk factors set forth below that make an investment in our company speculative or risky. You are encouraged to carefully review our full discussion of the material risk factors relevant to an investment in our business, which follows the brief bulleted list of our principal risk factors set forth below.</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Risks Related to Our Business: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substantially dependent on the success of our product candidates and cannot guarantee that these product candidates will successfully complete development, receive regulatory approval, or be successfully commercialized;*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encounter substantial delays in our clinical trials or may not be able to conduct our clinical trials on the timelines we expect and we may be required to conduct additional clinical trials or modify current or future clinical trials based on feedback we receive from the FDA;*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may take longer and cost more to complete our clinical trials than we project, or we may not be able to complete them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clinical trials may fail to demonstrate adequately the safety and efficacy of our product candidates, which would prevent or delay regulatory approval and commercialization;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manufacture of our product candidates is complex, and we may encounter difficulties in production, particularly with respect to process development, quality control, or scaling-up of our manufacturing capabilities. If we, or any of our third-party manufacturers encounter such difficulties, our ability to provide supply of our product candidates for clinical trials or our products for patients, if approved, could be delayed or stopped, or we may be unable to maintain a commercially viable cost structure;*</w:t>
            </w:r>
          </w:p>
        </w:tc>
      </w:tr>
    </w:tbl>
    <w:p>
      <w:pPr>
        <w:pStyle w:val="Normal"/>
        <w:bidi w:val="0"/>
        <w:spacing w:before="0" w:after="0"/>
        <w:jc w:val="left"/>
        <w:rPr>
          <w:sz w:val="4"/>
          <w:szCs w:val="4"/>
        </w:rPr>
      </w:pPr>
      <w:r>
        <w:rPr>
          <w:sz w:val="4"/>
          <w:szCs w:val="4"/>
        </w:rPr>
      </w:r>
      <w:bookmarkStart w:id="1602" w:name="_Hlk141273798"/>
      <w:bookmarkStart w:id="1603" w:name="_Hlk141273798"/>
      <w:bookmarkEnd w:id="1603"/>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Cell-based therapies and biologics rely on the availability of biological raw materials (including live cells), chemicals and agents used for manufacturing, reagents, specialized equipment, and other specialty materials, which may not be available to us on acceptable terms or at all. For each of these, we rely or may rely on treatment sites, limited manufacturers, sole source vendors, or a limited number of vendors, which could impair our ability to manufacture and supply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and collaborate with governmental, academic and corporate partners or agencies to approve, improve and develop TIL therapies for new indications for use in combination with other therapies and to evaluate new TIL manufacturing methods, the results of which, because the manufacturing processes are not within our control, and may be incorrect or unreliable;*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may need additional financing to fund our operations and complete the development and commercialization of our various product candidates, and if we are unable to obtain such financing, we may be unable to complete the development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commercialization of our product candidates. Raising additional capital may cause dilution to our existing stockholders, restrict our operations or require us to relinquish rights to our technologies or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extensive regulation, which can be costly, time consuming and can subject us to unanticipated delays; even if we obtain regulatory approval for some of our products, those products may still face regulatory difficulties;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pay substantial royalties and lump sum benchmark payments under our license or acquisition agreements with the NIH, Moffitt, Novartis, Clinigen, and Cellectis, and we must meet certain milestones to maintain our license rights;*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our current products represent, and our other potential product candidates will represent novel approaches to the treatment of disease, there are many uncertainties regarding the development, the market acceptance, third-party reimbursement coverage and the commercial potential of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assurance can be given that the Gen 2 manufacturing process or other processes we have selected will be FDA-compliant or more efficient and will lower the cost to manufacture TIL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significant competition from other biotechnology and pharmaceutical companies and from non-profit institutions;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of a product candidate intended for use in combination with an already approved product may present more or different challenges than development of a product candidate for use as a single agent;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Fast Track product designation, Breakthrough Therapy Designation, or BTD, or other designation to facilitate product candidate development may not lead to faster development or a faster regulatory review or approval process, and it does not increase the likelihood that our product candidates will receive marketing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lifileucel has received Orphan Drug Designation, or ODD, for melanoma stages IIB-IV and for cervical cancer patients with tumors greater than 2 cm, there is no guarantee that we will be able to maintain this designation, receive these designations for any of our other product candidates, or receive or maintain any corresponding benefits, including periods of exclusivity;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condition of approval, the FDA may require that we implement various post-marketing requirements and conduct post-marketing studies, any of which would require a substantial investment of time, effort, and money, and which may limit our commercial prospects;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establish effective marketing and sales capabilities or enter into agreements with third parties to market and sell our product candidates, if they are approved, and as a result, we may be unable to generate product revenues;*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product candidates do not achieve broad market acceptance, the revenues that we generate from their sales will be limited;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business could be adversely affected by the effects of health epidemics, including the COVID-19 pandemic, in regions where we or third parties on which we rely have significant manufacturing facilities, concentrations of clinical trial sites or other business operations. The COVID-19 pandemic could materially affect our operations, including at our headquarters in San Carlos, California and at our manufacturing facility in Philadelphia, Pennsylvania, which have previously been subject to state executive orders and shelter-in-place orders, and at our clinical trial sites, as well as the business or operations of our other manufacturers, CROs or other third parties with whom we conduct business;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will need to grow the size and capabilities of our organization, and we may experience difficulties in managing this growth;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operating in a period of economic uncertainty and capital markets disruption, which has been significantly impacted by geopolitical instability, an ongoing military conflict between Russia and Ukraine and record inflation. Our business, financial condition and results of operations could be materially adversely affected by any negative impact on the global economy and capital markets resulting from the conflict in Ukraine, geopolitical tensions or record inflation;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Climate change or legal, regulatory or market measures to address climate change may negatively affect our business, results of operations, cash flows and prospects;</w:t>
            </w:r>
          </w:p>
        </w:tc>
      </w:tr>
    </w:tbl>
    <w:tbl>
      <w:tblPr>
        <w:tblW w:w="7956" w:type="dxa"/>
        <w:jc w:val="left"/>
        <w:tblInd w:w="0" w:type="dxa"/>
        <w:tblLayout w:type="fixed"/>
        <w:tblCellMar>
          <w:top w:w="28" w:type="dxa"/>
          <w:left w:w="28" w:type="dxa"/>
          <w:bottom w:w="28" w:type="dxa"/>
          <w:right w:w="28" w:type="dxa"/>
        </w:tblCellMar>
      </w:tblPr>
      <w:tblGrid>
        <w:gridCol w:w="124"/>
        <w:gridCol w:w="256"/>
        <w:gridCol w:w="75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social and governance matters may impact our business and reputation;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rely on third parties to perform many essential services for any products that we commercialize, including services related to distribution, government price reporting, customer service, accounts receivable management, cash collection, and adverse event reporting. If these third parties fail to perform as expected or to comply with legal and regulatory requirements, our ability to commercialize our current or future product candidates will be significantly impacted and we may be subject to regulatory sanctions.</w:t>
            </w:r>
          </w:p>
        </w:tc>
      </w:tr>
    </w:tbl>
    <w:p>
      <w:pPr>
        <w:pStyle w:val="TextBody"/>
        <w:bidi w:val="0"/>
        <w:spacing w:before="40" w:after="0"/>
        <w:ind w:left="36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Risks Related to Government Regulation:</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regulatory approval process is lengthy and time-consuming, and we may experience significant delays in the clinical development and regulatory approval of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maintaining regulatory approval of our product candidates in one jurisdiction does not mean that we will be successful in obtaining regulatory approval of our product candidates in other jurisdictions;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Coverage and reimbursement may be limited or unavailable in certain market segments for our product candidates, which could make it difficult for us to sell our product candidates profitably; and</w:t>
            </w:r>
          </w:p>
        </w:tc>
      </w:tr>
    </w:tbl>
    <w:tbl>
      <w:tblPr>
        <w:tblW w:w="9756" w:type="dxa"/>
        <w:jc w:val="left"/>
        <w:tblInd w:w="0" w:type="dxa"/>
        <w:tblLayout w:type="fixed"/>
        <w:tblCellMar>
          <w:top w:w="28" w:type="dxa"/>
          <w:left w:w="28" w:type="dxa"/>
          <w:bottom w:w="28" w:type="dxa"/>
          <w:right w:w="28" w:type="dxa"/>
        </w:tblCellMar>
      </w:tblPr>
      <w:tblGrid>
        <w:gridCol w:w="124"/>
        <w:gridCol w:w="256"/>
        <w:gridCol w:w="9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Governments outside the U.S. tend to impose strict price controls, which may adversely affect our revenues, if any.</w:t>
            </w:r>
          </w:p>
        </w:tc>
      </w:tr>
    </w:tbl>
    <w:p>
      <w:pPr>
        <w:pStyle w:val="TextBody"/>
        <w:bidi w:val="0"/>
        <w:spacing w:before="40" w:after="0"/>
        <w:ind w:left="72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Risks Related to Our Business</w:t>
      </w:r>
    </w:p>
    <w:p>
      <w:pPr>
        <w:pStyle w:val="TextBody"/>
        <w:bidi w:val="0"/>
        <w:spacing w:before="0" w:after="180"/>
        <w:ind w:left="0" w:right="0" w:firstLine="547"/>
        <w:jc w:val="left"/>
        <w:rPr>
          <w:rFonts w:ascii="Times New Roman;Times;serif" w:hAnsi="Times New Roman;Times;serif"/>
          <w:b/>
          <w:i/>
          <w:sz w:val="20"/>
        </w:rPr>
      </w:pPr>
      <w:r>
        <w:rPr>
          <w:rFonts w:ascii="Times New Roman;Times;serif" w:hAnsi="Times New Roman;Times;serif"/>
          <w:b/>
          <w:i/>
          <w:sz w:val="20"/>
        </w:rPr>
        <w:t>We have a history of operating losses; we expect to continue to incur losses and we may never be profitable.*</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are a clinical-stage biotechnology company focused on the development and commercialization of novel cancer immunotherapy products designed to harness the power of a patient's own immune system to eradicate cancer. Until recently, we did not have products approved for commercial sale and have not generated revenue from operations. With the closing of the acquisition of the worldwide rights to Proleukin® in May 2023, we began to have commercial sales. As of June 30, 2023, we had an accumulated deficit of $1.8 billion. In addition, during the six months ended June 30, 2023, we incurred a net loss of $213.9 million. While we are preparing for the commercial launch of our product, lifileucel, if approved, in 2023, we do not expect to generate any meaningful product sales or royalty revenues until at least 2024. We expect to incur significant additional operating losses in the future as we expand our development and clinical trial activities in support of demonstrating the effectiveness of our products.</w:t>
      </w:r>
    </w:p>
    <w:p>
      <w:pPr>
        <w:pStyle w:val="TextBody"/>
        <w:bidi w:val="0"/>
        <w:spacing w:before="0" w:after="180"/>
        <w:ind w:left="0" w:right="0" w:firstLine="547"/>
        <w:jc w:val="left"/>
        <w:rPr>
          <w:rFonts w:ascii="Times New Roman;Times;serif" w:hAnsi="Times New Roman;Times;serif"/>
          <w:sz w:val="20"/>
        </w:rPr>
      </w:pPr>
      <w:r>
        <w:rPr>
          <w:rFonts w:ascii="Times New Roman;Times;serif" w:hAnsi="Times New Roman;Times;serif"/>
          <w:sz w:val="20"/>
        </w:rPr>
        <w:t>Our ability to achieve long-term profitability is dependent upon obtaining regulatory approvals for our products and successfully commercializing our products alone or with third parties. However, our operations may not be profitable even if any of our products under development are successfully developed and produced and thereafter commercialized.</w:t>
      </w:r>
    </w:p>
    <w:p>
      <w:pPr>
        <w:pStyle w:val="TextBody"/>
        <w:bidi w:val="0"/>
        <w:spacing w:before="0" w:after="180"/>
        <w:ind w:left="0" w:right="0" w:firstLine="547"/>
        <w:jc w:val="left"/>
        <w:rPr>
          <w:rFonts w:ascii="Times New Roman;Times;serif" w:hAnsi="Times New Roman;Times;serif"/>
          <w:b/>
          <w:i/>
          <w:sz w:val="20"/>
        </w:rPr>
      </w:pPr>
      <w:r>
        <w:rPr>
          <w:rFonts w:ascii="Times New Roman;Times;serif" w:hAnsi="Times New Roman;Times;serif"/>
          <w:b/>
          <w:i/>
          <w:sz w:val="20"/>
        </w:rPr>
        <w:t>Our current line of business, and the biotechnology industry in which we operate, makes it difficult to evaluate our business plan and our prospects.*</w:t>
      </w:r>
    </w:p>
    <w:p>
      <w:pPr>
        <w:pStyle w:val="TextBody"/>
        <w:bidi w:val="0"/>
        <w:spacing w:before="0" w:after="180"/>
        <w:ind w:left="0" w:right="0" w:firstLine="547"/>
        <w:jc w:val="left"/>
        <w:rPr>
          <w:rFonts w:ascii="Times New Roman;Times;serif" w:hAnsi="Times New Roman;Times;serif"/>
          <w:sz w:val="20"/>
        </w:rPr>
      </w:pPr>
      <w:r>
        <w:rPr>
          <w:rFonts w:ascii="Times New Roman;Times;serif" w:hAnsi="Times New Roman;Times;serif"/>
          <w:sz w:val="20"/>
        </w:rPr>
        <w:t>We have only a limited operating history in our current line of business on which a decision to invest in our company can be based. The future of our company currently is dependent upon our ability to implement our business plan, as that business plan may be modified from time to time by our management and Board of Directors. While we believe that we have a reasonable business plan and research and development strategy, we have only a limited operating history against which we can test our plans and assumptions, and investors therefore cannot evaluate the likelihood of our success.</w:t>
      </w:r>
    </w:p>
    <w:p>
      <w:pPr>
        <w:pStyle w:val="TextBody"/>
        <w:bidi w:val="0"/>
        <w:spacing w:before="0" w:after="180"/>
        <w:ind w:left="0" w:right="0" w:firstLine="547"/>
        <w:jc w:val="left"/>
        <w:rPr>
          <w:rFonts w:ascii="Times New Roman;Times;serif" w:hAnsi="Times New Roman;Times;serif"/>
          <w:sz w:val="20"/>
        </w:rPr>
      </w:pPr>
      <w:r>
        <w:rPr>
          <w:rFonts w:ascii="Times New Roman;Times;serif" w:hAnsi="Times New Roman;Times;serif"/>
          <w:sz w:val="20"/>
        </w:rPr>
        <w:t>We face the problems, expenses, difficulties, complications and delays normally associated with a commercial biotechnology company with significant pre-commercial assets, many of which are beyond our control. Accordingly, our prospects should be considered in light of the risks, expenses and difficulties frequently encountered in the establishment of a new business developing technologies in an industry that is characterized by a number of market entrants and intense competition. Because of our size and limited resources, we may not possess the ability to successfully overcome many of the risks and uncertainties frequently encountered by commercial biotechnology companies with significant pre-commercial assets involved in the rapidly evolving field of immunotherapy. If our research and development efforts are successful, we may also face the risks associated with the shift from development to commercialization of new products based on innovative technologies. There can be no assurance that we will be successful in developing our business.</w:t>
      </w:r>
    </w:p>
    <w:p>
      <w:pPr>
        <w:pStyle w:val="TextBody"/>
        <w:bidi w:val="0"/>
        <w:spacing w:before="0" w:after="180"/>
        <w:ind w:left="0" w:right="0" w:firstLine="547"/>
        <w:jc w:val="left"/>
        <w:rPr>
          <w:rFonts w:ascii="Times New Roman;Times;serif" w:hAnsi="Times New Roman;Times;serif"/>
          <w:b/>
          <w:i/>
          <w:sz w:val="20"/>
        </w:rPr>
      </w:pPr>
      <w:r>
        <w:rPr>
          <w:rFonts w:ascii="Times New Roman;Times;serif" w:hAnsi="Times New Roman;Times;serif"/>
          <w:b/>
          <w:i/>
          <w:sz w:val="20"/>
        </w:rPr>
        <w:t>We are substantially dependent on the success of our product candidates and cannot guarantee that these product candidates will successfully complete development, receive regulatory approval, or be successfully commercialized.*</w:t>
      </w:r>
    </w:p>
    <w:p>
      <w:pPr>
        <w:pStyle w:val="TextBody"/>
        <w:bidi w:val="0"/>
        <w:spacing w:before="0" w:after="180"/>
        <w:ind w:left="0" w:right="0" w:firstLine="547"/>
        <w:jc w:val="left"/>
        <w:rPr>
          <w:rFonts w:ascii="Times New Roman;Times;serif" w:hAnsi="Times New Roman;Times;serif"/>
          <w:sz w:val="20"/>
        </w:rPr>
      </w:pPr>
      <w:r>
        <w:rPr>
          <w:rFonts w:ascii="Times New Roman;Times;serif" w:hAnsi="Times New Roman;Times;serif"/>
          <w:sz w:val="20"/>
        </w:rPr>
        <w:t>We currently have one product approved for commercial sale. We have invested a significant portion of our efforts and financial resources in the development of our current product candidates, including lifileucel, LN-145, IOV-4001, IOV-2001, and IOV-3001, and expect that we will continue to invest heavily in our current product candidates, as well as in any future product candidates we may develop. Our business depends entirely on the successful development and commercialization of our product candidates, which may never occur. Our ability to generate revenues in the future is substantially dependent on our ability to develop, obtain regulatory approval for, and then successfully commercialize our product candidates. We currently generate no revenue from the sale of any products that are in development, and we may never be able to develop or commercialize these potential products.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0" w:right="0" w:firstLine="547"/>
        <w:jc w:val="left"/>
        <w:rPr>
          <w:rFonts w:ascii="Times New Roman;Times;serif" w:hAnsi="Times New Roman;Times;serif"/>
          <w:sz w:val="20"/>
        </w:rPr>
      </w:pPr>
      <w:r>
        <w:rPr>
          <w:rFonts w:ascii="Times New Roman;Times;serif" w:hAnsi="Times New Roman;Times;serif"/>
          <w:sz w:val="20"/>
        </w:rPr>
        <w:t>Our product candidates will require additional clinical and non-clinical development, regulatory approval, commercial manufacturing arrangements, establishment of a commercial organization, significant marketing efforts, and further investment before we generate any revenue from product sales. We cannot assure you that we will meet our timelines for our current or future clinical trials, which may be delayed or not completed for a number of reasons, including the negative impact of the COVID-19 pandemic. Additionally, the costs associated with development of cell therapy products may be significant due to the length of treatment and the supportive therapies provided to the patient during the treatment process. Supportive therapies may impact costs and patient viability and may potentially limit availability.</w:t>
      </w:r>
    </w:p>
    <w:p>
      <w:pPr>
        <w:pStyle w:val="TextBody"/>
        <w:bidi w:val="0"/>
        <w:spacing w:before="0" w:after="180"/>
        <w:ind w:left="0" w:right="0" w:firstLine="547"/>
        <w:jc w:val="left"/>
        <w:rPr>
          <w:rFonts w:ascii="Times New Roman;Times;serif" w:hAnsi="Times New Roman;Times;serif"/>
          <w:sz w:val="20"/>
        </w:rPr>
      </w:pPr>
      <w:r>
        <w:rPr>
          <w:rFonts w:ascii="Times New Roman;Times;serif" w:hAnsi="Times New Roman;Times;serif"/>
          <w:sz w:val="20"/>
        </w:rPr>
        <w:t>We are not permitted to market or promote any of our product candidates before we receive regulatory approval from the FDA or comparable foreign regulatory authorities, and we may never receive such regulatory approval for any of our product candidates or regulatory approval that will allow us to successfully commercialize our product candidates. If we do not receive FDA approval with the necessary conditions to allow successful commercialization, and then successfully commercialize our product candidates, we will not be able to generate revenue from those product candidates in the U.S. in the foreseeable future, or at all. Any significant delays in obtaining approval for and commercializing our product candidates will have a material adverse impact on our business and financial condition.</w:t>
      </w:r>
    </w:p>
    <w:p>
      <w:pPr>
        <w:pStyle w:val="TextBody"/>
        <w:bidi w:val="0"/>
        <w:spacing w:before="0" w:after="180"/>
        <w:ind w:left="0" w:right="0" w:firstLine="547"/>
        <w:jc w:val="left"/>
        <w:rPr>
          <w:rFonts w:ascii="Times New Roman;Times;serif" w:hAnsi="Times New Roman;Times;serif"/>
          <w:sz w:val="20"/>
        </w:rPr>
      </w:pPr>
      <w:r>
        <w:rPr>
          <w:rFonts w:ascii="Times New Roman;Times;serif" w:hAnsi="Times New Roman;Times;serif"/>
          <w:sz w:val="20"/>
        </w:rPr>
        <w:t>Our products rely on coordination and collaboration with treatment centers that perform surgical procedures, obtain and provide lymphodepleting chemotherapy, and deliver other care to patients that are often in poor health as a result of the latter stages of cancer. This coordination of care is complicated in both the clinical trial setting and the commercial setting. Our treatment centers may not be able to obtain necessary supplies, such as lymphodepleting chemotherapy agents, because of shortages. If commercialized, our products will rely heavily on our ability to train centers and the center’s ability to choose suitable patients and deliver a complex regimen. We may be reliant on physicians with limited experience with TIL products and the associated regimens. Although we will make efforts to train hospitals and provide processes that must be followed precisely, there is no way to ensure that all institutions will be able to perform at a high level in all aspects of the coordination of care. Patients may progress in the course of their disease or may experience serious adverse events from our products or supportive regimens while undergoing or awaiting treatment with our therapies.</w:t>
      </w:r>
    </w:p>
    <w:p>
      <w:pPr>
        <w:pStyle w:val="TextBody"/>
        <w:bidi w:val="0"/>
        <w:spacing w:before="0" w:after="180"/>
        <w:ind w:left="0" w:right="0" w:firstLine="547"/>
        <w:jc w:val="left"/>
        <w:rPr>
          <w:rFonts w:ascii="Times New Roman;Times;serif" w:hAnsi="Times New Roman;Times;serif"/>
          <w:sz w:val="20"/>
        </w:rPr>
      </w:pPr>
      <w:r>
        <w:rPr>
          <w:rFonts w:ascii="Times New Roman;Times;serif" w:hAnsi="Times New Roman;Times;serif"/>
          <w:sz w:val="20"/>
        </w:rPr>
        <w:t>Prior to our completion of a rolling BLA submission for lifileucel in March 2023 and its acceptance by the FDA in May 2023, we had not previously submitted a BLA to the FDA, or a similar marketing application to comparable foreign authorities, for any product candidate, and we cannot be certain that our current or any future product candidates will be successful in clinical trials or receive regulatory approval. Furthermore, although we have not submitted our BLA with comparisons to existing or more established therapies and likewise do not expect the FDA to base its determination with respect to product approval on such comparisons, the FDA may factor these comparisons into its decision whether to approve our TIL therapies, including lifileucel for advanced melanoma. The FDA may also consider its approvals of competing products, which may alter the treatment landscape concurrently with their review of our BLA filings, and which may lead to changes in the FDA’s review requirements that have been previously communicated to us and our interpretation thereof, including changes to requirements for clinical data or clinical trial design. Such challenges and variabilities could delay approval or necessitate withdrawal of our BLA filings.</w:t>
      </w:r>
    </w:p>
    <w:p>
      <w:pPr>
        <w:pStyle w:val="TextBody"/>
        <w:bidi w:val="0"/>
        <w:spacing w:before="0" w:after="180"/>
        <w:ind w:left="0" w:right="0" w:firstLine="547"/>
        <w:jc w:val="left"/>
        <w:rPr>
          <w:rFonts w:ascii="Times New Roman;Times;serif" w:hAnsi="Times New Roman;Times;serif"/>
          <w:sz w:val="20"/>
        </w:rPr>
      </w:pPr>
      <w:r>
        <w:rPr>
          <w:rFonts w:ascii="Times New Roman;Times;serif" w:hAnsi="Times New Roman;Times;serif"/>
          <w:sz w:val="20"/>
        </w:rPr>
        <w:t>Our product candidates are susceptible to the risks of failure inherent at any stage of product development, including the appearance of unexpected adverse events or failure to achieve primary endpoints in clinical trials. Further, our product candidates may not receive regulatory approval even if they are successful in clinical trials.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If approved for marketing by applicable regulatory authorities, our ability to generate revenues from our product candidates will depend on our ability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our product candidates competitively such that third-party and government reimbursement leads to broad product adoption;</w:t>
            </w:r>
          </w:p>
        </w:tc>
      </w:tr>
    </w:tbl>
    <w:tbl>
      <w:tblPr>
        <w:tblW w:w="6516" w:type="dxa"/>
        <w:jc w:val="left"/>
        <w:tblInd w:w="0" w:type="dxa"/>
        <w:tblLayout w:type="fixed"/>
        <w:tblCellMar>
          <w:top w:w="28" w:type="dxa"/>
          <w:left w:w="28" w:type="dxa"/>
          <w:bottom w:w="28" w:type="dxa"/>
          <w:right w:w="28" w:type="dxa"/>
        </w:tblCellMar>
      </w:tblPr>
      <w:tblGrid>
        <w:gridCol w:w="124"/>
        <w:gridCol w:w="256"/>
        <w:gridCol w:w="6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prepare a broad network of clinical sites for administration of our product;</w:t>
            </w:r>
          </w:p>
        </w:tc>
      </w:tr>
    </w:tbl>
    <w:tbl>
      <w:tblPr>
        <w:tblW w:w="7566" w:type="dxa"/>
        <w:jc w:val="left"/>
        <w:tblInd w:w="0" w:type="dxa"/>
        <w:tblLayout w:type="fixed"/>
        <w:tblCellMar>
          <w:top w:w="28" w:type="dxa"/>
          <w:left w:w="28" w:type="dxa"/>
          <w:bottom w:w="28" w:type="dxa"/>
          <w:right w:w="28" w:type="dxa"/>
        </w:tblCellMar>
      </w:tblPr>
      <w:tblGrid>
        <w:gridCol w:w="124"/>
        <w:gridCol w:w="256"/>
        <w:gridCol w:w="71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train and monitor sites for product delivery and consistent flow of appropriate patients;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create market demand for our product candidates through our own marketing and sales activities, and any other arrangements to promote these product candidates that we may otherwise establish;</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receive regulatory approval for the targeted patient population(s) and claims that are necessary or desirable for successful marketing;</w:t>
            </w:r>
          </w:p>
        </w:tc>
      </w:tr>
    </w:tbl>
    <w:tbl>
      <w:tblPr>
        <w:tblW w:w="9216" w:type="dxa"/>
        <w:jc w:val="left"/>
        <w:tblInd w:w="0" w:type="dxa"/>
        <w:tblLayout w:type="fixed"/>
        <w:tblCellMar>
          <w:top w:w="28" w:type="dxa"/>
          <w:left w:w="28" w:type="dxa"/>
          <w:bottom w:w="28" w:type="dxa"/>
          <w:right w:w="28" w:type="dxa"/>
        </w:tblCellMar>
      </w:tblPr>
      <w:tblGrid>
        <w:gridCol w:w="124"/>
        <w:gridCol w:w="256"/>
        <w:gridCol w:w="8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the necessary regulatory approvals to deliver the therapies to a sufficiently sized patient population;</w:t>
            </w:r>
          </w:p>
        </w:tc>
      </w:tr>
    </w:tbl>
    <w:tbl>
      <w:tblPr>
        <w:tblW w:w="3756" w:type="dxa"/>
        <w:jc w:val="left"/>
        <w:tblInd w:w="0" w:type="dxa"/>
        <w:tblLayout w:type="fixed"/>
        <w:tblCellMar>
          <w:top w:w="28" w:type="dxa"/>
          <w:left w:w="28" w:type="dxa"/>
          <w:bottom w:w="28" w:type="dxa"/>
          <w:right w:w="28" w:type="dxa"/>
        </w:tblCellMar>
      </w:tblPr>
      <w:tblGrid>
        <w:gridCol w:w="124"/>
        <w:gridCol w:w="256"/>
        <w:gridCol w:w="3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effectively commercialize our products;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manufacture product candidates through CMOs or in our own manufacturing facility in sufficient quantities and at acceptable quality and manufacturing cost to meet commercial demand at launch and thereafter;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and maintain agreements with wholesalers, distributors, pharmacies, and group purchasing organizations on commercially reasonable terms;</w:t>
            </w:r>
          </w:p>
        </w:tc>
      </w:tr>
    </w:tbl>
    <w:tbl>
      <w:tblPr>
        <w:tblW w:w="8421" w:type="dxa"/>
        <w:jc w:val="left"/>
        <w:tblInd w:w="0" w:type="dxa"/>
        <w:tblLayout w:type="fixed"/>
        <w:tblCellMar>
          <w:top w:w="28" w:type="dxa"/>
          <w:left w:w="28" w:type="dxa"/>
          <w:bottom w:w="28" w:type="dxa"/>
          <w:right w:w="28" w:type="dxa"/>
        </w:tblCellMar>
      </w:tblPr>
      <w:tblGrid>
        <w:gridCol w:w="124"/>
        <w:gridCol w:w="256"/>
        <w:gridCol w:w="8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patent and trade secret protection and regulatory exclusivity for our product candidates;</w:t>
            </w:r>
          </w:p>
        </w:tc>
      </w:tr>
    </w:tbl>
    <w:tbl>
      <w:tblPr>
        <w:tblW w:w="4686" w:type="dxa"/>
        <w:jc w:val="left"/>
        <w:tblInd w:w="0" w:type="dxa"/>
        <w:tblLayout w:type="fixed"/>
        <w:tblCellMar>
          <w:top w:w="28" w:type="dxa"/>
          <w:left w:w="28" w:type="dxa"/>
          <w:bottom w:w="28" w:type="dxa"/>
          <w:right w:w="28" w:type="dxa"/>
        </w:tblCellMar>
      </w:tblPr>
      <w:tblGrid>
        <w:gridCol w:w="124"/>
        <w:gridCol w:w="256"/>
        <w:gridCol w:w="4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launch commercial sales of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compliance with applicable laws, regulations, and guidance specific to commercialization including interactions with health care professionals, patient advocacy groups, and communication of health care economic information to payors and formularies;</w:t>
            </w:r>
          </w:p>
        </w:tc>
      </w:tr>
    </w:tbl>
    <w:tbl>
      <w:tblPr>
        <w:tblW w:w="9726" w:type="dxa"/>
        <w:jc w:val="left"/>
        <w:tblInd w:w="0" w:type="dxa"/>
        <w:tblLayout w:type="fixed"/>
        <w:tblCellMar>
          <w:top w:w="28" w:type="dxa"/>
          <w:left w:w="28" w:type="dxa"/>
          <w:bottom w:w="28" w:type="dxa"/>
          <w:right w:w="28" w:type="dxa"/>
        </w:tblCellMar>
      </w:tblPr>
      <w:tblGrid>
        <w:gridCol w:w="124"/>
        <w:gridCol w:w="256"/>
        <w:gridCol w:w="9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achieve market acceptance of our product candidates by patients, the medical community, and third-party payors;</w:t>
            </w:r>
          </w:p>
        </w:tc>
      </w:tr>
    </w:tbl>
    <w:tbl>
      <w:tblPr>
        <w:tblW w:w="5616" w:type="dxa"/>
        <w:jc w:val="left"/>
        <w:tblInd w:w="0" w:type="dxa"/>
        <w:tblLayout w:type="fixed"/>
        <w:tblCellMar>
          <w:top w:w="28" w:type="dxa"/>
          <w:left w:w="28" w:type="dxa"/>
          <w:bottom w:w="28" w:type="dxa"/>
          <w:right w:w="28" w:type="dxa"/>
        </w:tblCellMar>
      </w:tblPr>
      <w:tblGrid>
        <w:gridCol w:w="124"/>
        <w:gridCol w:w="256"/>
        <w:gridCol w:w="5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achieve appropriate reimbursement for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payor coverage at rates that will enable the market to adopt our product and enable sites to deliver the entire therapy to patients;</w:t>
            </w:r>
          </w:p>
        </w:tc>
      </w:tr>
    </w:tbl>
    <w:tbl>
      <w:tblPr>
        <w:tblW w:w="7656" w:type="dxa"/>
        <w:jc w:val="left"/>
        <w:tblInd w:w="0" w:type="dxa"/>
        <w:tblLayout w:type="fixed"/>
        <w:tblCellMar>
          <w:top w:w="28" w:type="dxa"/>
          <w:left w:w="28" w:type="dxa"/>
          <w:bottom w:w="28" w:type="dxa"/>
          <w:right w:w="28" w:type="dxa"/>
        </w:tblCellMar>
      </w:tblPr>
      <w:tblGrid>
        <w:gridCol w:w="124"/>
        <w:gridCol w:w="256"/>
        <w:gridCol w:w="72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partner with third party logistics providers that will successfully distribute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a distribution and logistics network capable of product storage within our specifications and regulatory guidelines, and further capable of timely product delivery to commercial clinical sites;</w:t>
            </w:r>
          </w:p>
        </w:tc>
      </w:tr>
    </w:tbl>
    <w:tbl>
      <w:tblPr>
        <w:tblW w:w="5406" w:type="dxa"/>
        <w:jc w:val="left"/>
        <w:tblInd w:w="0" w:type="dxa"/>
        <w:tblLayout w:type="fixed"/>
        <w:tblCellMar>
          <w:top w:w="28" w:type="dxa"/>
          <w:left w:w="28" w:type="dxa"/>
          <w:bottom w:w="28" w:type="dxa"/>
          <w:right w:w="28" w:type="dxa"/>
        </w:tblCellMar>
      </w:tblPr>
      <w:tblGrid>
        <w:gridCol w:w="124"/>
        <w:gridCol w:w="256"/>
        <w:gridCol w:w="5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effectively compete with other therapies or competitors;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launch, ensure that our product will be used as directed and that additional unexpected safety risks will not arise.</w:t>
            </w:r>
          </w:p>
        </w:tc>
      </w:tr>
    </w:tbl>
    <w:p>
      <w:pPr>
        <w:pStyle w:val="TextBody"/>
        <w:bidi w:val="0"/>
        <w:spacing w:before="0" w:after="0"/>
        <w:ind w:left="0" w:right="0" w:firstLine="547"/>
        <w:jc w:val="left"/>
        <w:rPr/>
      </w:pPr>
      <w:r>
        <w:rPr/>
        <w:t>​</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We may face risks due to the need to rely on third parties, including clinical trial sites.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are heavily reliant on third parties to conduct our clinical trials. We have a limited history of conducting clinical trials and have no experience as a company in filing and supporting the applications necessary to gain marketing approvals. Securing marketing approval requires the submission of extensive preclinical and clinical data and supporting information to regulatory authorities for each therapeutic indication to establish the product candidate’s safety, purity, and potency for that indication. Securing marketing approval also requires the submission of information about the product manufacturing process to, and inspection of manufacturing facilities and clinical trial sites by applicable regulatory authorities. Clinical testing is expensive and can take many years to complete, and its outcome is inherently uncertain. Failure can occur at any time during the clinical trial process. As a result of the COVID-19 pandemic, institutions and research sites that currently conduct clinical trials may not be able to return to normal clinical trial operations for some time or may no longer choose to participate in studies in the future. Furthermore, clinical trials may be delayed or otherwise may be more difficult to execute in the future.</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have recruited a team that has experience with clinical trials and in the development of preclinical assets for translation into clinical trials; however, we as a company have limited experience completing pivotal clinical trials for cell therapy products or developing preclinical immunotherapy products. In part because of this lack of experience, we cannot be certain that our ongoing pivotal clinical trials will be completed on time, if at all, will progress according to our plans or expectations, or that our planned clinical trials will be initiated or initiated in a timely manner, progress according to our plans or expectations, or be completed on time, if they are completed at all.</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Large-scale clinical trials require significant financial and management resources, and reliance on third-party clinical investigators, Contract Research Organizations, or CROs, Contract Manufacturing Organizations, or CMOs, or consultants. Relying on third-party clinical investigators, CROs or CMOs may force us to encounter delays and challenges that are outside of our control. In addition to manufacturing TIL at the </w:t>
      </w:r>
      <w:r>
        <w:rPr>
          <w:rFonts w:ascii="Times New Roman;Times;serif" w:hAnsi="Times New Roman;Times;serif"/>
          <w:i/>
          <w:sz w:val="20"/>
        </w:rPr>
        <w:t>i</w:t>
      </w:r>
      <w:r>
        <w:rPr>
          <w:rFonts w:ascii="Times New Roman;Times;serif" w:hAnsi="Times New Roman;Times;serif"/>
          <w:sz w:val="20"/>
        </w:rPr>
        <w:t xml:space="preserve">CTC, we rely on CMOs in the U.S. and Europe to manufacture TIL for use in our clinical trials and commercial use upon approval. We may not be able to demonstrate sufficient comparability between products manufactured at different facilities to allow for inclusion of the clinical results from patients treated with products from these different facilities, or with our own manufacturing facility, in our product registrations, or to allow for use of our </w:t>
      </w:r>
      <w:r>
        <w:rPr>
          <w:rFonts w:ascii="Times New Roman;Times;serif" w:hAnsi="Times New Roman;Times;serif"/>
          <w:i/>
          <w:sz w:val="20"/>
        </w:rPr>
        <w:t>i</w:t>
      </w:r>
      <w:r>
        <w:rPr>
          <w:rFonts w:ascii="Times New Roman;Times;serif" w:hAnsi="Times New Roman;Times;serif"/>
          <w:sz w:val="20"/>
        </w:rPr>
        <w:t>CTC facility at the time of launch. Further, our CMOs may not be able to manufacture TIL or otherwise fulfill their obligations to us because of interruptions to their business, including the loss of their key staff or interruptions to their raw material supply.</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We rely on third party CROs and clinical trial sites to conduct, supervise, and monitor our clinical trials for our product candidates. We expect to continue to rely on third parties, such as CROs, clinical data management organizations, medical institutions, independent review organizations and clinical investigators, to conduct our clinical trials. While we have agreements governing their activities, we have limited influence over their actual performance and control only certain aspects of their activities. The failure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these third parties to successfully carry out their contractual duties or meet expected deadlines could substantially harm our business because we may be delayed in completing or unable to complete the clinical trials required to support future approval of our product candidates, or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could delay our product development activities and adversely affect our business.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the CROs, clinical trial sites, and other third parties do not relieve us of these oversight responsibilities. For example, we will remain responsible for ensuring that each of our clinical trials is conducted in accordance with the general investigational plan and protocols for the clinical trial and for ensuring that our preclinical studies are conducted in accordance with Good Laboratory Practices, or GLPs, as appropriate. Moreover, the FDA and comparable foreign regulatory authorities require us to comply with Good Clinical Practices, or GCPs, for conducting, recording, and reporting the results of clinical trials to assure that data and reported results are credible and accurate and that the rights, integrity, and confidentiality of clinical trial participants are protected. Regulatory authorities enforce these requirements through periodic inspections (including pre-approval inspections upon completion of a BLA filing with the FDA) of clinical trial sponsors, clinical investigators, clinical trial sites and certain third parties including CMOs. If we, our CROs, clinical trial sites, or other third parties fail to comply with applicable GCPs, or other regulatory requirements, we or they may be subject to enforcement or other legal actions, the clinical data generated in our clinical trials may be deemed unreliable and the FDA or comparable foreign regulatory authorities may require us to perform additional clinical trials. We cannot assure you that upon inspection by a given regulatory authority, such regulatory authority will determine that any of our clinical trials comply with GCP regulations.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 addition, we will be required to report certain financial interests of our third-party investigators if these relationships exceed certain financial thresholds or meet other criteria. The FDA or comparable foreign regulatory authorities may question the integrity of the data from those clinical trials conducted by investigators that are determined to have conflicts of interest.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 addition, our clinical trials must be conducted with product candidates that were produced under current Good Manufacturing Practices, or cGMP, regulations. Our failure to comply or our CMOs’ failure to comply with these regulations may require us to repeat clinical trials, which would delay the regulatory approval process. We also are required to register certain clinical trials and post the results of certain completed clinical trials on a government sponsored database, ClinicalTrials.gov, within specified timeframes. Failure to do so could result in enforcement actions and adverse publicity.</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Our CROs, clinical trial sites, and other third parties may also have relationships with other entities, some of which may be our competitors, for whom they may also be conducting clinical trials or other therapeutic development activities that could harm our competitive position. In addition, these third parties are not our employees, and except for remedies available to us under our agreements with them, we cannot control whether or not they devote sufficient time and resources to our ongoing clinical, non-clinical, and preclinical programs. If these third parties do not successfully carry out their contractual duties, meet expected deadlines or conduct our clinical trials in accordance with regulatory requirements or our stated protocols, if they need to be replaced or if the quality or accuracy of the data they obtain is compromised due to the failure to adhere to our protocols, regulatory requirements or for other reasons, our clinical trials may be repeated,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may be materially and adversely affected.</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If any of our relationships with these third parties terminate, we may not be able to enter into alternative arrangements or do so on commercially reasonable terms. Switching or adding additional contractors involves additional costs and requires management time and focus. In addition, there is a natural transition period when a new third party commences work. As a result, delays could occur, which could compromise our ability to meet our desired development timelines. Though we carefully manage our relationships with our third-party service providers, there can be no assurance that we will not encounter similar challenges or delays in the future or that these delays or challenges will not have a material adverse impact on our business, financial condition and prospects or results of operations.</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We also rely on other third parties to manufacture and ship our products for the clinical trials that we conduct. Any performance failure on the part of these third parties could delay clinical development or marketing approval of our product candidates or any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additional product candidates or commercialization of our product candidates, if approved, producing additional losses and depriving us of potential product revenue.</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b/>
          <w:i/>
          <w:sz w:val="20"/>
        </w:rPr>
        <w:t>We may encounter substantial delays in our clinical trials or may not be able to conduct our</w:t>
      </w:r>
      <w:r>
        <w:rPr>
          <w:rFonts w:ascii="Times New Roman;Times;serif" w:hAnsi="Times New Roman;Times;serif"/>
          <w:sz w:val="20"/>
        </w:rPr>
        <w:t xml:space="preserve"> </w:t>
      </w:r>
      <w:r>
        <w:rPr>
          <w:rFonts w:ascii="Times New Roman;Times;serif" w:hAnsi="Times New Roman;Times;serif"/>
          <w:b/>
          <w:i/>
          <w:sz w:val="20"/>
        </w:rPr>
        <w:t>clinical trials on the timelines we expect and we may be required to conduct additional clinical trials or modify current or future clinical trials based on feedback we receive from the FDA.*</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Clinical testing is expensive, time consuming, and subject to uncertainty. We cannot guarantee that any current or future clinical trials will be conducted as planned or completed on schedule, if at all, or that any of our product candidates will receive regulatory approval. We initiated clinical trials in patients with metastatic melanoma, cervical, head and neck and non-small cell lung cancers, and in other indications in collaboration with third parties. We have completed enrollment in the pivotal clinical trial for melanoma, C-144-01. In June 2022, we announced that initial Cohort 4 data read by the independent review committee, or IRC, met the primary endpoint in this clinical trial. In March 2023, we completed submission of our BLA to the FDA for the treatment of adult patients with metastatic melanoma for approval, and the FDA accepted the BLA in May 2023, although approval remains pending. We plan to initiate clinical trials in new indications, and new cohorts in existing clinical trials. Even as these clinical trials progress, issues may arise that could require us to suspend or terminate such clinical trials or could cause the results of one cohort to differ from a prior cohort. For example, we may experience slower than anticipated enrollment in our additional pivotal clinical trials, which may consequently delay BLA submission to the FDA or permit competitors to obtain approvals that may alter our BLA filing strategy. A failure of one or more clinical trials can occur at any stage of testing, and our future clinical studies may not be successful. Events that may prevent successful or timely initiation or completion of clinical development, or product approval include:</w:t>
      </w:r>
    </w:p>
    <w:p>
      <w:pPr>
        <w:pStyle w:val="TextBody"/>
        <w:bidi w:val="0"/>
        <w:spacing w:before="0" w:after="0"/>
        <w:ind w:left="0" w:right="0" w:hanging="0"/>
        <w:jc w:val="left"/>
        <w:rPr/>
      </w:pPr>
      <w:r>
        <w:rPr/>
        <w:t>​</w:t>
      </w:r>
    </w:p>
    <w:p>
      <w:pPr>
        <w:pStyle w:val="TextBody"/>
        <w:bidi w:val="0"/>
        <w:spacing w:before="0" w:after="0"/>
        <w:ind w:left="547" w:right="0" w:hanging="0"/>
        <w:jc w:val="left"/>
        <w:rPr/>
      </w:pPr>
      <w:r>
        <w:rPr/>
        <w:t>●</w:t>
      </w:r>
      <w:r>
        <w:rPr>
          <w:rFonts w:ascii="Times New Roman;Times;serif" w:hAnsi="Times New Roman;Times;serif"/>
          <w:sz w:val="20"/>
        </w:rPr>
        <w:t>regulators or IRBs may not authorize us or our investigators to commence a clinical trial, conduct a clinical trial at a prospective clinical trial site, or amend clinical trial protocols, or regulators or IRBs may require that we modify or amend our clinical trial protocols;</w:t>
      </w:r>
    </w:p>
    <w:p>
      <w:pPr>
        <w:pStyle w:val="TextBody"/>
        <w:bidi w:val="0"/>
        <w:spacing w:before="0" w:after="0"/>
        <w:ind w:left="547" w:right="0" w:hanging="0"/>
        <w:jc w:val="left"/>
        <w:rPr/>
      </w:pPr>
      <w:r>
        <w:rPr/>
        <w:t>●</w:t>
      </w:r>
      <w:r>
        <w:rPr>
          <w:rFonts w:ascii="Times New Roman;Times;serif" w:hAnsi="Times New Roman;Times;serif"/>
          <w:sz w:val="20"/>
        </w:rPr>
        <w:t>delays in reaching a consensus or inability to obtain agreement with regulatory agencies on clinical trial design;</w:t>
      </w:r>
    </w:p>
    <w:p>
      <w:pPr>
        <w:pStyle w:val="TextBody"/>
        <w:bidi w:val="0"/>
        <w:spacing w:before="0" w:after="0"/>
        <w:ind w:left="547" w:right="0" w:hanging="0"/>
        <w:jc w:val="left"/>
        <w:rPr/>
      </w:pPr>
      <w:r>
        <w:rPr/>
        <w:t>●</w:t>
      </w:r>
      <w:r>
        <w:rPr>
          <w:rFonts w:ascii="Times New Roman;Times;serif" w:hAnsi="Times New Roman;Times;serif"/>
          <w:sz w:val="20"/>
        </w:rPr>
        <w:t>the FDA or comparable foreign regulatory authorities may disagree with our intended indications, clinical trial design or our interpretation of data from preclinical studies and clinical trials or find that a product candidate’s benefits do not outweigh its safety risks;</w:t>
      </w:r>
    </w:p>
    <w:p>
      <w:pPr>
        <w:pStyle w:val="TextBody"/>
        <w:bidi w:val="0"/>
        <w:spacing w:before="0" w:after="0"/>
        <w:ind w:left="547" w:right="0" w:hanging="0"/>
        <w:jc w:val="left"/>
        <w:rPr/>
      </w:pPr>
      <w:r>
        <w:rPr/>
        <w:t>●</w:t>
      </w:r>
      <w:r>
        <w:rPr>
          <w:rFonts w:ascii="Times New Roman;Times;serif" w:hAnsi="Times New Roman;Times;serif"/>
          <w:sz w:val="20"/>
        </w:rPr>
        <w:t>the FDA or comparable foreign regulatory authorities may not accept data from studies with clinical trial sites in foreign countries;</w:t>
      </w:r>
    </w:p>
    <w:p>
      <w:pPr>
        <w:pStyle w:val="TextBody"/>
        <w:bidi w:val="0"/>
        <w:spacing w:before="0" w:after="0"/>
        <w:ind w:left="547" w:right="0" w:hanging="0"/>
        <w:jc w:val="left"/>
        <w:rPr/>
      </w:pPr>
      <w:r>
        <w:rPr/>
        <w:t>●</w:t>
      </w:r>
      <w:r>
        <w:rPr>
          <w:rFonts w:ascii="Times New Roman;Times;serif" w:hAnsi="Times New Roman;Times;serif"/>
          <w:sz w:val="20"/>
        </w:rPr>
        <w:t>the FDA may not allow us to use the clinical trial data from a research institution to support an IND if we cannot demonstrate the comparability of our product candidates with the product candidate used by the relevant research institution in its clinical trials;</w:t>
      </w:r>
    </w:p>
    <w:p>
      <w:pPr>
        <w:pStyle w:val="TextBody"/>
        <w:bidi w:val="0"/>
        <w:spacing w:before="0" w:after="0"/>
        <w:ind w:left="547" w:right="0" w:hanging="0"/>
        <w:jc w:val="left"/>
        <w:rPr/>
      </w:pPr>
      <w:r>
        <w:rPr/>
        <w:t>●</w:t>
      </w:r>
      <w:r>
        <w:rPr>
          <w:rFonts w:ascii="Times New Roman;Times;serif" w:hAnsi="Times New Roman;Times;serif"/>
          <w:sz w:val="20"/>
        </w:rPr>
        <w:t>delays in or failure to reach an agreement on acceptable terms with prospective CROs and clinical trial sites, the terms of which can be subject to extensive negotiation and may vary significantly among different CROs and clinical trial sites;</w:t>
      </w:r>
    </w:p>
    <w:p>
      <w:pPr>
        <w:pStyle w:val="TextBody"/>
        <w:bidi w:val="0"/>
        <w:spacing w:before="0" w:after="0"/>
        <w:ind w:left="547" w:right="0" w:hanging="0"/>
        <w:jc w:val="left"/>
        <w:rPr/>
      </w:pPr>
      <w:r>
        <w:rPr/>
        <w:t>●</w:t>
      </w:r>
      <w:r>
        <w:rPr>
          <w:rFonts w:ascii="Times New Roman;Times;serif" w:hAnsi="Times New Roman;Times;serif"/>
          <w:sz w:val="20"/>
        </w:rPr>
        <w:t>delays in obtaining required IRB approval at each clinical trial site;</w:t>
      </w:r>
    </w:p>
    <w:p>
      <w:pPr>
        <w:pStyle w:val="TextBody"/>
        <w:bidi w:val="0"/>
        <w:spacing w:before="0" w:after="0"/>
        <w:ind w:left="547" w:right="0" w:hanging="0"/>
        <w:jc w:val="left"/>
        <w:rPr/>
      </w:pPr>
      <w:r>
        <w:rPr/>
        <w:t>●</w:t>
      </w:r>
      <w:r>
        <w:rPr>
          <w:rFonts w:ascii="Times New Roman;Times;serif" w:hAnsi="Times New Roman;Times;serif"/>
          <w:sz w:val="20"/>
        </w:rPr>
        <w:t>imposition of a temporary or permanent clinical hold, suspensions or terminations by regulatory agencies, IRBs, or us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biologically or mechanistically similar therapeutic or therapeutic candidate;</w:t>
      </w:r>
    </w:p>
    <w:p>
      <w:pPr>
        <w:pStyle w:val="TextBody"/>
        <w:bidi w:val="0"/>
        <w:spacing w:before="0" w:after="0"/>
        <w:ind w:left="547" w:right="0" w:hanging="0"/>
        <w:jc w:val="left"/>
        <w:rPr/>
      </w:pPr>
      <w:r>
        <w:rPr/>
        <w:t>●</w:t>
      </w:r>
      <w:r>
        <w:rPr>
          <w:rFonts w:ascii="Times New Roman;Times;serif" w:hAnsi="Times New Roman;Times;serif"/>
          <w:sz w:val="20"/>
        </w:rPr>
        <w:t>delays in recruiting suitable patients to participate in our clinical trials;</w:t>
      </w:r>
    </w:p>
    <w:p>
      <w:pPr>
        <w:pStyle w:val="TextBody"/>
        <w:bidi w:val="0"/>
        <w:spacing w:before="0" w:after="0"/>
        <w:ind w:left="547" w:right="0" w:hanging="0"/>
        <w:jc w:val="left"/>
        <w:rPr/>
      </w:pPr>
      <w:r>
        <w:rPr/>
        <w:t>●</w:t>
      </w:r>
      <w:r>
        <w:rPr>
          <w:rFonts w:ascii="Times New Roman;Times;serif" w:hAnsi="Times New Roman;Times;serif"/>
          <w:sz w:val="20"/>
        </w:rPr>
        <w:t>delay in adding new investigators or clinical trial sites, or withdrawal of clinical trial sites from a clinical trial;</w:t>
      </w:r>
    </w:p>
    <w:p>
      <w:pPr>
        <w:pStyle w:val="TextBody"/>
        <w:bidi w:val="0"/>
        <w:spacing w:before="0" w:after="0"/>
        <w:ind w:left="547" w:right="0" w:hanging="0"/>
        <w:jc w:val="left"/>
        <w:rPr/>
      </w:pPr>
      <w:r>
        <w:rPr/>
        <w:t>●</w:t>
      </w:r>
      <w:r>
        <w:rPr>
          <w:rFonts w:ascii="Times New Roman;Times;serif" w:hAnsi="Times New Roman;Times;serif"/>
          <w:sz w:val="20"/>
        </w:rPr>
        <w:t>delay or change in strategic direction for an indication resulting from differences in results between cohorts in a clinical trial, such as Cohort 2 and Cohort 4 of the C-144-01 clinical trial or the previously disclosed preliminary results for the C-145-04 clinical trial and the final patient population and results, including differences in patient population, such as differences that might arise due to the impact of the existing immunotherapy treatment landscape, or from different interpretations of investigator results by IRC;</w:t>
      </w:r>
    </w:p>
    <w:p>
      <w:pPr>
        <w:pStyle w:val="TextBody"/>
        <w:bidi w:val="0"/>
        <w:spacing w:before="0" w:after="0"/>
        <w:ind w:left="547" w:right="0" w:hanging="0"/>
        <w:jc w:val="left"/>
        <w:rPr/>
      </w:pPr>
      <w:r>
        <w:rPr/>
        <w:t>●</w:t>
      </w:r>
      <w:r>
        <w:rPr>
          <w:rFonts w:ascii="Times New Roman;Times;serif" w:hAnsi="Times New Roman;Times;serif"/>
          <w:sz w:val="20"/>
        </w:rPr>
        <w:t>failure by our CROs, clinical trial sites, patients, or other third parties, or us to adhere to clinical trial requirements, including regulatory, contractual or protocol requirements;</w:t>
      </w:r>
    </w:p>
    <w:p>
      <w:pPr>
        <w:pStyle w:val="TextBody"/>
        <w:bidi w:val="0"/>
        <w:spacing w:before="0" w:after="0"/>
        <w:ind w:left="547" w:right="0" w:hanging="0"/>
        <w:jc w:val="left"/>
        <w:rPr/>
      </w:pPr>
      <w:r>
        <w:rPr/>
        <w:t>●</w:t>
      </w:r>
      <w:r>
        <w:rPr>
          <w:rFonts w:ascii="Times New Roman;Times;serif" w:hAnsi="Times New Roman;Times;serif"/>
          <w:sz w:val="20"/>
        </w:rPr>
        <w:t>failure to perform in accordance with the FDA’s current GCP, or cGCP requirements, or applicable regulatory guidelines in other countries;</w:t>
      </w:r>
    </w:p>
    <w:p>
      <w:pPr>
        <w:pStyle w:val="TextBody"/>
        <w:bidi w:val="0"/>
        <w:ind w:left="547" w:right="0" w:hanging="0"/>
        <w:jc w:val="left"/>
        <w:rPr/>
      </w:pPr>
      <w:r>
        <w:rPr/>
        <w:t>●</w:t>
      </w:r>
      <w:r>
        <w:rPr>
          <w:rFonts w:ascii="Times New Roman;Times;serif" w:hAnsi="Times New Roman;Times;serif"/>
          <w:sz w:val="20"/>
        </w:rPr>
        <w:t>the number of patients required for clinical trials of our product candidates may be larger than we anticipate or enrollment in these clinical trials may be slower than we anticipate, potentially affecting our timelines for approval of our product candidates;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547" w:right="0" w:hanging="0"/>
        <w:jc w:val="left"/>
        <w:rPr/>
      </w:pPr>
      <w:r>
        <w:rPr/>
        <w:t>●</w:t>
      </w:r>
      <w:r>
        <w:rPr>
          <w:rFonts w:ascii="Times New Roman;Times;serif" w:hAnsi="Times New Roman;Times;serif"/>
          <w:sz w:val="20"/>
        </w:rPr>
        <w:t>patients that enroll in our studies may misrepresent their eligibility or may otherwise not comply with the clinical trial protocol, resulting in the need to drop such patients from the clinical trial, increase the needed enrollment size for the clinical trial or extend the clinical trial’s duration;</w:t>
      </w:r>
    </w:p>
    <w:p>
      <w:pPr>
        <w:pStyle w:val="TextBody"/>
        <w:bidi w:val="0"/>
        <w:spacing w:before="0" w:after="0"/>
        <w:ind w:left="547" w:right="0" w:hanging="0"/>
        <w:jc w:val="left"/>
        <w:rPr/>
      </w:pPr>
      <w:r>
        <w:rPr/>
        <w:t>●</w:t>
      </w:r>
      <w:r>
        <w:rPr>
          <w:rFonts w:ascii="Times New Roman;Times;serif" w:hAnsi="Times New Roman;Times;serif"/>
          <w:sz w:val="20"/>
        </w:rPr>
        <w:t>patients dropping out of a clinical trial;</w:t>
      </w:r>
    </w:p>
    <w:p>
      <w:pPr>
        <w:pStyle w:val="TextBody"/>
        <w:bidi w:val="0"/>
        <w:spacing w:before="0" w:after="0"/>
        <w:ind w:left="547" w:right="0" w:hanging="0"/>
        <w:jc w:val="left"/>
        <w:rPr/>
      </w:pPr>
      <w:r>
        <w:rPr/>
        <w:t>●</w:t>
      </w:r>
      <w:r>
        <w:rPr>
          <w:rFonts w:ascii="Times New Roman;Times;serif" w:hAnsi="Times New Roman;Times;serif"/>
          <w:sz w:val="20"/>
        </w:rPr>
        <w:t>occurrence of adverse events associated with the product candidate that are viewed to outweigh its potential benefits;</w:t>
      </w:r>
    </w:p>
    <w:p>
      <w:pPr>
        <w:pStyle w:val="TextBody"/>
        <w:bidi w:val="0"/>
        <w:spacing w:before="0" w:after="0"/>
        <w:ind w:left="547" w:right="0" w:hanging="0"/>
        <w:jc w:val="left"/>
        <w:rPr/>
      </w:pPr>
      <w:r>
        <w:rPr/>
        <w:t>●</w:t>
      </w:r>
      <w:r>
        <w:rPr>
          <w:rFonts w:ascii="Times New Roman;Times;serif" w:hAnsi="Times New Roman;Times;serif"/>
          <w:sz w:val="20"/>
        </w:rPr>
        <w:t>changes in regulatory requirements and guidance that require amending or submitting new clinical protocols to regulatory authorities and IRBs, and which may cause delays in our development programs, or changes to regulatory review times;</w:t>
      </w:r>
    </w:p>
    <w:p>
      <w:pPr>
        <w:pStyle w:val="TextBody"/>
        <w:bidi w:val="0"/>
        <w:spacing w:before="0" w:after="0"/>
        <w:ind w:left="547" w:right="0" w:hanging="0"/>
        <w:jc w:val="left"/>
        <w:rPr/>
      </w:pPr>
      <w:r>
        <w:rPr/>
        <w:t>●</w:t>
      </w:r>
      <w:r>
        <w:rPr>
          <w:rFonts w:ascii="Times New Roman;Times;serif" w:hAnsi="Times New Roman;Times;serif"/>
          <w:sz w:val="20"/>
        </w:rPr>
        <w:t>there may be regulatory questions or disagreements regarding interpretations of data and results, or new information may emerge regarding our product candidates;</w:t>
      </w:r>
    </w:p>
    <w:p>
      <w:pPr>
        <w:pStyle w:val="TextBody"/>
        <w:bidi w:val="0"/>
        <w:spacing w:before="0" w:after="0"/>
        <w:ind w:left="547" w:right="0" w:hanging="0"/>
        <w:jc w:val="left"/>
        <w:rPr/>
      </w:pPr>
      <w:r>
        <w:rPr/>
        <w:t>●</w:t>
      </w:r>
      <w:r>
        <w:rPr>
          <w:rFonts w:ascii="Times New Roman;Times;serif" w:hAnsi="Times New Roman;Times;serif"/>
          <w:sz w:val="20"/>
        </w:rPr>
        <w:t>changes in the standard of care on which a clinical development plan was based, which may require new or additional clinical trials;</w:t>
      </w:r>
    </w:p>
    <w:p>
      <w:pPr>
        <w:pStyle w:val="TextBody"/>
        <w:bidi w:val="0"/>
        <w:spacing w:before="0" w:after="0"/>
        <w:ind w:left="547" w:right="0" w:hanging="0"/>
        <w:jc w:val="left"/>
        <w:rPr/>
      </w:pPr>
      <w:r>
        <w:rPr/>
        <w:t>●</w:t>
      </w:r>
      <w:r>
        <w:rPr>
          <w:rFonts w:ascii="Times New Roman;Times;serif" w:hAnsi="Times New Roman;Times;serif"/>
          <w:sz w:val="20"/>
        </w:rPr>
        <w:t>the cost of clinical trials of our product candidates being greater than we anticipate, or we may have insufficient funds for a clinical trial or to pay the substantial user fees required by the FDA upon the filing of a BLA;</w:t>
      </w:r>
    </w:p>
    <w:p>
      <w:pPr>
        <w:pStyle w:val="TextBody"/>
        <w:bidi w:val="0"/>
        <w:spacing w:before="0" w:after="0"/>
        <w:ind w:left="547" w:right="0" w:hanging="0"/>
        <w:jc w:val="left"/>
        <w:rPr/>
      </w:pPr>
      <w:r>
        <w:rPr/>
        <w:t>●</w:t>
      </w:r>
      <w:r>
        <w:rPr>
          <w:rFonts w:ascii="Times New Roman;Times;serif" w:hAnsi="Times New Roman;Times;serif"/>
          <w:sz w:val="20"/>
        </w:rPr>
        <w:t>clinical trials of our product candidates producing negative or inconclusive results may fail to provide sufficient data and information to support product approval, or our studies may fail to reach the necessary level of statistical or clinical significance, which may result in our deciding, or regulators requiring us, to conduct additional clinical trials studies, or preclinical studies, or abandon product development programs;</w:t>
      </w:r>
    </w:p>
    <w:p>
      <w:pPr>
        <w:pStyle w:val="TextBody"/>
        <w:bidi w:val="0"/>
        <w:spacing w:before="0" w:after="0"/>
        <w:ind w:left="547" w:right="0" w:hanging="0"/>
        <w:jc w:val="left"/>
        <w:rPr/>
      </w:pPr>
      <w:r>
        <w:rPr/>
        <w:t>●</w:t>
      </w:r>
      <w:r>
        <w:rPr>
          <w:rFonts w:ascii="Times New Roman;Times;serif" w:hAnsi="Times New Roman;Times;serif"/>
          <w:sz w:val="20"/>
        </w:rPr>
        <w:t>early results from our clinical trials of our product candidates may be negatively affected by changes in efficacy measures such as overall response rate and duration of response as more patients are enrolled in our clinical trials or as new cohorts of our clinical trials are tested, and overall response rate and duration of response may be negatively affected by the inclusion of unconfirmed responses in preliminary results that we report if such responses are not later confirmed;</w:t>
      </w:r>
    </w:p>
    <w:p>
      <w:pPr>
        <w:pStyle w:val="TextBody"/>
        <w:bidi w:val="0"/>
        <w:spacing w:before="0" w:after="0"/>
        <w:ind w:left="547" w:right="0" w:hanging="0"/>
        <w:jc w:val="left"/>
        <w:rPr/>
      </w:pPr>
      <w:r>
        <w:rPr/>
        <w:t>●</w:t>
      </w:r>
      <w:r>
        <w:rPr>
          <w:rFonts w:ascii="Times New Roman;Times;serif" w:hAnsi="Times New Roman;Times;serif"/>
          <w:sz w:val="20"/>
        </w:rPr>
        <w:t>we may not be able to demonstrate that a product candidate provides an advantage over current standards of care or current or future competitive therapies in development;</w:t>
      </w:r>
    </w:p>
    <w:p>
      <w:pPr>
        <w:pStyle w:val="TextBody"/>
        <w:bidi w:val="0"/>
        <w:spacing w:before="0" w:after="0"/>
        <w:ind w:left="547" w:right="0" w:hanging="0"/>
        <w:jc w:val="left"/>
        <w:rPr/>
      </w:pPr>
      <w:r>
        <w:rPr/>
        <w:t>●</w:t>
      </w:r>
      <w:r>
        <w:rPr>
          <w:rFonts w:ascii="Times New Roman;Times;serif" w:hAnsi="Times New Roman;Times;serif"/>
          <w:sz w:val="20"/>
        </w:rPr>
        <w:t>there may be changes to the therapeutics or their regulatory status which we are administering in combination with our product candidates;</w:t>
      </w:r>
    </w:p>
    <w:tbl>
      <w:tblPr>
        <w:tblW w:w="6216" w:type="dxa"/>
        <w:jc w:val="left"/>
        <w:tblInd w:w="0" w:type="dxa"/>
        <w:tblLayout w:type="fixed"/>
        <w:tblCellMar>
          <w:top w:w="28" w:type="dxa"/>
          <w:left w:w="28" w:type="dxa"/>
          <w:bottom w:w="28" w:type="dxa"/>
          <w:right w:w="28" w:type="dxa"/>
        </w:tblCellMar>
      </w:tblPr>
      <w:tblGrid>
        <w:gridCol w:w="124"/>
        <w:gridCol w:w="256"/>
        <w:gridCol w:w="5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patient enrollment due to the ongoing COVID-19 pandemic;</w:t>
            </w:r>
          </w:p>
        </w:tc>
      </w:tr>
    </w:tbl>
    <w:p>
      <w:pPr>
        <w:pStyle w:val="TextBody"/>
        <w:bidi w:val="0"/>
        <w:spacing w:before="0" w:after="0"/>
        <w:ind w:left="547" w:right="0" w:hanging="0"/>
        <w:jc w:val="left"/>
        <w:rPr/>
      </w:pPr>
      <w:r>
        <w:rPr/>
        <w:t>●</w:t>
      </w:r>
      <w:r>
        <w:rPr>
          <w:rFonts w:ascii="Times New Roman;Times;serif" w:hAnsi="Times New Roman;Times;serif"/>
          <w:sz w:val="20"/>
        </w:rPr>
        <w:t>the FDA or comparable foreign regulatory authorities may fail to approve or subsequently find fault with the manufacturing processes or our manufacturing facilities for clinical and future commercial supplies;</w:t>
      </w:r>
    </w:p>
    <w:p>
      <w:pPr>
        <w:pStyle w:val="TextBody"/>
        <w:bidi w:val="0"/>
        <w:spacing w:before="0" w:after="0"/>
        <w:ind w:left="547" w:right="0" w:hanging="0"/>
        <w:jc w:val="left"/>
        <w:rPr/>
      </w:pPr>
      <w:r>
        <w:rPr/>
        <w:t>●</w:t>
      </w:r>
      <w:r>
        <w:rPr>
          <w:rFonts w:ascii="Times New Roman;Times;serif" w:hAnsi="Times New Roman;Times;serif"/>
          <w:sz w:val="20"/>
        </w:rPr>
        <w:t>the FDA or comparable regulatory authorities may take longer than we anticipate making a decision on our product candidates;</w:t>
      </w:r>
    </w:p>
    <w:p>
      <w:pPr>
        <w:pStyle w:val="TextBody"/>
        <w:bidi w:val="0"/>
        <w:spacing w:before="0" w:after="0"/>
        <w:ind w:left="547" w:right="0" w:hanging="0"/>
        <w:jc w:val="left"/>
        <w:rPr/>
      </w:pPr>
      <w:r>
        <w:rPr/>
        <w:t>●</w:t>
      </w:r>
      <w:r>
        <w:rPr>
          <w:rFonts w:ascii="Times New Roman;Times;serif" w:hAnsi="Times New Roman;Times;serif"/>
          <w:sz w:val="20"/>
        </w:rPr>
        <w:t>transfer of our manufacturing processes to our CMOs or other larger-scale facilities operated by a CMO or by us and delays or failure by our CMOs or us to make any necessary changes to such manufacturing process;</w:t>
      </w:r>
    </w:p>
    <w:p>
      <w:pPr>
        <w:pStyle w:val="TextBody"/>
        <w:bidi w:val="0"/>
        <w:spacing w:before="0" w:after="0"/>
        <w:ind w:left="547" w:right="0" w:hanging="0"/>
        <w:jc w:val="left"/>
        <w:rPr/>
      </w:pPr>
      <w:r>
        <w:rPr/>
        <w:t>●</w:t>
      </w:r>
      <w:r>
        <w:rPr>
          <w:rFonts w:ascii="Times New Roman;Times;serif" w:hAnsi="Times New Roman;Times;serif"/>
          <w:sz w:val="20"/>
        </w:rPr>
        <w:t>our use of different manufacturing processes within our clinical trials, including our Gen 1 and Gen 2 manufacturing processes, and any effects that may result from the use of different processes on the clinical data that we have reported and will report in the future; and</w:t>
      </w:r>
    </w:p>
    <w:p>
      <w:pPr>
        <w:pStyle w:val="TextBody"/>
        <w:bidi w:val="0"/>
        <w:ind w:left="547" w:right="0" w:hanging="0"/>
        <w:jc w:val="left"/>
        <w:rPr/>
      </w:pPr>
      <w:r>
        <w:rPr/>
        <w:t>●</w:t>
      </w:r>
      <w:r>
        <w:rPr>
          <w:rFonts w:ascii="Times New Roman;Times;serif" w:hAnsi="Times New Roman;Times;serif"/>
          <w:sz w:val="20"/>
        </w:rPr>
        <w:t>delays in manufacturing, testing, releasing, validating, or importing/exporting sufficient stable quantities of our product candidates for use in clinical trials or the inability to do any of the foregoing, including as a result of any quality issues associated with the contract manufacturer.</w:t>
      </w:r>
    </w:p>
    <w:p>
      <w:pPr>
        <w:pStyle w:val="TextBody"/>
        <w:bidi w:val="0"/>
        <w:spacing w:before="0" w:after="180"/>
        <w:ind w:left="0" w:right="0" w:firstLine="547"/>
        <w:jc w:val="left"/>
        <w:rPr>
          <w:rFonts w:ascii="Times New Roman;Times;serif" w:hAnsi="Times New Roman;Times;serif"/>
          <w:sz w:val="20"/>
        </w:rPr>
      </w:pPr>
      <w:r>
        <w:rPr>
          <w:rFonts w:ascii="Times New Roman;Times;serif" w:hAnsi="Times New Roman;Times;serif"/>
          <w:sz w:val="20"/>
        </w:rPr>
        <w:t>We also may conduct clinical and preclinical research in collaboration with other academic, pharmaceutical, biotechnology and biologics entities in which we combine our technologies with those of our collaborators. Such collaborations may be subject to additional delays because of the management of the clinical trials, contract negotiations, the need to obtain agreement from multiple parties, and the necessity of obtaining additional approvals for therapeutics used in the combination clinical trials. These combination therapies will require additional testing and clinical trials will require additional FDA regulatory approval and will increase our future cost of expenses.</w:t>
      </w:r>
    </w:p>
    <w:p>
      <w:pPr>
        <w:pStyle w:val="TextBody"/>
        <w:bidi w:val="0"/>
        <w:spacing w:before="0" w:after="180"/>
        <w:ind w:left="0" w:right="0" w:firstLine="547"/>
        <w:jc w:val="left"/>
        <w:rPr>
          <w:rFonts w:ascii="Times New Roman;Times;serif" w:hAnsi="Times New Roman;Times;serif"/>
          <w:sz w:val="20"/>
        </w:rPr>
      </w:pPr>
      <w:r>
        <w:rPr>
          <w:rFonts w:ascii="Times New Roman;Times;serif" w:hAnsi="Times New Roman;Times;serif"/>
          <w:sz w:val="20"/>
        </w:rPr>
        <w:t>Any inability to successfully complete preclinical and clinical development could result in additional costs to us or impair our ability to generate revenue. In addition, if we make manufacturing changes to our product candidates, we may be required to, or we may elect to, conduct additional studies to bridge our modified product candidates to earlier versions. These changes may require FDA approval or notification, may not have their desired effect, or the FDA may not accept data from prior versions of the product to support an application, delaying our clinical trials or programs or necessitating additional clinical trials or preclinical studies. For example, while our first BLA submission includes our Gen 2 manufacturing process, in the future we may seek to commercialize other manufacturing processes, such as our Gen 3 manufacturing process or our PD-1 selected TIL manufacturing process. We may find that commercialization of these manufacturing processes has unintended consequences that necessitate additional development and manufacturing work or additional clinical trials and preclinical studies, or results in non-approval of a BLA.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0" w:right="0" w:firstLine="547"/>
        <w:jc w:val="left"/>
        <w:rPr>
          <w:rFonts w:ascii="Times New Roman;Times;serif" w:hAnsi="Times New Roman;Times;serif"/>
          <w:sz w:val="20"/>
        </w:rPr>
      </w:pPr>
      <w:r>
        <w:rPr>
          <w:rFonts w:ascii="Times New Roman;Times;serif" w:hAnsi="Times New Roman;Times;serif"/>
          <w:sz w:val="20"/>
        </w:rPr>
        <w:t>Clinical trial delays could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pStyle w:val="TextBody"/>
        <w:bidi w:val="0"/>
        <w:spacing w:before="0" w:after="180"/>
        <w:ind w:left="0" w:right="0" w:firstLine="547"/>
        <w:jc w:val="left"/>
        <w:rPr>
          <w:rFonts w:ascii="Times New Roman;Times;serif" w:hAnsi="Times New Roman;Times;serif"/>
          <w:sz w:val="20"/>
        </w:rPr>
      </w:pPr>
      <w:r>
        <w:rPr>
          <w:rFonts w:ascii="Times New Roman;Times;serif" w:hAnsi="Times New Roman;Times;serif"/>
          <w:sz w:val="20"/>
        </w:rPr>
        <w:t>Regulatory authorities have substantial discretion in the approval process and may refuse to accept any application or may decide that our data are insufficient for approval and require additional preclinical, clinical or other studies. The number and types of preclinical studies and clinical trials that will be required for regulatory approval also varies depending on the product candidate, the disease or condition that the product candidate is designed to address, and the regulations applicable to any particular product candidate. Approval policies, regulations or the type and amount of clinical data necessary to gain approval may change during the course of a product candidate’s clinical development and may vary among jurisdictions. It is possible that any product candidates we may seek to develop in the future will never obtain the appropriate regulatory approvals necessary for us or any future collaborators to commence product sales. Any delay in completing development, obtaining or failure to obtain required approvals could also materially adversely affect our ability or that of any of our collaborators to generate revenue from any such product candidate, which likely would result in significant harm to our financial position and adversely impact our stock price.</w:t>
      </w:r>
    </w:p>
    <w:p>
      <w:pPr>
        <w:pStyle w:val="TextBody"/>
        <w:bidi w:val="0"/>
        <w:spacing w:before="0" w:after="180"/>
        <w:ind w:left="0" w:right="0" w:firstLine="547"/>
        <w:jc w:val="left"/>
        <w:rPr>
          <w:rFonts w:ascii="Times New Roman;Times;serif" w:hAnsi="Times New Roman;Times;serif"/>
          <w:b/>
          <w:i/>
          <w:sz w:val="20"/>
        </w:rPr>
      </w:pPr>
      <w:r>
        <w:rPr>
          <w:rFonts w:ascii="Times New Roman;Times;serif" w:hAnsi="Times New Roman;Times;serif"/>
          <w:b/>
          <w:i/>
          <w:sz w:val="20"/>
        </w:rPr>
        <w:t xml:space="preserve">It may take longer and cost more to complete our clinical trials than we project, or we may not be able to complete them at all. </w:t>
      </w:r>
    </w:p>
    <w:p>
      <w:pPr>
        <w:pStyle w:val="TextBody"/>
        <w:bidi w:val="0"/>
        <w:spacing w:before="0" w:after="180"/>
        <w:ind w:left="0" w:right="0" w:firstLine="547"/>
        <w:jc w:val="left"/>
        <w:rPr>
          <w:rFonts w:ascii="Times New Roman;Times;serif" w:hAnsi="Times New Roman;Times;serif"/>
          <w:sz w:val="20"/>
        </w:rPr>
      </w:pPr>
      <w:r>
        <w:rPr>
          <w:rFonts w:ascii="Times New Roman;Times;serif" w:hAnsi="Times New Roman;Times;serif"/>
          <w:sz w:val="20"/>
        </w:rPr>
        <w:t>For budgeting and planning purposes, we have projected the date for the commencement of future clinical trials, and continuation and completion of our ongoing clinical trials. However, a number of factors, including scheduling conflicts with participating clinicians and clinical institutions, difficulties in identifying and enrolling patients who meet clinical trial eligibility criteria, and the ongoing COVID-19 pandemic, may cause significant delays. We may not commence or complete clinical trials involving any of our products as projected or may not conduct them successfully.</w:t>
      </w:r>
    </w:p>
    <w:p>
      <w:pPr>
        <w:pStyle w:val="TextBody"/>
        <w:bidi w:val="0"/>
        <w:spacing w:before="0" w:after="180"/>
        <w:ind w:left="0" w:right="0" w:firstLine="547"/>
        <w:jc w:val="left"/>
        <w:rPr>
          <w:rFonts w:ascii="Times New Roman;Times;serif" w:hAnsi="Times New Roman;Times;serif"/>
          <w:sz w:val="20"/>
        </w:rPr>
      </w:pPr>
      <w:r>
        <w:rPr>
          <w:rFonts w:ascii="Times New Roman;Times;serif" w:hAnsi="Times New Roman;Times;serif"/>
          <w:sz w:val="20"/>
        </w:rPr>
        <w:t xml:space="preserve">We are currently enrolling six company-sponsored clinical trials to assess the overall safety and efficacy of Iovance TIL monotherapy and TIL combinations in patients with melanoma, cervical, head and neck and lung cancers across late-line and early treatment settings, as well as our genetically modified TIL therapy IOV-4001 and our peripheral blood lymphocyte, or PBL, technology for hematological malignancies. However, we may experience difficulties in patient enrollment in our clinical trials for a variety of reasons. Our ability to enroll or treat patients in our other studies, or the duration or costs of those studies, could be affected by multiple factors, including, preliminary clinical results, which may include efficacy and safety results from our ongoing Phase 2 studies, but may not be reflected in the final analyses of these clinical trials. </w:t>
      </w:r>
    </w:p>
    <w:p>
      <w:pPr>
        <w:pStyle w:val="TextBody"/>
        <w:bidi w:val="0"/>
        <w:spacing w:before="0" w:after="180"/>
        <w:ind w:left="0" w:right="0" w:firstLine="547"/>
        <w:jc w:val="left"/>
        <w:rPr>
          <w:rFonts w:ascii="Times New Roman;Times;serif" w:hAnsi="Times New Roman;Times;serif"/>
          <w:sz w:val="20"/>
        </w:rPr>
      </w:pPr>
      <w:r>
        <w:rPr>
          <w:rFonts w:ascii="Times New Roman;Times;serif" w:hAnsi="Times New Roman;Times;serif"/>
          <w:sz w:val="20"/>
        </w:rPr>
        <w:t>For example, our current clinical trials utilize an “open-label” trial design. An open-label trial is one where both the patient and investigator know whether the patient is receiving the test article or either an existing approved drug or placebo, which has the potential to create selection bias in the investigators. In our Phase 2 open-label studies, the investigators have significant discretion over the selection of patient participants. Although preliminary data from certain clinical trials were generally positive, that data may not necessarily be representative of interim or final results, as new patients are cycled through the applicable treatment regimes. As the clinical trials continue, the investigators may prioritize patients with more progressed forms of cancer than the initial patient population, based on the success or perceived success of that initial population. Patients with more progressed forms of cancer may be less responsive to treatment, and accordingly, interim efficacy data may show a decline in patient response rate or other assessment metrics. As the trials continue, investigators may shift their approach to the patient population, which may ultimately result in a decline in both interim and final efficacy data from the preliminary data, or conversely, an increase in final efficacy data following a decline in the interim efficacy data, as patients with more progressed forms of cancer are cycled out of the clinical trials and replaced by patients with less advanced forms of cancer. This opportunity for investigator selection bias in our clinical trials as a result of open-label design may not be adequately handled and may cause a decline in or distortion of clinical trial data from our preliminary results. Depending on the outcome of our open-label studies, we may need to conduct one or more follow-up or supporting studies in order to successfully develop our products for FDA approval. Many companies in the biotechnology, pharmaceutical and medical device industries have suffered significant setbacks in late-stage clinical trials after achieving positive results in earlier development, and we cannot be certain that we will not face such setbacks.</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Furthermore, the timely completion of clinical trials in accordance with their protocols depends, among other things, on our ability to enroll a sufficient number of patients who remain in the clinical trial until its conclusion, including the ability of us or our collaborators to conduct clinical trials under the constraints of the COVID-19 pandemic. 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clinical trials may instead opt to enroll in a clinical trial being conducted by one of our competitors. Accordingly, we cannot guarantee that the clinical trial will progress as planned or as scheduled. Delays in patient enrollment may result in increased costs or may affect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timing or outcome of our ongoing clinical trial and planned clinical trials, which could prevent completion of these clinical trials and adversely affect our ability to advance the development of our product candidates.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expect to rely on medical institutions, academic institutions or CROs to conduct, supervise or monitor some or all aspects of clinical trials involving our products. We will have less control over the timing and other aspects of these clinical trials than if we conducted them entirely on our own. If we fail to commence or complete, or experience delays in, any of our planned clinical trials, our stock price and our ability to conduct our business as currently planned could be harmed.</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We currently anticipate that we will have to rely on our CMOs to supplement the manufacturing capacity at the </w:t>
      </w:r>
      <w:r>
        <w:rPr>
          <w:rFonts w:ascii="Times New Roman;Times;serif" w:hAnsi="Times New Roman;Times;serif"/>
          <w:i/>
          <w:sz w:val="20"/>
        </w:rPr>
        <w:t>i</w:t>
      </w:r>
      <w:r>
        <w:rPr>
          <w:rFonts w:ascii="Times New Roman;Times;serif" w:hAnsi="Times New Roman;Times;serif"/>
          <w:sz w:val="20"/>
        </w:rPr>
        <w:t>CTC in manufacturing our adoptive cell therapy and biologic products for clinical trials. If they fail to commence or complete, or experiences delays in, manufacturing our adoptive cell therapy and other biologic products, our planned clinical trials will be delayed, which will adversely affect our stock price and our ability to conduct our business as currently planned.</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Clinical trials are expensive, time-consuming and difficult to design and implement, and our clinical trial costs may be higher than for more conventional therapeutic technologies or drug products.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Clinical trials are expensive and difficult to design and implement, in part because they are subject to rigorous regulatory requirements. Because our product candidates include candidates based on new cell therapy technologies and manufactured on a patient-by-patient basis, we expect that they will require extensive research and development and have substantial manufacturing costs. In addition, costs to treat patients with relapsed/refractory cancer and to treat potential side effects that may result from our product candidates can be significant. Some clinical trial sites may not bill, or obtain coverage from Medicare, Medicaid, or other third-party payors for some or all of these costs for patients enrolled in our clinical trials, and we may be required by those clinical trial sites to pay such costs. Accordingly, our clinical trial costs are likely to be significantly higher per patient than those of more conventional therapeutic technologies or drug products. In addition, our proposed personalized product candidates involve several complex and costly manufacturing and processing steps, the costs of which will be borne by us. We are also responsible for the manufacturing costs of products for patients that may have a tumor resection but ultimately do not receive an infusion. Depending on the number of patients that we ultimately screen and enroll in our clinical trials, and the number of clinical trials that we may need to conduct, our overall clinical trial costs may be higher than for more conventional treatments.</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Our clinical trials may fail to demonstrate adequately the safety and efficacy of our product candidates, which would prevent or delay regulatory approval and commercialization.</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clinical trials of our product candidates are, and the manufacturing and marketing of our products will be, subject to extensive and rigorous review and regulation by numerous government authorities in the U.S.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Because our product candidates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The risk/benefit profile required for product licensure will vary depending on these factors and may include not only the ability to show tumor shrinkage, but also adequate duration of response, a delay in the progression of the disease, and/or an improvement in survival. For example, response rates from the use of our product candidates may not be sufficient to obtain regulatory approval unless we can also show an adequate duration of response. Regulatory authorities may ultimately disagree with our chosen endpoints or may find that our studies or clinical trial results do not support product approval. Clinical testing is expensive and can take many years to complete, and its outcome is inherently uncertain. Failure can occur at any time during the clinical trial process. The results of preclinical studies and early clinical trials of our product candidates with small patient populations may not be predictive of the results of later-stage clinical trials or the results once the applicable clinical trials are completed. Preliminary, single cohort, or top-line results from clinical trials may not be representative of the final clinical trial results. The results of studies in one set of patients or line of treatment may not be predictive of those obtained in another and the results in various human clinical trials reported in scientific and medical literature may not be indicative of results we obtain in our clinical trials. 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We expect there may be greater variability in results for products processed and administered on a patient-by-patient basis, as anticipated for our product candidates, than for “off-the-shelf” products, like many other drugs. There is typically an extremely high rate of attrition from the failure of product candidates proceeding through clinical trials. Product candidates in later stages of clinical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trials may fail to show the desired safety and efficacy profile despite having progressed through preclinical studies and initial clinical trials. Many companies in the biopharmaceutical industry have suffered significant setbacks in advanced clinical trials due to lack of efficacy or unacceptable safety issues, notwithstanding promising results in earlier clinical trials. Most product candidates that begin clinical trials are never approved by regulatory authorities for commercialization.</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 some instances, there can be significant variability in safety or efficacy results between different clinical trials of the same product candidate due to numerous factors, including changes in clinical trial procedures set forth in protocols, differences in the size and type of the patient populations, changes in and adherence to the clinical trial protocols and the rate of dropout among clinical trial participants. Our current and future clinical trial results may not be successful. Moreover, should there be a flaw in a clinical trial, it may not become apparent until the clinical trial is well advanced. Further, because we currently plan to test our product candidates for use with other oncology products, the design, implementation, and interpretation of the clinical trials necessary for marketing approval may be more complex than if we were developing our product candidates alone.</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 addition, even if such clinical trials are successfully completed, we cannot guarantee that the FDA or foreign regulatory authorities will interpret the results as we do, and more clinical trials could be required before we submit our product candidates for approval. To the extent that the results of the clinical trials are not satisfactory to the FDA or foreign regulatory authorities for support of a marketing application, we may be required to expend significant resources, which may not be available to us, to conduct additional clinical trials in support of potential approval of our product candidates.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have reported preliminary results for clinical trials of our product candidates, including TIL for the treatment of metastatic melanoma, non-small cell lung cancer, cervical cancer, and head and neck cancers. These preliminary results, which include assessments of efficacy such as ORR, are subject to substantial risk of change due to small sample sizes and may change as patients are evaluated or as additional patients are enrolled in these clinical trials. These outcomes may be unfavorable, deviate from our earlier reports, and/or delay or prevent regulatory approval or commercialization of our product candidates, including candidates for which we have reported preliminary efficacy results. In clinical trials where a staged expansion is expected, such as studies using a Simon’s two stage design, these outcomes may result in the failure to meet an initial efficacy threshold for the first stage. Furthermore, other measures of efficacy for these clinical trials and product candidates may not be as favorable.</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If we encounter difficulties enrolling patients in our clinical trials, our clinical development activities could be delayed or otherwise adversely affected.</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timely completion of clinical trials in accordance with their protocols depends, among other things, on our ability to enroll a sufficient number of patients, or similar patients from a Phase 2 clinical trial to a pivotal program, who remain in the clinical trial until its conclusion. We may experience difficulties or delays in patient enrollment in our clinical trials for a variety of reasons, including:</w:t>
      </w:r>
    </w:p>
    <w:p>
      <w:pPr>
        <w:pStyle w:val="TextBody"/>
        <w:bidi w:val="0"/>
        <w:spacing w:before="0" w:after="96"/>
        <w:ind w:left="547" w:right="0" w:hanging="0"/>
        <w:jc w:val="left"/>
        <w:rPr/>
      </w:pPr>
      <w:r>
        <w:rPr/>
        <w:t>●</w:t>
      </w:r>
      <w:r>
        <w:rPr>
          <w:rFonts w:ascii="Times New Roman;Times;serif" w:hAnsi="Times New Roman;Times;serif"/>
          <w:sz w:val="20"/>
        </w:rPr>
        <w:t>the size and nature of the patient population;</w:t>
      </w:r>
    </w:p>
    <w:p>
      <w:pPr>
        <w:pStyle w:val="TextBody"/>
        <w:bidi w:val="0"/>
        <w:spacing w:before="0" w:after="96"/>
        <w:ind w:left="547" w:right="0" w:hanging="0"/>
        <w:jc w:val="left"/>
        <w:rPr/>
      </w:pPr>
      <w:r>
        <w:rPr/>
        <w:t>●</w:t>
      </w:r>
      <w:r>
        <w:rPr>
          <w:rFonts w:ascii="Times New Roman;Times;serif" w:hAnsi="Times New Roman;Times;serif"/>
          <w:sz w:val="20"/>
        </w:rPr>
        <w:t>the severity of the disease under investigation;</w:t>
      </w:r>
    </w:p>
    <w:p>
      <w:pPr>
        <w:pStyle w:val="TextBody"/>
        <w:bidi w:val="0"/>
        <w:spacing w:before="0" w:after="96"/>
        <w:ind w:left="547" w:right="0" w:hanging="0"/>
        <w:jc w:val="left"/>
        <w:rPr/>
      </w:pPr>
      <w:r>
        <w:rPr/>
        <w:t>●</w:t>
      </w:r>
      <w:r>
        <w:rPr>
          <w:rFonts w:ascii="Times New Roman;Times;serif" w:hAnsi="Times New Roman;Times;serif"/>
          <w:sz w:val="20"/>
        </w:rPr>
        <w:t>the patient eligibility criteria defined in the protocol;</w:t>
      </w:r>
    </w:p>
    <w:p>
      <w:pPr>
        <w:pStyle w:val="TextBody"/>
        <w:bidi w:val="0"/>
        <w:spacing w:before="0" w:after="96"/>
        <w:ind w:left="547" w:right="0" w:hanging="0"/>
        <w:jc w:val="left"/>
        <w:rPr/>
      </w:pPr>
      <w:r>
        <w:rPr/>
        <w:t>●</w:t>
      </w:r>
      <w:r>
        <w:rPr>
          <w:rFonts w:ascii="Times New Roman;Times;serif" w:hAnsi="Times New Roman;Times;serif"/>
          <w:sz w:val="20"/>
        </w:rPr>
        <w:t>the size of the clinical trial population required for analysis of the clinical trial’s primary endpoints;</w:t>
      </w:r>
    </w:p>
    <w:p>
      <w:pPr>
        <w:pStyle w:val="TextBody"/>
        <w:bidi w:val="0"/>
        <w:spacing w:before="0" w:after="96"/>
        <w:ind w:left="547" w:right="0" w:hanging="0"/>
        <w:jc w:val="left"/>
        <w:rPr/>
      </w:pPr>
      <w:r>
        <w:rPr/>
        <w:t>●</w:t>
      </w:r>
      <w:r>
        <w:rPr>
          <w:rFonts w:ascii="Times New Roman;Times;serif" w:hAnsi="Times New Roman;Times;serif"/>
          <w:sz w:val="20"/>
        </w:rPr>
        <w:t>the proximity of patients to clinical trial sites;</w:t>
      </w:r>
    </w:p>
    <w:p>
      <w:pPr>
        <w:pStyle w:val="TextBody"/>
        <w:bidi w:val="0"/>
        <w:spacing w:before="0" w:after="96"/>
        <w:ind w:left="547" w:right="0" w:hanging="0"/>
        <w:jc w:val="left"/>
        <w:rPr/>
      </w:pPr>
      <w:r>
        <w:rPr/>
        <w:t>●</w:t>
      </w:r>
      <w:r>
        <w:rPr>
          <w:rFonts w:ascii="Times New Roman;Times;serif" w:hAnsi="Times New Roman;Times;serif"/>
          <w:sz w:val="20"/>
        </w:rPr>
        <w:t>the design of the clinical trial;</w:t>
      </w:r>
    </w:p>
    <w:p>
      <w:pPr>
        <w:pStyle w:val="TextBody"/>
        <w:bidi w:val="0"/>
        <w:spacing w:before="0" w:after="96"/>
        <w:ind w:left="547" w:right="0" w:hanging="0"/>
        <w:jc w:val="left"/>
        <w:rPr/>
      </w:pPr>
      <w:r>
        <w:rPr/>
        <w:t>●</w:t>
      </w:r>
      <w:r>
        <w:rPr>
          <w:rFonts w:ascii="Times New Roman;Times;serif" w:hAnsi="Times New Roman;Times;serif"/>
          <w:sz w:val="20"/>
        </w:rPr>
        <w:t>our ability to recruit clinical trial investigators with the appropriate competencies and experience;</w:t>
      </w:r>
    </w:p>
    <w:p>
      <w:pPr>
        <w:pStyle w:val="TextBody"/>
        <w:bidi w:val="0"/>
        <w:spacing w:before="0" w:after="96"/>
        <w:ind w:left="547" w:right="0" w:hanging="0"/>
        <w:jc w:val="left"/>
        <w:rPr/>
      </w:pPr>
      <w:r>
        <w:rPr/>
        <w:t>●</w:t>
      </w:r>
      <w:r>
        <w:rPr>
          <w:rFonts w:ascii="Times New Roman;Times;serif" w:hAnsi="Times New Roman;Times;serif"/>
          <w:sz w:val="20"/>
        </w:rPr>
        <w:t>the efforts to facilitate timely enrollment in clinical trials and the effectiveness of recruiting publicity;</w:t>
      </w:r>
    </w:p>
    <w:p>
      <w:pPr>
        <w:pStyle w:val="TextBody"/>
        <w:bidi w:val="0"/>
        <w:spacing w:before="0" w:after="96"/>
        <w:ind w:left="547" w:right="0" w:hanging="0"/>
        <w:jc w:val="left"/>
        <w:rPr/>
      </w:pPr>
      <w:r>
        <w:rPr/>
        <w:t>●</w:t>
      </w:r>
      <w:r>
        <w:rPr>
          <w:rFonts w:ascii="Times New Roman;Times;serif" w:hAnsi="Times New Roman;Times;serif"/>
          <w:sz w:val="20"/>
        </w:rPr>
        <w:t>the patient referral practices of physicians;</w:t>
      </w:r>
    </w:p>
    <w:p>
      <w:pPr>
        <w:pStyle w:val="TextBody"/>
        <w:bidi w:val="0"/>
        <w:spacing w:before="0" w:after="96"/>
        <w:ind w:left="547" w:right="0" w:hanging="0"/>
        <w:jc w:val="left"/>
        <w:rPr/>
      </w:pPr>
      <w:r>
        <w:rPr/>
        <w:t>●</w:t>
      </w:r>
      <w:r>
        <w:rPr>
          <w:rFonts w:ascii="Times New Roman;Times;serif" w:hAnsi="Times New Roman;Times;serif"/>
          <w:sz w:val="20"/>
        </w:rPr>
        <w:t>competing clinical trials for similar therapies or other new therapeutics not involving cell-based immunotherapy;</w:t>
      </w:r>
    </w:p>
    <w:p>
      <w:pPr>
        <w:pStyle w:val="TextBody"/>
        <w:bidi w:val="0"/>
        <w:spacing w:before="0" w:after="96"/>
        <w:ind w:left="547" w:right="0" w:hanging="0"/>
        <w:jc w:val="left"/>
        <w:rPr/>
      </w:pPr>
      <w:r>
        <w:rPr/>
        <w:t>●</w:t>
      </w:r>
      <w:r>
        <w:rPr>
          <w:rFonts w:ascii="Times New Roman;Times;serif" w:hAnsi="Times New Roman;Times;serif"/>
          <w:sz w:val="20"/>
        </w:rPr>
        <w:t>clinicians’ and patients’ perceptions as to the potential advantages and side effects of the product candidate being studied in relation to other available therapies, including any new drugs or treatments that may be approved for the indications we are investigating;</w:t>
      </w:r>
    </w:p>
    <w:p>
      <w:pPr>
        <w:pStyle w:val="TextBody"/>
        <w:bidi w:val="0"/>
        <w:ind w:left="547" w:right="0" w:hanging="0"/>
        <w:jc w:val="left"/>
        <w:rPr/>
      </w:pPr>
      <w:r>
        <w:rPr/>
        <w:t>●</w:t>
      </w:r>
      <w:r>
        <w:rPr>
          <w:rFonts w:ascii="Times New Roman;Times;serif" w:hAnsi="Times New Roman;Times;serif"/>
          <w:sz w:val="20"/>
        </w:rPr>
        <w:t>clinical investigators enrolling patients who do not meet the enrollment criteria, requiring the inclusion of additional patients in the clinical trial;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ongoing COVID-19 pandemic limiting our access to patients who would otherwise be eligible for enrollment, including treatment-naïve patients who may be more likely to seek standard of care therapies available at local treatment centers rather than enroll in a clinical trial at a larger hospital;</w:t>
            </w:r>
          </w:p>
        </w:tc>
      </w:tr>
    </w:tbl>
    <w:p>
      <w:pPr>
        <w:pStyle w:val="TextBody"/>
        <w:bidi w:val="0"/>
        <w:spacing w:before="0" w:after="96"/>
        <w:ind w:left="547" w:right="0" w:hanging="0"/>
        <w:jc w:val="left"/>
        <w:rPr/>
      </w:pPr>
      <w:r>
        <w:rPr/>
        <w:t>●</w:t>
      </w:r>
      <w:r>
        <w:rPr>
          <w:rFonts w:ascii="Times New Roman;Times;serif" w:hAnsi="Times New Roman;Times;serif"/>
          <w:sz w:val="20"/>
        </w:rPr>
        <w:t>approval of new indications for existing therapies or approval of new therapies in general;</w:t>
      </w:r>
    </w:p>
    <w:p>
      <w:pPr>
        <w:pStyle w:val="TextBody"/>
        <w:bidi w:val="0"/>
        <w:spacing w:before="0" w:after="96"/>
        <w:ind w:left="547" w:right="0" w:hanging="0"/>
        <w:jc w:val="left"/>
        <w:rPr/>
      </w:pPr>
      <w:r>
        <w:rPr/>
        <w:t>●</w:t>
      </w:r>
      <w:r>
        <w:rPr>
          <w:rFonts w:ascii="Times New Roman;Times;serif" w:hAnsi="Times New Roman;Times;serif"/>
          <w:sz w:val="20"/>
        </w:rPr>
        <w:t>our ability to obtain and maintain patient consents; and</w:t>
      </w:r>
    </w:p>
    <w:p>
      <w:pPr>
        <w:pStyle w:val="TextBody"/>
        <w:bidi w:val="0"/>
        <w:ind w:left="547" w:right="0" w:hanging="0"/>
        <w:jc w:val="left"/>
        <w:rPr/>
      </w:pPr>
      <w:r>
        <w:rPr/>
        <w:t>●</w:t>
      </w:r>
      <w:r>
        <w:rPr>
          <w:rFonts w:ascii="Times New Roman;Times;serif" w:hAnsi="Times New Roman;Times;serif"/>
          <w:sz w:val="20"/>
        </w:rPr>
        <w:t>the risk that patients enrolled in clinical trials will not complete a clinical trial, return for post-treatment follow-up, or follow the required clinical trial procedures. For instance, patients, including patients in any control groups, may withdraw from the clinical trial if they are not experiencing improvement in their underlying disease or condition. Withdrawal of patients from our clinical trials may compromise the quality of our data.</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clinical trials may instead opt to enroll in a trial being conducted by one of our competitors. Because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potential patients and their doctors may be inclined to use conventional therapies, such as chemotherapy and approved immunotherapies, rather than enroll patients in any future clinical trial. In addition, potential enrollees may opt to participate in other clinical trials because of the length of time between the time that their tumor is resected and the TIL is infused back into the patient. Amendments to our clinical protocols may affect enrollment in, or results of, our trials, including amendments we have made to further define the patient population to be studied.</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Even if we are able to enroll a sufficient number of patients in our clinical trials, delays in patient enrollment or small population size may result in increased costs or may affect the timing or outcome of the planned clinical trials, which could prevent completion of these clinical trials and adversely affect our ability to advance the development of our product candidates.</w:t>
      </w:r>
    </w:p>
    <w:p>
      <w:pPr>
        <w:pStyle w:val="TextBody"/>
        <w:bidi w:val="0"/>
        <w:spacing w:before="0" w:after="200"/>
        <w:ind w:left="0" w:right="0" w:firstLine="540"/>
        <w:jc w:val="left"/>
        <w:rPr>
          <w:rFonts w:ascii="Times New Roman;Times;serif" w:hAnsi="Times New Roman;Times;serif"/>
          <w:b/>
          <w:i/>
          <w:sz w:val="20"/>
        </w:rPr>
      </w:pPr>
      <w:r>
        <w:rPr>
          <w:rFonts w:ascii="Times New Roman;Times;serif" w:hAnsi="Times New Roman;Times;serif"/>
          <w:b/>
          <w:i/>
          <w:sz w:val="20"/>
        </w:rPr>
        <w:t>Our product candidates may cause undesirable side effects or have other properties that could halt their clinical development, prevent their regulatory approval, limit their commercial potential or result in significant negative consequences.*</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Results of our clinical trials could reveal a high and unacceptable severity and prevalence of side effects or unexpected characteristics. Undesirable side effects caused by our product candidates could cause us, IRBs, DSMBs, or regulatory authorities to interrupt, delay or halt clinical trials and could result in a more restrictive label or the delay or denial of regulatory approval by the FDA or other comparable foreign regulatory authorities. Even if we were to receive product approval, such approval could be contingent on inclusion of unfavorable information in our product labeling, such as limitations on the indications for use for which the products may be marketed or distributed, a label with significant safety warnings, including boxed warnings, contraindications, and precautions, a label without statements necessary or desirable for successful commercialization, or requirements for costly post marketing testing and surveillance, or other requirements, including a Risk Evaluation and Mitigations Strategy or REMS, to monitor the safety or efficacy of the products, and in turn prevent us from commercializing and generating revenues from the sale of our current or future product candidates.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If unacceptable toxicities or side effects arise in the development of our product candidates, we, an IRB, DSMB or the FDA or comparable foreign regulatory authorities could order us to cease clinical trials, order our clinical trials to be placed on clinical hold, or deny approval of our product candidates for any or all targeted indications. The FDA or comparable foreign regulatory authorities may also require additional data, clinical, or preclinical studies should unacceptable toxicities arise. We may need to abandon development or limit development of that product candidate to certain uses or subpopulations in which the undesirable side effects or other characteristics are less prevalent, less severe or more acceptable from a risk/benefit perspective. Toxicities associated with our clinical trials and products may also negatively impact our ability to conduct clinical trials using TIL therapy in larger patient populations, such as in patients that have not yet been treated with other therapies or have not yet progressed on other therapies.</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 xml:space="preserve">Treatment-related side effects could also affect patient recruitment or the ability of enrolled subjects to complete our clinical trials or result in potential product liability claims. Such toxicities, which may arise from TIL therapy in general, including co-therapies, may include, for example, thrombocytopenia, chills, anemia, pyrexia, febrile neutropenia, diarrhea, neutropenia, vomiting, hypotension, and dyspnea. For example, the update in October 2018 from the C-144-01 clinical trial included two grade 5 treatment emergent adverse events. In addition, failure to manage toxicities, adverse events or side effects and to take recommended or other precautions may result in deaths or harm to patients. Furthermore, harm to patients may not be appropriately recognized or managed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by the treating medical staff, because treatments related to personalized cell therapy are not normally encountered in the general patient population and by medical personnel. Any of these occurrences may harm our business, financial condition and prospects significantly.</w:t>
      </w:r>
    </w:p>
    <w:p>
      <w:pPr>
        <w:pStyle w:val="TextBody"/>
        <w:bidi w:val="0"/>
        <w:spacing w:before="0" w:after="200"/>
        <w:ind w:left="0" w:right="0" w:firstLine="540"/>
        <w:jc w:val="left"/>
        <w:rPr>
          <w:rFonts w:ascii="Times New Roman;Times;serif" w:hAnsi="Times New Roman;Times;serif"/>
          <w:b/>
          <w:i/>
          <w:sz w:val="20"/>
        </w:rPr>
      </w:pPr>
      <w:r>
        <w:rPr>
          <w:rFonts w:ascii="Times New Roman;Times;serif" w:hAnsi="Times New Roman;Times;serif"/>
          <w:b/>
          <w:i/>
          <w:sz w:val="20"/>
        </w:rPr>
        <w:t>The manufacture of our product candidates is complex, and we may encounter difficulties in production, particularly with respect to process development, quality control, or scaling-up of our manufacturing capabilities. If we, or any of our third-party manufacturers encounter such difficulties, our ability to provide supply of our product candidates for clinical trials or our products for patients, if approved, could be delayed or stopped, or we may be unable to maintain a commercially viable cost structure.*</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Our product candidates are biologics and the process of manufacturing our products is complex, highly regulated and subject to multiple risks. The manufacture of our product candidates involves complex processes, including harvesting tumor fragments from patients, isolating the T-cells from the tumor fragments, multiplying the T-cells to obtain the desired dose, and ultimately infusing the T-cells back into a patient. The complexities of manufacturing cell therapy products require extensive collaboration with treatment centers including the provision of patient tumor tissue for manufacture. Manufacturing is dependent on many factors including quality of the patient tumor tissue, treatment center training, and unique factors specific to autologous cell therapy manufacturing that can jeopardize the product approval, launch, scale, and capacity. As a result of the complexities, the cost to manufacture biologics is generally higher than traditional small molecule chemical compounds, and the manufacturing process is less reliable and is more difficult to reproduce. Our manufacturing process will be susceptible to product loss or failure due to logistical issues associated with the collection of tumor fragments, or starting material, from the patient, shipping such material to the manufacturing site, shipping the final product back to the patient, and infusing the patient with the product, manufacturing issues associated with the differences in patient starting material, interruptions in the manufacturing process, contamination, equipment failure, assay failures, improper installation or operation of equipment, vendor or operator error, inconsistency in cell growth, meeting pre-specified release criteria, and variability in product characteristics. Even minor deviations from normal manufacturing processes could result in reduced production yields, product defects, and other supply disruptions. If for any reason we lose a patient’s starting material, or later-developed product at any point in the process, or if any product does not meet the applicable specifications, the manufacturing process for that patient will need to be restarted, including resection of the proper amount of tumor fragment, and the resulting delay may adversely affect that patient’s outcome. If microbial, viral, environmental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Because our product candidates are manufactured specifically for each individual patient, we will be required to maintain a chain of identity and chain of custody with respect to the patient’s tumor as it moves from the patient to the manufacturing facility, through the manufacturing process, and back to the patient. Maintaining such chains of identity and chains of custody is difficult and complex, and failure to do so could result in adverse patient outcomes, loss of product, or regulatory action including withdrawal of our products from the market. Further, as product candidates are developed through preclinical studies to late-stage clinical trials towards approval and commercialization, it is common that various aspects of the development program, such as manufacturing methods, are altered along the way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 or otherwise necessitate the conduct of additional studies.</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Currently, our product candidates are manufactured using processes developed or modified by us or by our third-party research institution collaborators that we may not intend to use for more advanced clinical trials or commercialization. We have selected Gen 2 as the manufacturing process for product registration, and all ongoing and future company-sponsored clinical trials. Although we believe Gen 2 is a commercially viable process, there are risks associated with scaling to the level required for advanced clinical trials or commercialization, including, among others, cost overruns, potential problems with process scale-up, process reproducibility, stability issues, lot consistency, and timely availability of raw materials. This includes potential risks associated with the FDA not agreeing with all of the details of our validation data or other aspects of our potency assay or assays for Cohort 4 of our C-144-01 clinical trial. For example, on October 5, 2020, we announced that we and the FDA were not able to agree on the required potency assays to fully define our TIL therapy, which is required as part of a BLA submission, and that as a result of these developments, our BLA submission was not expected by the end of 2020 and was anticipated instead to occur in 2021. Previously, we reported the submission of assay data to the FDA, and on May 18, 2021, we announced that we had received regulatory feedback from the FDA regarding our potency assays for lifileucel. Following FDA feedback regarding the potency assays for lifileucel, we continued work developing and validating our potency assays and engaged in discussions with the FDA during the second half of 2021 and first quarter of 2022. Based on feedback received from these discussions, we held a pre-BLA meeting in July 2022. We initiated a rolling BLA submission for lifileucel in metastatic melanoma in August 2022 and completed the BLA submission in March 2023. The FDA accepted our BLA for lifileucel for patients with advanced melanoma in May 2023 and granted lifileucel Priority Review. The FDA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assigned November 25, 2023 as the target action date for a decision under PDUFA. In addition, as previously disclosed, we have begun a confirmatory Phase 3 clinical trial of lifileucel in combination with pembrolizumab in frontline advanced melanoma in late 2022 which we expect to utilize significant manufacturing capacity.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As a result of these challenges, we may experience delays in our clinical development and/or commercialization plans. Furthermore, we may ultimately be unable to reduce the cost of goods for our product candidates to levels that will allow for an attractive return on investment if and when those product candidates are commercialized.</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In May 2019 we entered into a lease agreement to build a commercial-scale manufacturing facility, the </w:t>
      </w:r>
      <w:r>
        <w:rPr>
          <w:rFonts w:ascii="Times New Roman;Times;serif" w:hAnsi="Times New Roman;Times;serif"/>
          <w:i/>
          <w:sz w:val="20"/>
        </w:rPr>
        <w:t>i</w:t>
      </w:r>
      <w:r>
        <w:rPr>
          <w:rFonts w:ascii="Times New Roman;Times;serif" w:hAnsi="Times New Roman;Times;serif"/>
          <w:sz w:val="20"/>
        </w:rPr>
        <w:t xml:space="preserve">CTC, in Philadelphia, Pennsylvania for commercial and clinical production of autologous TIL products, including our product candidate lifileucel. The </w:t>
      </w:r>
      <w:r>
        <w:rPr>
          <w:rFonts w:ascii="Times New Roman;Times;serif" w:hAnsi="Times New Roman;Times;serif"/>
          <w:i/>
          <w:sz w:val="20"/>
        </w:rPr>
        <w:t>i</w:t>
      </w:r>
      <w:r>
        <w:rPr>
          <w:rFonts w:ascii="Times New Roman;Times;serif" w:hAnsi="Times New Roman;Times;serif"/>
          <w:sz w:val="20"/>
        </w:rPr>
        <w:t xml:space="preserve">CTC is currently manufacturing TIL for our ongoing clinical trials and preparing to provide commercial supply upon potential BLA approval; as of the end of 2021, we had completed the commissioning activities at the </w:t>
      </w:r>
      <w:r>
        <w:rPr>
          <w:rFonts w:ascii="Times New Roman;Times;serif" w:hAnsi="Times New Roman;Times;serif"/>
          <w:i/>
          <w:sz w:val="20"/>
        </w:rPr>
        <w:t>i</w:t>
      </w:r>
      <w:r>
        <w:rPr>
          <w:rFonts w:ascii="Times New Roman;Times;serif" w:hAnsi="Times New Roman;Times;serif"/>
          <w:sz w:val="20"/>
        </w:rPr>
        <w:t>CTC and successfully initiated manufacturing of clinical batches of lifileucel and LN-145, representing our first internally manufactured TIL product, as we continue our launch readiness activities to supply commercial TIL upon potential BLA approval. We expect our manufacturing facility will provide us with enhanced control of material supply for both clinical trials and the commercial market, enable the more rapid implementation of process changes, and allow for better long-term margins. We are building the capacity to treat thousands of cancer patients annually. However, we may not be successful in finalizing the development of our own manufacturing facility or capability. We may establish multiple manufacturing facilities as we expand our commercial footprint to multiple geographies, which may lead to regulatory delays or prove costly. Even if we are successful, our manufacturing capabilities could be affected by cost-overruns, unexpected delays, equipment failures, labor shortages, natural disasters, power failures, and numerous other factors that could prevent us from realizing the intended benefits of our manufacturing strategy and have a material adverse effect on our business.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The manufacture of cell therapy products requires significant expertise and capital investment, including the development of advanced manufacturing techniques and process controls. Manufacturers of cell therapy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local and foreign regulations. The FDA may take a restrictive approach when regulating cell therapy manufacturing facilities that could result in delays, product release challenges, shortages or capacity restraints.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Our current manufacturing strategy involves the use of CMOs in conjunction with the manufacturing capacity at the </w:t>
      </w:r>
      <w:r>
        <w:rPr>
          <w:rFonts w:ascii="Times New Roman;Times;serif" w:hAnsi="Times New Roman;Times;serif"/>
          <w:i/>
          <w:sz w:val="20"/>
        </w:rPr>
        <w:t>i</w:t>
      </w:r>
      <w:r>
        <w:rPr>
          <w:rFonts w:ascii="Times New Roman;Times;serif" w:hAnsi="Times New Roman;Times;serif"/>
          <w:sz w:val="20"/>
        </w:rPr>
        <w:t xml:space="preserve">CTC. Currently our product candidates are also manufactured by WuXi Advanced Therapies, Inc, or WuXi, and H. Lee Moffitt Cancer Center, or Moffitt. Additionally, we partner with American Red Cross, or ARC, to leverage their GMP approved facilities and operate our own facility to produce feeder cells for TIL manufacturing. The process for manufacturing TIL is heavily reliant on the supply of biological raw materials and maintaining a GMP facility capable of supplying our manufacturing facilities with quality cells to make the final product. There are only a limited number of these types of facilities and sources for the materials needed by TIL therapy manufacturers. The </w:t>
      </w:r>
      <w:r>
        <w:rPr>
          <w:rFonts w:ascii="Times New Roman;Times;serif" w:hAnsi="Times New Roman;Times;serif"/>
          <w:i/>
          <w:sz w:val="20"/>
        </w:rPr>
        <w:t>i</w:t>
      </w:r>
      <w:r>
        <w:rPr>
          <w:rFonts w:ascii="Times New Roman;Times;serif" w:hAnsi="Times New Roman;Times;serif"/>
          <w:sz w:val="20"/>
        </w:rPr>
        <w:t xml:space="preserve">CTC facility and our CMOs are aseptic manufacturing facilities that operate clean rooms for the production of TIL therapies, which are subject to contamination, labor, occupational safety, regulatory, climate, and environmental risks that could interfere with production. Any problems or delays we or our CMOs experience in preparing for commercial scale manufacturing of a product candidate or component may result in a delay in the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Furthermore, if we or our commercial manufacturers fail to deliver the required commercial quantities of our product candidates on a timely basis and at reasonable costs, we would likely be unable to meet demand for our products and we would lose potential revenues.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Moreover, should we continue to use CMOs, we may not succeed in maintaining our relationships with our current CMOs or establishing relationships with additional or alternative CMOs. Our product candidates may compete with other products and product candidates for access to manufacturing facilities. There are a limited number of manufacturers that operate under cGMP regulations and that are both capable of manufacturing for us and willing to do so. If our CMOs should cease manufacturing for us, we would experience delays in obtaining sufficient quantities of our product candidates for clinical trials and, if approved, commercial supply. Further, our CMOs may breach, terminate, or not renew these agreements. If we were to need to find alternative manufacturing facilities it would significantly impact our ability to develop, obtain regulatory approval for or market our product candidates, if approved. The commercial terms of any new arrangement could be less favorable than our existing arrangements and the expenses relating to the transfer of necessary technology and processes could be significant.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Reliance on third-party manufacturers entails exposure to risks to which we would not be subject if we manufactured the product candidate ourselves, including:</w:t>
      </w:r>
    </w:p>
    <w:p>
      <w:pPr>
        <w:pStyle w:val="TextBody"/>
        <w:bidi w:val="0"/>
        <w:spacing w:before="0" w:after="0"/>
        <w:ind w:left="547" w:right="0" w:hanging="0"/>
        <w:jc w:val="left"/>
        <w:rPr/>
      </w:pPr>
      <w:r>
        <w:rPr/>
        <w:t>●</w:t>
      </w:r>
      <w:r>
        <w:rPr>
          <w:rFonts w:ascii="Times New Roman;Times;serif" w:hAnsi="Times New Roman;Times;serif"/>
          <w:sz w:val="20"/>
        </w:rPr>
        <w:t>inability to negotiate manufacturing and quality agreements with third parties under commercially reasonable terms;</w:t>
      </w:r>
    </w:p>
    <w:p>
      <w:pPr>
        <w:pStyle w:val="TextBody"/>
        <w:bidi w:val="0"/>
        <w:spacing w:before="0" w:after="96"/>
        <w:ind w:left="547" w:right="0" w:hanging="0"/>
        <w:jc w:val="left"/>
        <w:rPr/>
      </w:pPr>
      <w:r>
        <w:rPr/>
        <w:t>●</w:t>
      </w:r>
      <w:r>
        <w:rPr>
          <w:rFonts w:ascii="Times New Roman;Times;serif" w:hAnsi="Times New Roman;Times;serif"/>
          <w:sz w:val="20"/>
        </w:rPr>
        <w:t>reduced day-to-day control over the manufacturing process for our product candidates as a result of using third-party manufacturers for all aspects of manufacturing activities;</w:t>
      </w:r>
    </w:p>
    <w:p>
      <w:pPr>
        <w:pStyle w:val="TextBody"/>
        <w:bidi w:val="0"/>
        <w:spacing w:before="0" w:after="96"/>
        <w:ind w:left="547" w:right="0" w:hanging="0"/>
        <w:jc w:val="left"/>
        <w:rPr/>
      </w:pPr>
      <w:r>
        <w:rPr/>
        <w:t>●</w:t>
      </w:r>
      <w:r>
        <w:rPr>
          <w:rFonts w:ascii="Times New Roman;Times;serif" w:hAnsi="Times New Roman;Times;serif"/>
          <w:sz w:val="20"/>
        </w:rPr>
        <w:t>reduced control over the protection of our trade secrets and know-how from misappropriation or inadvertent disclosure;</w:t>
      </w:r>
    </w:p>
    <w:p>
      <w:pPr>
        <w:pStyle w:val="TextBody"/>
        <w:bidi w:val="0"/>
        <w:spacing w:before="0" w:after="96"/>
        <w:ind w:left="547" w:right="0" w:hanging="0"/>
        <w:jc w:val="left"/>
        <w:rPr/>
      </w:pPr>
      <w:r>
        <w:rPr/>
        <w:t>●</w:t>
      </w:r>
      <w:r>
        <w:rPr>
          <w:rFonts w:ascii="Times New Roman;Times;serif" w:hAnsi="Times New Roman;Times;serif"/>
          <w:sz w:val="20"/>
        </w:rPr>
        <w:t xml:space="preserve">termination or nonrenewal of manufacturing agreements with third parties in a manner or at a time that may be costly or damaging to us or result in delays in the development or commercialization of our product candidates; </w:t>
      </w:r>
    </w:p>
    <w:p>
      <w:pPr>
        <w:pStyle w:val="TextBody"/>
        <w:bidi w:val="0"/>
        <w:spacing w:before="0" w:after="96"/>
        <w:ind w:left="547" w:right="0" w:hanging="0"/>
        <w:jc w:val="left"/>
        <w:rPr/>
      </w:pPr>
      <w:r>
        <w:rPr/>
        <w:t>●</w:t>
      </w:r>
      <w:r>
        <w:rPr>
          <w:rFonts w:ascii="Times New Roman;Times;serif" w:hAnsi="Times New Roman;Times;serif"/>
          <w:sz w:val="20"/>
        </w:rPr>
        <w:t>disruptions to the operations of our third-party manufacturers or suppliers caused by conditions unrelated to our business or operations, including the bankruptcy of the manufacturer or supplier;</w:t>
      </w:r>
    </w:p>
    <w:p>
      <w:pPr>
        <w:pStyle w:val="TextBody"/>
        <w:bidi w:val="0"/>
        <w:spacing w:before="0" w:after="96"/>
        <w:ind w:left="547" w:right="0" w:hanging="0"/>
        <w:jc w:val="left"/>
        <w:rPr/>
      </w:pPr>
      <w:r>
        <w:rPr/>
        <w:t>●</w:t>
      </w:r>
      <w:r>
        <w:rPr>
          <w:rFonts w:ascii="Times New Roman;Times;serif" w:hAnsi="Times New Roman;Times;serif"/>
          <w:sz w:val="20"/>
        </w:rPr>
        <w:t>international or multi-national activities that are related to business activities outside of our scope, but may have an impact on a CMO’s ability to conduct business in a manner consistent with governmental or our regulatory and ethical standards; and</w:t>
      </w:r>
    </w:p>
    <w:p>
      <w:pPr>
        <w:pStyle w:val="TextBody"/>
        <w:bidi w:val="0"/>
        <w:ind w:left="547" w:right="0" w:hanging="0"/>
        <w:jc w:val="left"/>
        <w:rPr/>
      </w:pPr>
      <w:r>
        <w:rPr/>
        <w:t>●</w:t>
      </w:r>
      <w:r>
        <w:rPr>
          <w:rFonts w:ascii="Times New Roman;Times;serif" w:hAnsi="Times New Roman;Times;serif"/>
          <w:sz w:val="20"/>
        </w:rPr>
        <w:t>our ability to synchronize operations and standards to ensure that all aspects of manufacturing are consistent without deviations across facilities.</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 xml:space="preserve">In addition, the manufacturing process and facilities for any products that we may develop at the </w:t>
      </w:r>
      <w:r>
        <w:rPr>
          <w:rFonts w:ascii="Times New Roman;Times;serif" w:hAnsi="Times New Roman;Times;serif"/>
          <w:i/>
          <w:sz w:val="20"/>
        </w:rPr>
        <w:t>i</w:t>
      </w:r>
      <w:r>
        <w:rPr>
          <w:rFonts w:ascii="Times New Roman;Times;serif" w:hAnsi="Times New Roman;Times;serif"/>
          <w:sz w:val="20"/>
        </w:rPr>
        <w:t>CTC and or our CMOs is subject to FDA and foreign regulatory authority approval processes, and we or our CMOs will need to meet all applicable FDA and foreign regulatory authority requirements, including cGMPs, on an ongoing basis. The cGMP requirements include quality control, quality assurance, and the maintenance of records and documentation. The FDA and other regulatory authorities enforce these requirements through facility inspections. Manufacturing facilities must submit to pre-approval inspections by the FDA that will be conducted after we submit our marketing applications, including our BLAs, to the FDA. Manufacturers are also subject to continuing regulatory oversight by FDA and other regulatory authorities, including inspections following marketing approval. Further, we, in cooperation with our CMOs, must supply all necessary chemistry, manufacturing, and control documentation for a pre-approval inspection in support of a BLA on a timely basis. There is no guarantee that we or our CMOs will be able to successfully pass all aspects of a pre-approval inspection by the FDA or other foreign regulatory authorities.</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Our manufacturing facilities or our CMOs’ manufacturing facilities may be unable to comply with our specifications, cGMPs, and with other FDA, state, and foreign regulatory requirements. Poor control of production processes can lead to the introduction of adventitious agents or other contaminants, or to inadvertent changes in the properties or stability of product candidate that may not be detectable in final product testing. If we or our CMOs are unable to reliably produce products to specifications acceptable to the FDA or other regulatory authorities, or in accordance with the strict regulatory requirements,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or other regulatory authorities, to produce it in sufficient quantities to meet the requirements for the potential launch of the product, or to meet potential future demand. Deviations from manufacturing requirements may further require remedial measures that may be costly and/or time-consuming for us or a third party to implement and may include the temporary or permanent suspension of a clinical trial or commercial sales or the temporary or permanent closure of a facility. Any such remedial measures imposed upon us or third parties with whom we contract could materially harm our business.</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Even to the extent we use and continue to use CMOs, we are ultimately responsible for the manufacture of our products and product candidates. A failure to comply with these requirements may result in regulatory enforcement actions against our manufacturers or us, including fines and civil and criminal penalties, which could result in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biologic, refusal to permit the import or export of the products, product seizure, detention, or recall, operating restrictions, suits under the civil False Claims Act, corporate integrity agreements, consent decrees, or withdrawal of product approval.</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Cell-based therapies and biologics rely on the availability of biological raw materials (including live cells), chemicals and agents used for manufacturing, reagents, specialized equipment, and other specialty materials, which may not be available to us on acceptable terms or at all. For each of these, we rely or may rely on treatment sites, limited manufacturers, sole source vendors or a limited number of vendors, which could impair our ability to manufacture and supply our products.*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Manufacturing our product candidates requires live cells among other biological raw materials, chemicals and agents used for manufacturing. Many reagents, which are 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We currently depend on a limited number of vendors for certain materials and equipment used in the manufacture of our product candidates. Some of these suppliers may not have the capacity to support clinical trials and commercial products manufactured under cGMP by biopharmaceutical firms or may otherwise be ill-equipped to support our needs. We also do not have supply contracts with many of these suppliers and may not be able to obtain supply contracts with them on acceptable terms or at all. Accordingly, we may experience delays in receiving key materials and equipment to support clinical or commercial manufacturing.</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For each of these biological raw materials (including live cells), chemicals and agents used for manufacturing, reagents, equipment, and materials, we rely and may in the future rely on treatment sites, limited manufacturers, sole source vendors or a limited number of vendors. An inability to continue to source product from any of these suppliers, which could be due to a number of issues, including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As we continue to develop and scale our manufacturing process, we expect that we will need to obtain rights to and supplies of certain materials and equipment to be used as part of that process. We may not be able to obtain rights to such materials on commercially reasonable terms, or at all, and if we are unable to alter our process in a commercially viable manner to avoid the use of such materials or find a suitable substitute, it would have a material adverse effect on our business. Even if we are able to alter our process so as to use other materials or equipment, such a change may lead to a delay in our clinical development and/or commercialization plans. If such a change occurs for product candidate that is already in clinical testing, the change may require us to perform both </w:t>
      </w:r>
      <w:r>
        <w:rPr>
          <w:rFonts w:ascii="Times New Roman;Times;serif" w:hAnsi="Times New Roman;Times;serif"/>
          <w:i/>
          <w:sz w:val="20"/>
        </w:rPr>
        <w:t xml:space="preserve">ex vivo </w:t>
      </w:r>
      <w:r>
        <w:rPr>
          <w:rFonts w:ascii="Times New Roman;Times;serif" w:hAnsi="Times New Roman;Times;serif"/>
          <w:sz w:val="20"/>
        </w:rPr>
        <w:t>comparability studies and to collect additional data from patients prior to undertaking more advanced clinical trials.</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We will be unable to commercialize our products if our trials are not successful.*</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With the exception of lifileucel currently undergoing human clinical trials for advanced melanoma, cervical cancer and metastatic non-small cell lung cancer, or NSCLC, our research and development programs are at various stages of clinical development, including several at an early stage. We must demonstrate our products’ safety and efficacy in humans through extensive clinical testing. We may experience numerous unforeseen events during, or as a result of, the testing process that could delay or prevent commercialization of our products, including but not limited to the following:</w:t>
      </w:r>
    </w:p>
    <w:p>
      <w:pPr>
        <w:pStyle w:val="TextBody"/>
        <w:bidi w:val="0"/>
        <w:spacing w:before="0" w:after="0"/>
        <w:ind w:left="547" w:right="0" w:hanging="0"/>
        <w:jc w:val="left"/>
        <w:rPr/>
      </w:pPr>
      <w:r>
        <w:rPr/>
        <w:t>●</w:t>
      </w:r>
      <w:r>
        <w:rPr>
          <w:rFonts w:ascii="Times New Roman;Times;serif" w:hAnsi="Times New Roman;Times;serif"/>
          <w:sz w:val="20"/>
        </w:rPr>
        <w:t>safety and efficacy results in various human clinical trials reported in scientific and medical literature may not be indicative of results we obtain in our clinical trials;</w:t>
      </w:r>
    </w:p>
    <w:p>
      <w:pPr>
        <w:pStyle w:val="TextBody"/>
        <w:bidi w:val="0"/>
        <w:spacing w:before="0" w:after="0"/>
        <w:ind w:left="547" w:right="0" w:hanging="0"/>
        <w:jc w:val="left"/>
        <w:rPr/>
      </w:pPr>
      <w:r>
        <w:rPr/>
        <w:t>●</w:t>
      </w:r>
      <w:r>
        <w:rPr>
          <w:rFonts w:ascii="Times New Roman;Times;serif" w:hAnsi="Times New Roman;Times;serif"/>
          <w:sz w:val="20"/>
        </w:rPr>
        <w:t>after reviewing test results, we or our collaborators may abandon projects that we might previously have believed to be promising;</w:t>
      </w:r>
    </w:p>
    <w:p>
      <w:pPr>
        <w:pStyle w:val="TextBody"/>
        <w:bidi w:val="0"/>
        <w:spacing w:before="0" w:after="0"/>
        <w:ind w:left="547" w:right="0" w:hanging="0"/>
        <w:jc w:val="left"/>
        <w:rPr/>
      </w:pPr>
      <w:r>
        <w:rPr/>
        <w:t>●</w:t>
      </w:r>
      <w:r>
        <w:rPr>
          <w:rFonts w:ascii="Times New Roman;Times;serif" w:hAnsi="Times New Roman;Times;serif"/>
          <w:sz w:val="20"/>
        </w:rPr>
        <w:t>we, our collaborators or regulators, may suspend or terminate clinical trials if the participating subjects or patients are being exposed to unacceptable health risks;</w:t>
      </w:r>
    </w:p>
    <w:p>
      <w:pPr>
        <w:pStyle w:val="TextBody"/>
        <w:bidi w:val="0"/>
        <w:spacing w:before="0" w:after="0"/>
        <w:ind w:left="547" w:right="0" w:hanging="0"/>
        <w:jc w:val="left"/>
        <w:rPr/>
      </w:pPr>
      <w:r>
        <w:rPr/>
        <w:t>●</w:t>
      </w:r>
      <w:r>
        <w:rPr>
          <w:rFonts w:ascii="Times New Roman;Times;serif" w:hAnsi="Times New Roman;Times;serif"/>
          <w:sz w:val="20"/>
        </w:rPr>
        <w:t>the effects our potential products have may not be the desired effects or may include undesirable side effects or other characteristics that preclude regulatory approval or limit their commercial use if approved;</w:t>
      </w:r>
    </w:p>
    <w:p>
      <w:pPr>
        <w:pStyle w:val="TextBody"/>
        <w:bidi w:val="0"/>
        <w:spacing w:before="0" w:after="0"/>
        <w:ind w:left="547" w:right="0" w:hanging="0"/>
        <w:jc w:val="left"/>
        <w:rPr/>
      </w:pPr>
      <w:r>
        <w:rPr/>
        <w:t>●</w:t>
      </w:r>
      <w:r>
        <w:rPr>
          <w:rFonts w:ascii="Times New Roman;Times;serif" w:hAnsi="Times New Roman;Times;serif"/>
          <w:sz w:val="20"/>
        </w:rPr>
        <w:t xml:space="preserve">manufacturers may not meet the necessary standards for the production of the product candidates or may not be able to supply the product candidates in a sufficient quantity; </w:t>
      </w:r>
    </w:p>
    <w:p>
      <w:pPr>
        <w:pStyle w:val="TextBody"/>
        <w:bidi w:val="0"/>
        <w:spacing w:before="0" w:after="0"/>
        <w:ind w:left="547" w:right="0" w:hanging="0"/>
        <w:jc w:val="left"/>
        <w:rPr/>
      </w:pPr>
      <w:r>
        <w:rPr/>
        <w:t>●</w:t>
      </w:r>
      <w:r>
        <w:rPr>
          <w:rFonts w:ascii="Times New Roman;Times;serif" w:hAnsi="Times New Roman;Times;serif"/>
          <w:sz w:val="20"/>
        </w:rPr>
        <w:t xml:space="preserve">regulatory authorities may find that our clinical trial design or conduct does not meet the applicable approval requirements; and </w:t>
      </w:r>
    </w:p>
    <w:p>
      <w:pPr>
        <w:pStyle w:val="TextBody"/>
        <w:bidi w:val="0"/>
        <w:ind w:left="547" w:right="0" w:hanging="0"/>
        <w:jc w:val="left"/>
        <w:rPr/>
      </w:pPr>
      <w:r>
        <w:rPr/>
        <w:t>●</w:t>
      </w:r>
      <w:r>
        <w:rPr>
          <w:rFonts w:ascii="Times New Roman;Times;serif" w:hAnsi="Times New Roman;Times;serif"/>
          <w:sz w:val="20"/>
        </w:rPr>
        <w:t>our clinical trials, as well as clinical trials from our competitors, may diminish our anticipated revenues due to overlapping patient populations, costs and payor coverage, or patient needs.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Clinical testing is very expensive, can take many years, and the outcome is uncertain. It could take as much as 12 months or more before we learn the results from any clinical trial using our adoptive cell therapy with TIL. The data collected from our clinical trials may not be sufficient to support approval by the FDA of our TIL-based product candidates for the treatment of solid tumors. The clinical trials for our products under development may not be completed on schedule and the FDA may not ultimately approve any of our product candidates for commercial sale. If we fail to adequately demonstrate the safety and efficacy of any product candidate under development, we may not receive regulatory approval for those products, which would prevent us from generating revenues or achieving profitability.</w:t>
      </w:r>
    </w:p>
    <w:p>
      <w:pPr>
        <w:pStyle w:val="TextBody"/>
        <w:bidi w:val="0"/>
        <w:spacing w:before="0" w:after="200"/>
        <w:ind w:left="0" w:right="0" w:firstLine="540"/>
        <w:jc w:val="left"/>
        <w:rPr>
          <w:rFonts w:ascii="Times New Roman;Times;serif" w:hAnsi="Times New Roman;Times;serif"/>
          <w:b/>
          <w:i/>
          <w:sz w:val="20"/>
        </w:rPr>
      </w:pPr>
      <w:r>
        <w:rPr>
          <w:rFonts w:ascii="Times New Roman;Times;serif" w:hAnsi="Times New Roman;Times;serif"/>
          <w:b/>
          <w:i/>
          <w:sz w:val="20"/>
        </w:rPr>
        <w:t>Even if our lead product lifileucel is approved and commercialized, we may not become profitable. *</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Our lead product candidate, lifileucel, is initially targeting a small population of refractory patients that suffer from metastatic melanoma. Even if the FDA approves lifileucel, and even if we obtain significant market share, because the potential target population for lifileucel in refractory patients may be small, we may never achieve profitability without obtaining regulatory approval for additional indications. The FDA often approves new therapies initially only for use in patients with relapsed or refractory metastatic disease. We expect to initially seek approval of our product candidates in this setting and are currently conducting clinical trials on these patient populations. Since Proleukin® is an established product and there are competing products in development, the success of Proleukin® is closely tied to lifileucel and use with other cell therapies. An approval for a marketed product, such as Proleukin®, may be withdrawn by the FDA or another regulatory agency and disrupt both Proleukin® and lifileucel because of their codependency. Additionally, Proleukin® revenues are dependent upon continued use in manufacturing and clinical settings by Iovance and other cell therapy companies.</w:t>
      </w:r>
    </w:p>
    <w:p>
      <w:pPr>
        <w:pStyle w:val="TextBody"/>
        <w:bidi w:val="0"/>
        <w:spacing w:before="0" w:after="200"/>
        <w:ind w:left="0" w:right="0" w:firstLine="540"/>
        <w:jc w:val="left"/>
        <w:rPr>
          <w:rFonts w:ascii="Times New Roman;Times;serif" w:hAnsi="Times New Roman;Times;serif"/>
          <w:b/>
          <w:i/>
          <w:sz w:val="20"/>
        </w:rPr>
      </w:pPr>
      <w:r>
        <w:rPr>
          <w:rFonts w:ascii="Times New Roman;Times;serif" w:hAnsi="Times New Roman;Times;serif"/>
          <w:b/>
          <w:i/>
          <w:sz w:val="20"/>
        </w:rPr>
        <w:t>We rely on and collaborate with governmental, academic and corporate partners or agencies to approve, improve and develop TIL therapies for new indications for use in combination with other therapies and to evaluate new TIL manufacturing methods, the results of which, because the manufacturing processes are not within our control, may be incorrect or unreliable.*</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In addition to our own research and process development efforts, we seek to collaborate with government, academic research institutions and corporate partners to improve TIL manufacturing and to develop TIL therapies for new indications. In 2017-2020, we announced our continued collaborations with Moffitt, MDACC, and The Ohio State University to evaluate several new solid tumor and hematologic indications for TIL therapy in clinical trials and preclinical studies as well as, in some cases, new TIL manufacturing approaches. The results of these collaborations may be used to support our filing with the FDA of INDs to conduct more advanced clinical trials of our product candidates, or to otherwise analyze or make predictions or decisions with respect to our current or future product candidates. However, because the majority of our collaborations are conducted at outside laboratories and we do not have complete control over how the studies are conducted or reported or over the manufacturing methods used to manufacture TIL product, the results of such studies, which we may use as the basis for our conclusions, projections or decisions with respect to our current or future product candidates, may be incorrect or unreliable, or may have a negative impact on us if the results of such studies are imputed to our products or proposed indications, even if such imputation is improper. For example, we have entered into collaborations with Moffitt, and MDACC to perform clinical trials using TIL products that differ from our products, but the results of these clinical trials, if negative, may adversely impact our stock price and our development plans for our products. Additionally, we may use third party data to analyze, reach conclusions or make predictions or decisions with respect to our product candidates that may be incomplete, inaccurate or otherwise unreliable. There may also be delays or other limitations on our activities as a result of the inability of these entities to expedite our priorities in the product, facility, or regulatory approval process.</w:t>
      </w:r>
    </w:p>
    <w:p>
      <w:pPr>
        <w:pStyle w:val="TextBody"/>
        <w:bidi w:val="0"/>
        <w:spacing w:before="0" w:after="200"/>
        <w:ind w:left="0" w:right="0" w:firstLine="540"/>
        <w:jc w:val="left"/>
        <w:rPr>
          <w:rFonts w:ascii="Times New Roman;Times;serif" w:hAnsi="Times New Roman;Times;serif"/>
          <w:b/>
          <w:i/>
          <w:sz w:val="20"/>
        </w:rPr>
      </w:pPr>
      <w:r>
        <w:rPr>
          <w:rFonts w:ascii="Times New Roman;Times;serif" w:hAnsi="Times New Roman;Times;serif"/>
          <w:b/>
          <w:i/>
          <w:sz w:val="20"/>
        </w:rPr>
        <w:t>We may need additional financing to fund our operations and complete the development and commercialization of our various product candidates, and if we are unable to obtain such financing, we may be unable to complete the development and commercialization of our product candidates. Raising additional capital may cause dilution to our existing stockholders, restrict our operations or require us to relinquish rights to our technologies or product candidates.*</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Our operations have consumed substantial amounts of cash since inception. From our inception to June 30, 2023, we have an accumulated deficit of $1.8 billion. In addition, our research and development and our operating costs have also been substantial and are expected to increase. For example, in October 2018, we closed an underwritten public offering of our common stock. The net proceeds from the offering, after deducting the underwriting discounts and commissions and other offering expenses payable by us, were $236.7 million. In June 2020, we closed another underwritten offering of our common stock. The net proceeds from the offering, after deducting the underwriting discounts and commissions and other offering expenses payable by us, were $567.0 million. In February 2021 we entered into an open market sale agreement, or the First Sales Agreement, with Jefferies LLC, which provided for the sale of up to $350.0 million of our common stock from time to time, which was subsequently increased to $500.0 million in November 2022 upon the execution of an updated open market sale agreement, or the Second Sales Agreement, with Jefferies LLC.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June 2023, we entered into a new open market sales agreement, or the New Sales Agreement, with Jefferies LLC, which superseded the Second Sales Agreement and provided for the sale of up to $450.0 million of our common stock from time to time. As of June 30, 2023, we had $317.3 million in cash, cash equivalents and investments ($230.0 million of cash and cash equivalents, $20.9 million in short-term investments, and restricted cash of $66.4 million).</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Accordingly, we believe that our existing cash, cash equivalents and investments will be sufficient to fund our operations for at least the next twelve months from the date this Quarterly Report on Form 10-Q is issued. However, in order to complete the development of our current product candidates, and in order to affect our business plan, including establishing our own manufacturing facility, we anticipate that we will have to spend more than the funds currently available to us. Furthermore, changing circumstances may cause us to increase our spending significantly faster than we currently anticipate, and we may require additional capital for the further development and commercialization of our product candidates and may need to raise additional funds sooner if we choose to expand more rapidly than we presently anticipate. Moreover, our fixed expenses such as rent, minimum payments to our contract manufacturers, and other contractual commitments, including those for our research collaborations, are substantial and are expected to increase in the future.</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We will need to obtain additional financing to fund our future operations, including completing the development and commercialization of our product candidates. Our future funding requirements will depend on many factors, including, but not limited to:</w:t>
      </w:r>
    </w:p>
    <w:p>
      <w:pPr>
        <w:pStyle w:val="TextBody"/>
        <w:bidi w:val="0"/>
        <w:spacing w:before="0" w:after="0"/>
        <w:ind w:left="547" w:right="0" w:hanging="0"/>
        <w:jc w:val="left"/>
        <w:rPr/>
      </w:pPr>
      <w:r>
        <w:rPr/>
        <w:t>●</w:t>
      </w:r>
      <w:r>
        <w:rPr>
          <w:rFonts w:ascii="Times New Roman;Times;serif" w:hAnsi="Times New Roman;Times;serif"/>
          <w:sz w:val="20"/>
        </w:rPr>
        <w:t>progress, timing, scope and costs of our clinical trials, including the ability to timely initiate clinical sites, enroll subjects and manufacture TIL for treatment for patients in our ongoing, planned and potential future clinical trials;</w:t>
      </w:r>
    </w:p>
    <w:p>
      <w:pPr>
        <w:pStyle w:val="TextBody"/>
        <w:bidi w:val="0"/>
        <w:spacing w:before="0" w:after="0"/>
        <w:ind w:left="547" w:right="0" w:hanging="0"/>
        <w:jc w:val="left"/>
        <w:rPr/>
      </w:pPr>
      <w:r>
        <w:rPr/>
        <w:t>●</w:t>
      </w:r>
      <w:r>
        <w:rPr>
          <w:rFonts w:ascii="Times New Roman;Times;serif" w:hAnsi="Times New Roman;Times;serif"/>
          <w:sz w:val="20"/>
        </w:rPr>
        <w:t>time and cost necessary to obtain regulatory approvals that may be required by regulatory authorities to execute clinical trials or commercialize our product;</w:t>
      </w:r>
    </w:p>
    <w:p>
      <w:pPr>
        <w:pStyle w:val="TextBody"/>
        <w:bidi w:val="0"/>
        <w:spacing w:before="0" w:after="0"/>
        <w:ind w:left="547" w:right="0" w:hanging="0"/>
        <w:jc w:val="left"/>
        <w:rPr/>
      </w:pPr>
      <w:r>
        <w:rPr/>
        <w:t>●</w:t>
      </w:r>
      <w:r>
        <w:rPr>
          <w:rFonts w:ascii="Times New Roman;Times;serif" w:hAnsi="Times New Roman;Times;serif"/>
          <w:sz w:val="20"/>
        </w:rPr>
        <w:t>our ability to successfully commercialize our product candidates, if approved;</w:t>
      </w:r>
    </w:p>
    <w:p>
      <w:pPr>
        <w:pStyle w:val="TextBody"/>
        <w:bidi w:val="0"/>
        <w:spacing w:before="0" w:after="0"/>
        <w:ind w:left="547" w:right="0" w:hanging="0"/>
        <w:jc w:val="left"/>
        <w:rPr/>
      </w:pPr>
      <w:r>
        <w:rPr/>
        <w:t>●</w:t>
      </w:r>
      <w:r>
        <w:rPr>
          <w:rFonts w:ascii="Times New Roman;Times;serif" w:hAnsi="Times New Roman;Times;serif"/>
          <w:sz w:val="20"/>
        </w:rPr>
        <w:t>our ability to have clinical and commercial product successfully manufactured consistent with FDA and European Medicines Agency, or EMA, regulations;</w:t>
      </w:r>
    </w:p>
    <w:p>
      <w:pPr>
        <w:pStyle w:val="TextBody"/>
        <w:bidi w:val="0"/>
        <w:spacing w:before="0" w:after="0"/>
        <w:ind w:left="547" w:right="0" w:hanging="0"/>
        <w:jc w:val="left"/>
        <w:rPr/>
      </w:pPr>
      <w:r>
        <w:rPr/>
        <w:t>●</w:t>
      </w:r>
      <w:r>
        <w:rPr>
          <w:rFonts w:ascii="Times New Roman;Times;serif" w:hAnsi="Times New Roman;Times;serif"/>
          <w:sz w:val="20"/>
        </w:rPr>
        <w:t>amount of sales and other revenues from product candidates that we may commercialize, if any, including the selling prices for such potential products and the availability of adequate third-party coverage and reimbursement for patients;</w:t>
      </w:r>
    </w:p>
    <w:p>
      <w:pPr>
        <w:pStyle w:val="TextBody"/>
        <w:bidi w:val="0"/>
        <w:spacing w:before="0" w:after="0"/>
        <w:ind w:left="547" w:right="0" w:hanging="0"/>
        <w:jc w:val="left"/>
        <w:rPr/>
      </w:pPr>
      <w:r>
        <w:rPr/>
        <w:t>●</w:t>
      </w:r>
      <w:r>
        <w:rPr>
          <w:rFonts w:ascii="Times New Roman;Times;serif" w:hAnsi="Times New Roman;Times;serif"/>
          <w:sz w:val="20"/>
        </w:rPr>
        <w:t>sales and marketing costs associated with commercializing our products, if approved, including the cost and timing of building our marketing and sales capabilities;</w:t>
      </w:r>
    </w:p>
    <w:p>
      <w:pPr>
        <w:pStyle w:val="TextBody"/>
        <w:bidi w:val="0"/>
        <w:spacing w:before="0" w:after="0"/>
        <w:ind w:left="547" w:right="0" w:hanging="0"/>
        <w:jc w:val="left"/>
        <w:rPr/>
      </w:pPr>
      <w:r>
        <w:rPr/>
        <w:t>●</w:t>
      </w:r>
      <w:r>
        <w:rPr>
          <w:rFonts w:ascii="Times New Roman;Times;serif" w:hAnsi="Times New Roman;Times;serif"/>
          <w:sz w:val="20"/>
        </w:rPr>
        <w:t>cost of building, staffing and validating our own manufacturing facility in the U.S.;</w:t>
      </w:r>
    </w:p>
    <w:p>
      <w:pPr>
        <w:pStyle w:val="TextBody"/>
        <w:bidi w:val="0"/>
        <w:spacing w:before="0" w:after="0"/>
        <w:ind w:left="547" w:right="0" w:hanging="0"/>
        <w:jc w:val="left"/>
        <w:rPr/>
      </w:pPr>
      <w:r>
        <w:rPr/>
        <w:t>●</w:t>
      </w:r>
      <w:r>
        <w:rPr>
          <w:rFonts w:ascii="Times New Roman;Times;serif" w:hAnsi="Times New Roman;Times;serif"/>
          <w:sz w:val="20"/>
        </w:rPr>
        <w:t>terms and timing of our current and any potential future collaborations, licensing or other arrangements that we have established or may establish;</w:t>
      </w:r>
    </w:p>
    <w:p>
      <w:pPr>
        <w:pStyle w:val="TextBody"/>
        <w:bidi w:val="0"/>
        <w:spacing w:before="0" w:after="0"/>
        <w:ind w:left="547" w:right="0" w:hanging="0"/>
        <w:jc w:val="left"/>
        <w:rPr/>
      </w:pPr>
      <w:r>
        <w:rPr/>
        <w:t>●</w:t>
      </w:r>
      <w:r>
        <w:rPr>
          <w:rFonts w:ascii="Times New Roman;Times;serif" w:hAnsi="Times New Roman;Times;serif"/>
          <w:sz w:val="20"/>
        </w:rPr>
        <w:t>cash requirements of any future acquisitions or the development of other product candidates;</w:t>
      </w:r>
    </w:p>
    <w:p>
      <w:pPr>
        <w:pStyle w:val="TextBody"/>
        <w:bidi w:val="0"/>
        <w:spacing w:before="0" w:after="0"/>
        <w:ind w:left="547" w:right="0" w:hanging="0"/>
        <w:jc w:val="left"/>
        <w:rPr/>
      </w:pPr>
      <w:r>
        <w:rPr/>
        <w:t>●</w:t>
      </w:r>
      <w:r>
        <w:rPr>
          <w:rFonts w:ascii="Times New Roman;Times;serif" w:hAnsi="Times New Roman;Times;serif"/>
          <w:sz w:val="20"/>
        </w:rPr>
        <w:t>costs of operating as a public company;</w:t>
      </w:r>
    </w:p>
    <w:p>
      <w:pPr>
        <w:pStyle w:val="TextBody"/>
        <w:bidi w:val="0"/>
        <w:spacing w:before="0" w:after="0"/>
        <w:ind w:left="547" w:right="0" w:hanging="0"/>
        <w:jc w:val="left"/>
        <w:rPr/>
      </w:pPr>
      <w:r>
        <w:rPr/>
        <w:t>●</w:t>
      </w:r>
      <w:r>
        <w:rPr>
          <w:rFonts w:ascii="Times New Roman;Times;serif" w:hAnsi="Times New Roman;Times;serif"/>
          <w:sz w:val="20"/>
        </w:rPr>
        <w:t>time and cost necessary to respond to technological, regulatory, political and market developments;</w:t>
      </w:r>
    </w:p>
    <w:p>
      <w:pPr>
        <w:pStyle w:val="TextBody"/>
        <w:bidi w:val="0"/>
        <w:spacing w:before="0" w:after="0"/>
        <w:ind w:left="547" w:right="0" w:hanging="0"/>
        <w:jc w:val="left"/>
        <w:rPr/>
      </w:pPr>
      <w:r>
        <w:rPr/>
        <w:t>●</w:t>
      </w:r>
      <w:r>
        <w:rPr>
          <w:rFonts w:ascii="Times New Roman;Times;serif" w:hAnsi="Times New Roman;Times;serif"/>
          <w:sz w:val="20"/>
        </w:rPr>
        <w:t>costs of filing, prosecuting, defending and enforcing any patent claims and other intellectual property rights; and</w:t>
      </w:r>
    </w:p>
    <w:p>
      <w:pPr>
        <w:pStyle w:val="TextBody"/>
        <w:bidi w:val="0"/>
        <w:ind w:left="547" w:right="0" w:hanging="0"/>
        <w:jc w:val="left"/>
        <w:rPr/>
      </w:pPr>
      <w:r>
        <w:rPr/>
        <w:t>●</w:t>
      </w:r>
      <w:r>
        <w:rPr>
          <w:rFonts w:ascii="Times New Roman;Times;serif" w:hAnsi="Times New Roman;Times;serif"/>
          <w:sz w:val="20"/>
        </w:rPr>
        <w:t>costs associated with any potential business or product acquisitions (such as the acquisition of Proleukin®), strategic collaborations, licensing agreements or other arrangements that we may establish.</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Unless and until we can generate a sufficient amount of revenue, we may finance future cash needs through public or private equity offerings, license agreements, debt financings, collaborations, strategic alliances and marketing or distribution arrangements. Additional funds may not be available when we need them on terms that are acceptable to us, or at all. We have no committed source of additional capital and if we are unable to raise additional capital in sufficient amounts or on terms acceptable to us, we may be required to delay or reduce the scope of or eliminate one or more of our research or development programs or our commercialization efforts. Our current license and collaboration agreements may also be terminated if we are unable to meet the payment obligations under those agreements. As a result, we may seek to access the public or private capital markets whenever conditions are favorable, even if we do not have an immediate need for additional capital at that time.</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 xml:space="preserve">To the extent that we raise additional capital through the sale of equity or convertible debt securities, your ownership interest will be diluted, and the terms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partnerships and alliances and licensing arrangements with third parties, we may have to relinquish valuable rights to our technologies or product candidates, or grant licenses on terms unfavorable to us.</w:t>
      </w:r>
    </w:p>
    <w:p>
      <w:pPr>
        <w:pStyle w:val="TextBody"/>
        <w:bidi w:val="0"/>
        <w:spacing w:before="0" w:after="200"/>
        <w:ind w:left="0" w:right="0" w:firstLine="540"/>
        <w:jc w:val="left"/>
        <w:rPr>
          <w:rFonts w:ascii="Times New Roman;Times;serif" w:hAnsi="Times New Roman;Times;serif"/>
          <w:b/>
          <w:i/>
          <w:sz w:val="20"/>
        </w:rPr>
      </w:pPr>
      <w:r>
        <w:rPr>
          <w:rFonts w:ascii="Times New Roman;Times;serif" w:hAnsi="Times New Roman;Times;serif"/>
          <w:b/>
          <w:i/>
          <w:sz w:val="20"/>
        </w:rPr>
        <w:t>Subject to various spending levels approved by our Board of Directors, our management will have broad discretion in the use of the net proceeds from our capital raises, including our June 2020, October 2018 and January 2018 public offerings and the proceeds from sales pursuant to our “at-the-market” sales agreement with Jefferies LLC, and may not use them effectively.</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Our management will have discretion in the application of the net proceeds from our capital raises, including our June 2020, October 2018, and January 2018 public offerings, and the proceeds from sales pursuant to the New Sales Agreement with Jefferies LLC, which provides for the sale of up to $450.0 million of our common stock from time to time, and our stockholders will not have the opportunity as part of their investment decision to assess whether the net proceeds from our capital raises are being used appropriately. You may not agree with our decisions, and our use of the proceeds from our capital raises may not yield any return to stockholders. Because of the number and variability of factors that will determine our use of the net proceeds from our capital raises, their ultimate use may vary substantially from their currently intended use. Our failure to apply the net proceeds of our capital raises effectively could compromise our ability to pursue our growth strategy and we might not be able to yield a significant return, if any, on our investment of those net proceeds. Stockholders will not have the opportunity to influence our decisions on how to use our net proceeds from our capital raises. Pending their use, we may invest the net proceeds from our capital raises in interest and non-interest-bearing cash accounts, short-term, investment-grade, interest-bearing instruments and U.S. government securities. These temporary investments are not likely to yield a significant return.</w:t>
      </w:r>
    </w:p>
    <w:p>
      <w:pPr>
        <w:pStyle w:val="TextBody"/>
        <w:bidi w:val="0"/>
        <w:spacing w:before="0" w:after="200"/>
        <w:ind w:left="0" w:right="0" w:firstLine="540"/>
        <w:jc w:val="left"/>
        <w:rPr>
          <w:rFonts w:ascii="Times New Roman;Times;serif" w:hAnsi="Times New Roman;Times;serif"/>
          <w:b/>
          <w:i/>
          <w:sz w:val="20"/>
        </w:rPr>
      </w:pPr>
      <w:r>
        <w:rPr>
          <w:rFonts w:ascii="Times New Roman;Times;serif" w:hAnsi="Times New Roman;Times;serif"/>
          <w:b/>
          <w:i/>
          <w:sz w:val="20"/>
        </w:rPr>
        <w:t>The use of our net operating loss carryforwards and research tax credits may be limited.</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Our net operating loss carryforwards and any future research and development tax credits may expire and not be used. As of December 31, 2022, we had U.S. federal net operating loss carryforwards of approximately $1.0 billion. Our net operating loss carryforwards arising in taxable years ending on or prior to December 31, 2017, will begin expiring in 2027 if we have not used them prior to that time. Net operating loss carryforwards arising in taxable years ending after December 31, 2017,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Prior to December 31, 2022, we experienced multiple ownership changes. As a result, the federal and state carryforwards associated with the net operating loss and credit deferred tax assets were reduced by the amount of tax attributes estimated to expire during their respective carryforward periods. In addition, since we will need to raise substantial additional funding to finance our operations, we may undergo further ownership changes in the future. Any such annual limitation may significantly reduce the utilization of the net operating loss carryforwards and research tax credits before they expire. Depending on our future tax position, limitation of our ability to use net operating loss carryforwards in states in which we are subject to income tax could have an adverse impact on our results of operations and financial condition.</w:t>
      </w:r>
    </w:p>
    <w:p>
      <w:pPr>
        <w:pStyle w:val="TextBody"/>
        <w:bidi w:val="0"/>
        <w:spacing w:before="0" w:after="200"/>
        <w:ind w:left="0" w:right="0" w:firstLine="540"/>
        <w:jc w:val="left"/>
        <w:rPr>
          <w:rFonts w:ascii="Times New Roman;Times;serif" w:hAnsi="Times New Roman;Times;serif"/>
          <w:b/>
          <w:i/>
          <w:sz w:val="20"/>
        </w:rPr>
      </w:pPr>
      <w:r>
        <w:rPr>
          <w:rFonts w:ascii="Times New Roman;Times;serif" w:hAnsi="Times New Roman;Times;serif"/>
          <w:b/>
          <w:i/>
          <w:sz w:val="20"/>
        </w:rPr>
        <w:t>Recently enacted tax reform legislation in the U.S., changes to existing tax laws, or challenges to our tax positions could adversely affect our business and financial condition.</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 xml:space="preserve">In recent years, various tax legislations were signed into law. On December 22, 2017, the Tax Cuts and Jobs Act of 2017, or the Tax Act, was signed into law, making significant changes to the Internal Revenue Code. </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On March 27, 2020, the Coronavirus Aid, Relief, and Economic Security Act, or the CARES Act, was enacted in response to the COVID-19 pandemic. Certain provisions of the CARES Act amend or suspend certain provisions of the Tax Act. For example, the tax relief measures under the CARES Act for businesses include a five-year net operating loss carryback, suspension of annual deduction limitation of 80% of taxable income from net operating losses generated in a tax year beginning after December 31, 2017, changes in the deductibility of interest, acceleration of alternative minimum tax credit refunds, payroll tax relief, and a technical correction to allow accelerated deductions for qualified improvement property. On June 15, 2020, Assembly Bill 85 was passed in California which suspended the use of net operating losses and limited the use of credits for certain corporations. Changes to existing federal and state tax laws could adversely impact our business, results of operations and financial position as the impact of recent tax legislation is uncertain.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In addition, U.S. federal, state and local tax laws are extremely complex and subject to various interpretations. Although we believe that our tax estimates and positions are reasonable, including our decision to build our </w:t>
      </w:r>
      <w:r>
        <w:rPr>
          <w:rFonts w:ascii="Times New Roman;Times;serif" w:hAnsi="Times New Roman;Times;serif"/>
          <w:i/>
          <w:sz w:val="20"/>
        </w:rPr>
        <w:t>i</w:t>
      </w:r>
      <w:r>
        <w:rPr>
          <w:rFonts w:ascii="Times New Roman;Times;serif" w:hAnsi="Times New Roman;Times;serif"/>
          <w:sz w:val="20"/>
        </w:rPr>
        <w:t>CTC facility at the Navy Yard in Philadelphia in order to take advantage of the site’s designation as a Keystone Opportunity Zone, Keystone Opportunity Expansion Zone, or Keystone Opportunity Improvement Zone, or collectively KOZ, which allows incentives for business development, as well as certain other financial incentives provided by the Commonwealth of Pennsylvania, the City of Philadelphia and the Philadelphia Industrial Development Corporation, there can be no assurance that our tax positions will not be challenged by relevant tax authorities or that we would be successful in any such challenge. Further, challenges to the site’s designation as a KOZ or broader challenges to Pennsylvania's KOZ program could result in the revocation of the site’s designation as a KOZ and the attendant tax advantages associated with such designation. If we are unsuccessful in such a challenge, or if the site's status as a KOZ is revoked, the relevant tax authorities may assess additional taxes, which could result in adjustments to, or impact the timing or amount of, taxable income, deductions or other tax allocations, which may adversely affect our results of operations and financial position.</w:t>
      </w:r>
    </w:p>
    <w:p>
      <w:pPr>
        <w:pStyle w:val="TextBody"/>
        <w:bidi w:val="0"/>
        <w:spacing w:before="0" w:after="200"/>
        <w:ind w:left="0" w:right="0" w:firstLine="540"/>
        <w:jc w:val="left"/>
        <w:rPr>
          <w:rFonts w:ascii="Times New Roman;Times;serif" w:hAnsi="Times New Roman;Times;serif"/>
          <w:b/>
          <w:i/>
          <w:sz w:val="20"/>
        </w:rPr>
      </w:pPr>
      <w:r>
        <w:rPr>
          <w:rFonts w:ascii="Times New Roman;Times;serif" w:hAnsi="Times New Roman;Times;serif"/>
          <w:b/>
          <w:i/>
          <w:sz w:val="20"/>
        </w:rPr>
        <w:t>We are subject to extensive regulation, which can be costly, time consuming and can subject us to unanticipated delays; even if we obtain regulatory approval for some of our products, those products may still face regulatory difficulties.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Our potential products, cell processing and manufacturing activities, are subject to comprehensive regulation by the FDA in the U.S. and by comparable authorities in other countries. The process of obtaining FDA and other required regulatory approvals, including foreign approvals, is expensive and often takes many years and can vary substantially based upon the type, complexity and novelty of the products involved. In addition, regulatory agencies may lack experience with our technologies and products, which may lengthen the regulatory review process, increase our development costs and delay or prevent their commercialization.</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No adoptive cell therapy using TIL has been approved for marketing by the FDA. Consequently, there is no precedent for the successful commercialization of products based on our technologies. In addition, we have had only limited experience in filing and pursuing applications necessary to gain regulatory approvals, which may impede our ability to obtain timely FDA approvals, if at all. We have initiated the process for FDA approval for one adoptive cell therapy product. We will not be able to commercialize any of our potential products until we obtain FDA approval, and so any delay in obtaining, or inability to obtain, FDA approval would harm our business.</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If we fail to comply with regulatory requirements at any stage, whether before or after marketing approval is obtained, we may face a number of regulatory consequences, including refusal to approve pending applications, license suspension or revocation, withdrawal of an approval, imposition of a clinical hold or termination of clinical trials, warning letters, untitled letters, modification of promotional materials or labeling, provision of corrective information, imposition of post-market requirements including the need for additional testing, imposition of distribution or other restrictions under a REMS, product recalls, product seizures or detentions, refusal to allow imports or exports, total or partial suspension of production or distribution, FDA debarment, injunctions, fines, consent decrees, corporate integrity agreements, debarment from receiving government contracts, and new orders under existing contracts, exclusion from participation in federal and state healthcare programs, restitution, disgorgement, or civil or criminal penalties, including fines and imprisonment, and adverse publicity, among other adverse consequences. Additionally, we may not be able to obtain the labeling claims necessary or desirable for the promotion of our products. We may also be required to undertake post-marketing trials. In addition, if we or others identify side effects after any of our adoptive cell therapies are on the market, or if manufacturing problems occur, regulatory approval may be withdrawn, and reformulation of our products may be required.</w:t>
      </w:r>
    </w:p>
    <w:p>
      <w:pPr>
        <w:pStyle w:val="TextBody"/>
        <w:bidi w:val="0"/>
        <w:spacing w:before="0" w:after="200"/>
        <w:ind w:left="0" w:right="0" w:firstLine="540"/>
        <w:jc w:val="left"/>
        <w:rPr>
          <w:rFonts w:ascii="Times New Roman;Times;serif" w:hAnsi="Times New Roman;Times;serif"/>
          <w:b/>
          <w:i/>
          <w:sz w:val="20"/>
        </w:rPr>
      </w:pPr>
      <w:r>
        <w:rPr>
          <w:rFonts w:ascii="Times New Roman;Times;serif" w:hAnsi="Times New Roman;Times;serif"/>
          <w:b/>
          <w:i/>
          <w:sz w:val="20"/>
        </w:rPr>
        <w:t>We may not be able to license new technology from third parties.</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An element of our intellectual property portfolio is to license additional rights and technologies from third parties, including the NIH and others. Our inability to license the rights and technologies that we have identified, or that we may in the future identify, could have a material adverse impact on our ability to complete the development of our products or to develop additional products. No assurance can be given that we will be successful in licensing any additional rights or technologies from third parties, including the NIH and others. Failure to obtain additional rights and licenses may detrimentally affect our planned development of additional product candidates and could increase the cost, and extend the timelines associated with our development of such other products.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0"/>
        <w:jc w:val="left"/>
        <w:rPr>
          <w:rFonts w:ascii="Times New Roman;Times;serif" w:hAnsi="Times New Roman;Times;serif"/>
          <w:b/>
          <w:i/>
          <w:sz w:val="20"/>
        </w:rPr>
      </w:pPr>
      <w:r>
        <w:rPr>
          <w:rFonts w:ascii="Times New Roman;Times;serif" w:hAnsi="Times New Roman;Times;serif"/>
          <w:b/>
          <w:i/>
          <w:sz w:val="20"/>
        </w:rPr>
        <w:t>Our projections regarding the market opportunities for our product candidates may not be accurate, and the actual market for our products may be smaller than we estimate.</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Our projections of both the number of people who have the advanced cancers we are targeting, as well as the subset of people with these cancers who are metastatic or unresectable, and who have the potential to benefit from treatment with our product candidates, are based on our beliefs and estimates. These estimates have been derived from a variety of sources, including scientific literature, surveys of clinics, patient foundations, or market research by third parties, and may prove to be incorrect. Further, new studies or approvals of new therapeutics may change the estimated incidence or prevalence of these cancers. The number of patients may turn out to be lower than expected. Additionally, the potentially addressable patient population for our product candidates may be limited or may not be amenable to treatment with our product candidates and may also be limited by the cost of our treatments and the reimbursement of those treatment costs by third-party payors. For instance, we expect lifileucel to initially target a small patient population that suffers from metastatic melanoma. Even if we obtain significant market share for our product candidates, because the potential target populations are small, we may never achieve profitability without obtaining regulatory approval for additional indications.</w:t>
      </w:r>
    </w:p>
    <w:p>
      <w:pPr>
        <w:pStyle w:val="TextBody"/>
        <w:bidi w:val="0"/>
        <w:spacing w:before="0" w:after="200"/>
        <w:ind w:left="0" w:right="0" w:firstLine="540"/>
        <w:jc w:val="left"/>
        <w:rPr>
          <w:rFonts w:ascii="Times New Roman;Times;serif" w:hAnsi="Times New Roman;Times;serif"/>
          <w:b/>
          <w:i/>
          <w:sz w:val="20"/>
        </w:rPr>
      </w:pPr>
      <w:r>
        <w:rPr>
          <w:rFonts w:ascii="Times New Roman;Times;serif" w:hAnsi="Times New Roman;Times;serif"/>
          <w:b/>
          <w:i/>
          <w:sz w:val="20"/>
        </w:rPr>
        <w:t>We are required to pay substantial royalties and lump sum benchmark payments under our license or acquisition agreements with the NIH, Moffitt, Novartis, Clinigen and Cellectis, and we must meet certain milestones to maintain our license rights.*</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Under our license or acquisition agreements with the NIH, Moffitt, Novartis, Clinigen, and Cellectis for our adoptive cell therapy and immunotherapy technologies, we are currently required to pay both substantial benchmark payments and royalties to each entity based on our revenues from sales of our products utilizing the licensed or acquired technologies. These payments could adversely affect the overall profitability for us of any products that we may seek to commercialize under these license agreements. In order to maintain our license rights under the NIH, Moffitt, Novartis, and Cellectis license agreements, we will need to meet certain specified milestones, subject to certain cure provisions, in the development of our product candidates, and a milestone payment is required to Clinigen upon the approval of lifileucel in melanoma. There is no assurance that we will be successful in meeting these milestones on a timely basis, or at all.</w:t>
      </w:r>
    </w:p>
    <w:p>
      <w:pPr>
        <w:pStyle w:val="TextBody"/>
        <w:bidi w:val="0"/>
        <w:spacing w:before="0" w:after="200"/>
        <w:ind w:left="0" w:right="0" w:firstLine="540"/>
        <w:jc w:val="left"/>
        <w:rPr>
          <w:rFonts w:ascii="Times New Roman;Times;serif" w:hAnsi="Times New Roman;Times;serif"/>
          <w:b/>
          <w:i/>
          <w:sz w:val="20"/>
        </w:rPr>
      </w:pPr>
      <w:r>
        <w:rPr>
          <w:rFonts w:ascii="Times New Roman;Times;serif" w:hAnsi="Times New Roman;Times;serif"/>
          <w:b/>
          <w:i/>
          <w:sz w:val="20"/>
        </w:rPr>
        <w:t>Because our current products represent, and our other potential product candidates will represent novel approaches to the treatment of disease, there are many uncertainties regarding the development, the market acceptance, third-party reimbursement coverage and the commercial potential of our product candidates.*</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Human immunotherapy products are a new category of therapeutics. Because this is a relatively new and expanding area of novel therapeutic interventions, there are many uncertainties related to development, marketing, reimbursement, and the commercial potential for our product candidates. There can be no assurance as to the length of the clinical trial period, the number of patients the FDA will require to be enrolled in the clinical trials in order to establish the safety, efficacy, purity and potency of immunotherapy products, or that the data generated in these clinical trials will be acceptable to the FDA to support marketing approval. The FDA may take longer than usual to come to a decision on any BLA that we submit and may ultimately determine that there is not enough data, information, or experience with our product candidates to support an approval decision. The FDA may also require that we conduct additional post-marketing studies or implement risk management programs, such as REMS, until more experience with our product candidates is obtained. Finally, after increased usage, we may find that our product candidates do not have the intended effect or have unanticipated side effects, potentially jeopardizing initial or continuing regulatory approval and commercial prospects.</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We may also find that the manufacture of our product candidates is more difficult than anticipated, resulting in an inability to produce a sufficient amount of our product candidates for our clinical trials or, if approved, commercial supply. Moreover, because of the complexity and novelty of our manufacturing process, there are only a limited number of manufacturers who have the capability of producing our product candidates. Should any of our contract manufacturers no longer produce our product candidates, it may take us significant time to find a replacement, if we are able to find a replacement at all.</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 xml:space="preserve">There is no assurance that the approaches offered by our products will gain broad acceptance among doctors or patients or that governmental agencies or third-party medical insurers will be willing to provide reimbursement coverage for proposed product candidates. Moreover, we do not have verifiable internal marketing data regarding the potential size of the commercial market for our product candidates, nor have we obtained current independent marketing surveys to verify the potential size of the commercial markets for our current product candidates or any future product candidates. Since our current product candidates and any future product candidates will represent novel approaches to treating various conditions, it may be difficult, in any event, to accurately estimate the potential revenues from these product candidates. Accordingly, we may spend significant capital trying to obtain approval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for product candidates that have an uncertain commercial market. The market for any products that we successfully develop will also depend on the cost of the product. </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Cell based therapies may take longer to attain insurance coverage, and although we may apply for special government programs and prepare the market for product approval, there is no way to ensure that healthcare providers, insurance companies, or other third parties will reimburse our product at an expeditious rate. Even if we obtain insurance coverage for our product from payors, coverage at treatment centers will require payment for the total cost of care which involves surgery, conditioning chemotherapy, as well as other staffing and hospitalization needs. This will require coordination between authorized treatment centers and other payors including government payors that may only cover a portion of charges. If our treatment centers do not successfully obtain coverage in time, there may be a slow uptake or variable or limited access at all to our therapies.</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We do not yet have sufficient information to reliably estimate what it will cost to commercially manufacture our current product candidates, and the actual cost to manufacture these products could materially and adversely affect the commercial viability of these products. Our goal is to reduce the cost of manufacturing and providing our therapies. However, unless we can reduce those costs to an acceptable amount, we may never be able to develop a commercially viable product. If we do not successfully develop and commercialize products based upon our approach or find suitable and economical sources for materials used in the production of our products, we will not become profitable, which would materially and adversely affect the value of our common stock.</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Our TIL therapies and our other therapies may be provided to patients in combination with other agents provided by third parties. The cost of such combination therapy may increase the overall cost of therapy and may result in issues regarding the allocation of reimbursements between our therapy and the other agents, all of which may affect our ability to obtain reimbursement coverage for the combination therapy from governmental or private third-party medical insurers.</w:t>
      </w:r>
    </w:p>
    <w:p>
      <w:pPr>
        <w:pStyle w:val="TextBody"/>
        <w:bidi w:val="0"/>
        <w:spacing w:before="0" w:after="200"/>
        <w:ind w:left="0" w:right="0" w:firstLine="540"/>
        <w:jc w:val="left"/>
        <w:rPr>
          <w:rFonts w:ascii="Times New Roman;Times;serif" w:hAnsi="Times New Roman;Times;serif"/>
          <w:b/>
          <w:i/>
          <w:sz w:val="20"/>
        </w:rPr>
      </w:pPr>
      <w:r>
        <w:rPr>
          <w:rFonts w:ascii="Times New Roman;Times;serif" w:hAnsi="Times New Roman;Times;serif"/>
          <w:b/>
          <w:i/>
          <w:sz w:val="20"/>
        </w:rPr>
        <w:t>No assurance can be given that the Gen 2 manufacturing process or other processes we have selected will be FDA-compliant or more efficient and will lower the cost to manufacture TIL products.*</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We have developed and are developing improved methods for generating and selecting autologous TILs, and methods for large-scale production of autologous TILs that are in accord with current cGMP procedures. We have developed a new and more efficient TIL manufacturing process that we believe can be more efficient and cost effective, and in a more automated manner than previous processes. The production and control of the physical and/or chemical attributes of our products in a cGMP facility is subject to many uncertainties and difficulties. As a novel therapy, TIL manufacturing and product release is complex and must evolve with both industry-wide autologous cell therapy challenges and new regulatory requirements that may result in delays and unexpected denials. We have never manufactured our adoptive cell therapy product candidate on a commercial scale, nor have our partners. As a result, we cannot give any assurance that the Gen 2 process or any future process that we select will be a manufacturing process that can produce our products in compliance with the applicable regulatory requirements, at a cost or in quantities necessary to make them commercially viable. Moreover, we and our third-party manufacturers will have to continually adhere to current cGMP regulations enforced by the FDA through its facilities inspection program. If our facilities or any of the facilities of these manufacturers cannot demonstrate adequate assurance of compliance with FDA standards during a pre-approval inspection, the FDA approval of our products will not be granted. In complying with cGMP and foreign regulatory requirements, we and any of our third-party manufacturers will be obligated to expend time, money and effort in production, record-keeping and quality control to assure that our products meet applicable specifications and other requirements. If we or any of our third-party manufacturers fail to comply with these requirements, we may be subject to regulatory action. No assurance can be given that we will be able to develop such a manufacturing process, or that our partners will thereafter be able to establish and operate such a production facility.</w:t>
      </w:r>
    </w:p>
    <w:p>
      <w:pPr>
        <w:pStyle w:val="TextBody"/>
        <w:bidi w:val="0"/>
        <w:spacing w:before="0" w:after="200"/>
        <w:ind w:left="0" w:right="0" w:firstLine="540"/>
        <w:jc w:val="left"/>
        <w:rPr>
          <w:rFonts w:ascii="Times New Roman;Times;serif" w:hAnsi="Times New Roman;Times;serif"/>
          <w:b/>
          <w:i/>
          <w:sz w:val="20"/>
        </w:rPr>
      </w:pPr>
      <w:r>
        <w:rPr>
          <w:rFonts w:ascii="Times New Roman;Times;serif" w:hAnsi="Times New Roman;Times;serif"/>
          <w:b/>
          <w:i/>
          <w:sz w:val="20"/>
        </w:rPr>
        <w:t>If product liability lawsuits are brought against us, we may incur substantial liabilities and may be required to limit commercialization of our product candidates.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Large judgements have also been awarded in class action lawsuits based on therapeutics that had unanticipated side effects.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547" w:right="0" w:hanging="0"/>
        <w:jc w:val="left"/>
        <w:rPr/>
      </w:pPr>
      <w:r>
        <w:rPr/>
        <w:t>●</w:t>
      </w:r>
      <w:r>
        <w:rPr>
          <w:rFonts w:ascii="Times New Roman;Times;serif" w:hAnsi="Times New Roman;Times;serif"/>
          <w:sz w:val="20"/>
        </w:rPr>
        <w:t>decreased demand for our product candidates;</w:t>
      </w:r>
    </w:p>
    <w:p>
      <w:pPr>
        <w:pStyle w:val="TextBody"/>
        <w:bidi w:val="0"/>
        <w:spacing w:before="0" w:after="0"/>
        <w:ind w:left="547" w:right="0" w:hanging="0"/>
        <w:jc w:val="left"/>
        <w:rPr/>
      </w:pPr>
      <w:r>
        <w:rPr/>
        <w:t>●</w:t>
      </w:r>
      <w:r>
        <w:rPr>
          <w:rFonts w:ascii="Times New Roman;Times;serif" w:hAnsi="Times New Roman;Times;serif"/>
          <w:sz w:val="20"/>
        </w:rPr>
        <w:t>injury to our reputation;</w:t>
      </w:r>
    </w:p>
    <w:p>
      <w:pPr>
        <w:pStyle w:val="TextBody"/>
        <w:bidi w:val="0"/>
        <w:spacing w:before="0" w:after="0"/>
        <w:ind w:left="547" w:right="0" w:hanging="0"/>
        <w:jc w:val="left"/>
        <w:rPr/>
      </w:pPr>
      <w:r>
        <w:rPr/>
        <w:t>●</w:t>
      </w:r>
      <w:r>
        <w:rPr>
          <w:rFonts w:ascii="Times New Roman;Times;serif" w:hAnsi="Times New Roman;Times;serif"/>
          <w:sz w:val="20"/>
        </w:rPr>
        <w:t>withdrawal of clinical trial participants or sites and potential termination of clinical trial sites or entire clinical programs;</w:t>
      </w:r>
    </w:p>
    <w:p>
      <w:pPr>
        <w:pStyle w:val="TextBody"/>
        <w:bidi w:val="0"/>
        <w:spacing w:before="0" w:after="0"/>
        <w:ind w:left="547" w:right="0" w:hanging="0"/>
        <w:jc w:val="left"/>
        <w:rPr/>
      </w:pPr>
      <w:r>
        <w:rPr/>
        <w:t>●</w:t>
      </w:r>
      <w:r>
        <w:rPr>
          <w:rFonts w:ascii="Times New Roman;Times;serif" w:hAnsi="Times New Roman;Times;serif"/>
          <w:sz w:val="20"/>
        </w:rPr>
        <w:t>initiation of investigations by regulators, refusal to approve marketing applications or supplements, and withdrawal or limitation of product approvals;</w:t>
      </w:r>
    </w:p>
    <w:p>
      <w:pPr>
        <w:pStyle w:val="TextBody"/>
        <w:bidi w:val="0"/>
        <w:spacing w:before="0" w:after="0"/>
        <w:ind w:left="547" w:right="0" w:hanging="0"/>
        <w:jc w:val="left"/>
        <w:rPr/>
      </w:pPr>
      <w:r>
        <w:rPr/>
        <w:t>●</w:t>
      </w:r>
      <w:r>
        <w:rPr>
          <w:rFonts w:ascii="Times New Roman;Times;serif" w:hAnsi="Times New Roman;Times;serif"/>
          <w:sz w:val="20"/>
        </w:rPr>
        <w:t>costs to defend the related litigation;</w:t>
      </w:r>
    </w:p>
    <w:p>
      <w:pPr>
        <w:pStyle w:val="TextBody"/>
        <w:bidi w:val="0"/>
        <w:spacing w:before="0" w:after="0"/>
        <w:ind w:left="547" w:right="0" w:hanging="0"/>
        <w:jc w:val="left"/>
        <w:rPr/>
      </w:pPr>
      <w:r>
        <w:rPr/>
        <w:t>●</w:t>
      </w:r>
      <w:r>
        <w:rPr>
          <w:rFonts w:ascii="Times New Roman;Times;serif" w:hAnsi="Times New Roman;Times;serif"/>
          <w:sz w:val="20"/>
        </w:rPr>
        <w:t>a diversion of management’s time and our resources;</w:t>
      </w:r>
    </w:p>
    <w:p>
      <w:pPr>
        <w:pStyle w:val="TextBody"/>
        <w:bidi w:val="0"/>
        <w:spacing w:before="0" w:after="0"/>
        <w:ind w:left="547" w:right="0" w:hanging="0"/>
        <w:jc w:val="left"/>
        <w:rPr/>
      </w:pPr>
      <w:r>
        <w:rPr/>
        <w:t>●</w:t>
      </w:r>
      <w:r>
        <w:rPr>
          <w:rFonts w:ascii="Times New Roman;Times;serif" w:hAnsi="Times New Roman;Times;serif"/>
          <w:sz w:val="20"/>
        </w:rPr>
        <w:t>substantial monetary awards to clinical trial participants or patients;</w:t>
      </w:r>
    </w:p>
    <w:p>
      <w:pPr>
        <w:pStyle w:val="TextBody"/>
        <w:bidi w:val="0"/>
        <w:spacing w:before="0" w:after="0"/>
        <w:ind w:left="547" w:right="0" w:hanging="0"/>
        <w:jc w:val="left"/>
        <w:rPr/>
      </w:pPr>
      <w:r>
        <w:rPr/>
        <w:t>●</w:t>
      </w:r>
      <w:r>
        <w:rPr>
          <w:rFonts w:ascii="Times New Roman;Times;serif" w:hAnsi="Times New Roman;Times;serif"/>
          <w:sz w:val="20"/>
        </w:rPr>
        <w:t>product recalls, withdrawals or labeling, marketing or promotional restrictions;</w:t>
      </w:r>
    </w:p>
    <w:p>
      <w:pPr>
        <w:pStyle w:val="TextBody"/>
        <w:bidi w:val="0"/>
        <w:spacing w:before="0" w:after="0"/>
        <w:ind w:left="547" w:right="0" w:hanging="0"/>
        <w:jc w:val="left"/>
        <w:rPr/>
      </w:pPr>
      <w:r>
        <w:rPr/>
        <w:t>●</w:t>
      </w:r>
      <w:r>
        <w:rPr>
          <w:rFonts w:ascii="Times New Roman;Times;serif" w:hAnsi="Times New Roman;Times;serif"/>
          <w:sz w:val="20"/>
        </w:rPr>
        <w:t>loss of revenue;</w:t>
      </w:r>
    </w:p>
    <w:p>
      <w:pPr>
        <w:pStyle w:val="TextBody"/>
        <w:bidi w:val="0"/>
        <w:spacing w:before="0" w:after="0"/>
        <w:ind w:left="547" w:right="0" w:hanging="0"/>
        <w:jc w:val="left"/>
        <w:rPr/>
      </w:pPr>
      <w:r>
        <w:rPr/>
        <w:t>●</w:t>
      </w:r>
      <w:r>
        <w:rPr>
          <w:rFonts w:ascii="Times New Roman;Times;serif" w:hAnsi="Times New Roman;Times;serif"/>
          <w:sz w:val="20"/>
        </w:rPr>
        <w:t>significant negative media attention;</w:t>
      </w:r>
    </w:p>
    <w:p>
      <w:pPr>
        <w:pStyle w:val="TextBody"/>
        <w:bidi w:val="0"/>
        <w:spacing w:before="0" w:after="0"/>
        <w:ind w:left="547" w:right="0" w:hanging="0"/>
        <w:jc w:val="left"/>
        <w:rPr/>
      </w:pPr>
      <w:r>
        <w:rPr/>
        <w:t>●</w:t>
      </w:r>
      <w:r>
        <w:rPr>
          <w:rFonts w:ascii="Times New Roman;Times;serif" w:hAnsi="Times New Roman;Times;serif"/>
          <w:sz w:val="20"/>
        </w:rPr>
        <w:t>decrease in the price of our stock and overall value of our company;</w:t>
      </w:r>
    </w:p>
    <w:p>
      <w:pPr>
        <w:pStyle w:val="TextBody"/>
        <w:bidi w:val="0"/>
        <w:spacing w:before="0" w:after="0"/>
        <w:ind w:left="547" w:right="0" w:hanging="0"/>
        <w:jc w:val="left"/>
        <w:rPr/>
      </w:pPr>
      <w:r>
        <w:rPr/>
        <w:t>●</w:t>
      </w:r>
      <w:r>
        <w:rPr>
          <w:rFonts w:ascii="Times New Roman;Times;serif" w:hAnsi="Times New Roman;Times;serif"/>
          <w:sz w:val="20"/>
        </w:rPr>
        <w:t>exhaustion of our available insurance coverage and our capital resources; or</w:t>
      </w:r>
    </w:p>
    <w:p>
      <w:pPr>
        <w:pStyle w:val="TextBody"/>
        <w:bidi w:val="0"/>
        <w:ind w:left="547" w:right="0" w:hanging="0"/>
        <w:jc w:val="left"/>
        <w:rPr/>
      </w:pPr>
      <w:r>
        <w:rPr/>
        <w:t>●</w:t>
      </w:r>
      <w:r>
        <w:rPr>
          <w:rFonts w:ascii="Times New Roman;Times;serif" w:hAnsi="Times New Roman;Times;serif"/>
          <w:sz w:val="20"/>
        </w:rPr>
        <w:t>the inability to commercialize our product candidates.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Our inability to obtain sufficient product liability insurance at an acceptable cost to protect against potential product liability claims could prevent or inhibit the commercialization of products we develop, alone or with corporate collaborators. Our insurance policies may also have various exclusions, and we may be subject to a product liability claim for which we have no coverage. While we have obtained clinical trial insurance for our Phase 2 clinical trials, we may have to pay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We face significant competition from other biotechnology and pharmaceutical companies and from non-profit institutions.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Competition in the field of cancer therapy is intense and is accentuated by the rapid pace of technological development. Research and discoveries by others may result in breakthroughs which may render our products obsolete even before they generate any revenue. There are products that are approved and currently under development by others that could compete with the products that we are developing. Many of our potential competitors have substantially greater research and development capabilities and approval, manufacturing, marketing, financial and managerial resources and experience than we do. Our competitors may:</w:t>
      </w:r>
    </w:p>
    <w:p>
      <w:pPr>
        <w:pStyle w:val="TextBody"/>
        <w:bidi w:val="0"/>
        <w:spacing w:before="0" w:after="0"/>
        <w:ind w:left="547" w:right="0" w:hanging="0"/>
        <w:jc w:val="left"/>
        <w:rPr/>
      </w:pPr>
      <w:r>
        <w:rPr/>
        <w:t>●</w:t>
      </w:r>
      <w:r>
        <w:rPr>
          <w:rFonts w:ascii="Times New Roman;Times;serif" w:hAnsi="Times New Roman;Times;serif"/>
          <w:sz w:val="20"/>
        </w:rPr>
        <w:t>develop safer, more convenient or more effective immunotherapies and other therapeutic products;</w:t>
      </w:r>
    </w:p>
    <w:p>
      <w:pPr>
        <w:pStyle w:val="TextBody"/>
        <w:bidi w:val="0"/>
        <w:spacing w:before="0" w:after="0"/>
        <w:ind w:left="547" w:right="0" w:hanging="0"/>
        <w:jc w:val="left"/>
        <w:rPr/>
      </w:pPr>
      <w:r>
        <w:rPr/>
        <w:t>●</w:t>
      </w:r>
      <w:r>
        <w:rPr>
          <w:rFonts w:ascii="Times New Roman;Times;serif" w:hAnsi="Times New Roman;Times;serif"/>
          <w:sz w:val="20"/>
        </w:rPr>
        <w:t>develop therapies that are less expensive or have better reimbursement from private or public payors;</w:t>
      </w:r>
    </w:p>
    <w:p>
      <w:pPr>
        <w:pStyle w:val="TextBody"/>
        <w:bidi w:val="0"/>
        <w:spacing w:before="0" w:after="0"/>
        <w:ind w:left="547" w:right="0" w:hanging="0"/>
        <w:jc w:val="left"/>
        <w:rPr/>
      </w:pPr>
      <w:r>
        <w:rPr/>
        <w:t>●</w:t>
      </w:r>
      <w:r>
        <w:rPr>
          <w:rFonts w:ascii="Times New Roman;Times;serif" w:hAnsi="Times New Roman;Times;serif"/>
          <w:sz w:val="20"/>
        </w:rPr>
        <w:t>reach the market more rapidly, reducing the potential sales of our products; or</w:t>
      </w:r>
    </w:p>
    <w:p>
      <w:pPr>
        <w:pStyle w:val="TextBody"/>
        <w:bidi w:val="0"/>
        <w:ind w:left="547" w:right="0" w:hanging="0"/>
        <w:jc w:val="left"/>
        <w:rPr/>
      </w:pPr>
      <w:r>
        <w:rPr/>
        <w:t>●</w:t>
      </w:r>
      <w:r>
        <w:rPr>
          <w:rFonts w:ascii="Times New Roman;Times;serif" w:hAnsi="Times New Roman;Times;serif"/>
          <w:sz w:val="20"/>
        </w:rPr>
        <w:t>establish superior proprietary positions.</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 xml:space="preserve">Due to the promising clinical therapeutic effect of competitor therapies in clinical exploratory trials, we anticipate substantial direct competition from other organizations developing advanced T-cell therapies targeting patients who have received prior anti-PD-1/PD-L1 therapies. In particular, we expect to compete with other new therapies for our lead indications developed by companies such as Agenus, BeyondSpring, Bristol-Myers Squibb, Merck, Nektar Therapeutics, Checkmate Pharmaceuticals, Daiichi Sankyo, Eisai, Exelixis, Moderna, Mirati Therapeutics, OncoSec Medical, Replimune, Regeneron Pharmaceuticals, Seagen, and Genmab. We also may compete with other TIL therapies in development by companies such as Instil Bio, Achilles Therapeutics, KSQ Therapeutics, Obsidian Therapeutics, Immatics, TILT Biotherapeutics, WindMIL Therapeutics, GRIT Biotechnology, Lyell Immunopharma, Cellular Biomedicine Group, and others. We also may compete with therapies based on genetically engineered T-cell receptors rendered reactive against tumor-associated antigens prior to their administration to patients, as well as TIL therapies that are designed to be specific to neoantigens, including products developed by Adaptimmune Therapeutics, Alaunos Therapeutics, Intima Bioscience, Marker Therapeutics, Turnstone Biologics, Neogene, and others. To date, these technologies have been primarily applicable to hematologic malignancies, but their application in solid tumor indications may create competition with us. We may also face competition from immunotherapy treatments offered by companies such as Amgen, AstraZeneca, Bristol-Myers Squibb, Merck, Pfizer, Regeneron Pharmaceuticals, Roche, and BioNTech. We may also face competition from novel IL-2 treatments in development by Alkermes, Werewolf, Nektar Therapeutics, Merck, Sanofi, Neoleukin Therapeutics and others. Many of these companies and our other current and potential competitors have substantially greater research and development capabilities and financial, scientific, regulatory, manufacturing, marketing, sales, human resources, and experience than we do. Many of our competitors have several therapeutic products that have already been developed, approved and successfully commercialized, or are in the process of obtaining regulatory approval for their therapeutic products in the U.S. and internationally. Our competitors may obtain regulatory approval for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their products more rapidly than we may obtain approval for ours, which could result in competitors establishing a strong market position before we are able to enter the market.</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Universities and public and private research institutions in the U.S. and Europe are also potential competitors. For example, a Phase 3 M14TIL clinical trial comparing TIL to standard ipilimumab in patients with metastatic melanoma is currently being conducted in Europe by the Netherlands Cancer Institute, the Copenhagen County Herlev University Hospital, and the University of Manchester. Results from the M14TIL clinical trial were presented at the European Society for Medical Oncology Congress in September 2022. While these universities and public and private research institutions primarily have educational objectives, they may develop proprietary technologies that lead to other FDA approved therapies or that secure patent protection that we may need for the development of our technologies and products.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Our lead product candidate lifileucel is a therapy for the treatment of metastatic melanoma and metastatic cervical cancer. Currently, there are numerous companies that are developing various alternate treatments for melanoma and cervical cancer, including patients that have progressed after prior treatment with checkpoint inhibitors and chemotherapy. Accordingly, lifileucel faces significant competition in the melanoma and cervical cancer treatment space from multiple companies. Even if we obtain regulatory approval for lifileucel, the availability and price of our competitors’ products could limit the demand and the price we are able to charge for our therapies. We may not be able to implement our business plan if the acceptance of our products is inhibited by price competition or the reluctance of physicians to switch from other methods of treatment to our product, or if physicians switch to other new therapies, drugs or biologic products or choose to reserve our product for use in limited circumstances.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We are dependent on third parties to support our research, development and manufacturing activities and, therefore, are subject to the efforts of these parties and our ability to successfully collaborate with these third parties.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As a result of our current strategy to outsource most of our manufacturing, we rely very heavily on third parties to perform for us the manufacturing of our products for our clinical trials. We also license a portion of our technology from others. We intend to rely upon our contract manufacturers to produce large quantities of materials needed for clinical trials and potentially product commercialization. Third party manufacturers may not be able to meet our needs with respect to timing, quantity or quality. If we are unable to contract for a sufficient supply of needed materials on acceptable terms, or if we should encounter delays or difficulties in our relationships with manufacturers, our clinical testing may be delayed, thereby delaying the submission of products for regulatory approval or the market introduction and subsequent sales of our products. Any such delay may lower our revenues and potential profitability.</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 addition, in order to supplement our own efforts to improve TIL manufacturing and develop TIL therapies in new indications in clinical trials, we currently work and collaborate with government and academic research institutions, medical institutions and corporate partners such as the NCI, Moffitt, Cellectis, Yale University, the Ohio State University, and Novartis. We also intend to continue to enter into additional third-party collaborative agreements in the future. However, we may not be able to successfully negotiate any additional collaborative arrangements. If established, these relationships may not be scientifically or commercially successful, or may be unable to enroll patients, which has occurred in one of our prior collaborations. The success of these and future collaborations and joint development arrangements may be subject to numerous risks and uncertainties, including the inability or unwillingness of our partners to perform in the manner, or to the extent anticipated, and may also be subject to disagreements regarding the rights, interests, and performance of the counterparties under our licenses and development agreements. Disagreements between parties to a collaboration arrangement regarding clinical development and commercialization matters can lead to delays in the development process or commercialization of the applicable product candidate and, in some cases, termination of the collaboration arrangement. These disagreements can be difficult to resolve if neither of the parties has final decision-making authority under the collaboration agreement.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With regard to future collaboration efforts, we face significant competition in seeking appropriate collaborators. Our ability to reach a definitive agreement for collaboration will depend, among other things, upon our assessment of the collaborator’s resources and expertise, the terms and conditions of the proposed collaboration and, an evaluation by the proposed collaborator of a number of similar or unique factors.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Collaborations with biopharmaceutical companies and other third parties often are terminated or allowed to expire by the other party. Any such termination or expiration would adversely affect us financially and could harm our business reputation. Any collaboration may pose a number of risks, including the following:</w:t>
      </w:r>
    </w:p>
    <w:p>
      <w:pPr>
        <w:pStyle w:val="TextBody"/>
        <w:bidi w:val="0"/>
        <w:spacing w:before="0" w:after="0"/>
        <w:ind w:left="547" w:right="0" w:hanging="0"/>
        <w:jc w:val="left"/>
        <w:rPr/>
      </w:pPr>
      <w:r>
        <w:rPr/>
        <w:t>●</w:t>
      </w:r>
      <w:r>
        <w:rPr>
          <w:rFonts w:ascii="Times New Roman;Times;serif" w:hAnsi="Times New Roman;Times;serif"/>
          <w:sz w:val="20"/>
        </w:rPr>
        <w:t>collaborators may not perform their obligations as expected;</w:t>
      </w:r>
    </w:p>
    <w:p>
      <w:pPr>
        <w:pStyle w:val="TextBody"/>
        <w:bidi w:val="0"/>
        <w:spacing w:before="0" w:after="0"/>
        <w:ind w:left="547" w:right="0" w:hanging="0"/>
        <w:jc w:val="left"/>
        <w:rPr/>
      </w:pPr>
      <w:r>
        <w:rPr/>
        <w:t>●</w:t>
      </w:r>
      <w:r>
        <w:rPr>
          <w:rFonts w:ascii="Times New Roman;Times;serif" w:hAnsi="Times New Roman;Times;serif"/>
          <w:sz w:val="20"/>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pStyle w:val="TextBody"/>
        <w:bidi w:val="0"/>
        <w:spacing w:before="0" w:after="0"/>
        <w:ind w:left="547" w:right="0" w:hanging="0"/>
        <w:jc w:val="left"/>
        <w:rPr/>
      </w:pPr>
      <w:r>
        <w:rPr/>
        <w:t>●</w:t>
      </w:r>
      <w:r>
        <w:rPr>
          <w:rFonts w:ascii="Times New Roman;Times;serif" w:hAnsi="Times New Roman;Times;serif"/>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before="0" w:after="0"/>
        <w:ind w:left="547" w:right="0" w:hanging="0"/>
        <w:jc w:val="left"/>
        <w:rPr/>
      </w:pPr>
      <w:r>
        <w:rPr/>
        <w:t>●</w:t>
      </w:r>
      <w:r>
        <w:rPr>
          <w:rFonts w:ascii="Times New Roman;Times;serif" w:hAnsi="Times New Roman;Times;serif"/>
          <w:sz w:val="20"/>
        </w:rPr>
        <w:t>collaborators could fail to make timely regulatory submissions for a product candidate;</w:t>
      </w:r>
    </w:p>
    <w:p>
      <w:pPr>
        <w:pStyle w:val="TextBody"/>
        <w:bidi w:val="0"/>
        <w:spacing w:before="0" w:after="0"/>
        <w:ind w:left="547" w:right="0" w:hanging="0"/>
        <w:jc w:val="left"/>
        <w:rPr/>
      </w:pPr>
      <w:r>
        <w:rPr/>
        <w:t>●</w:t>
      </w:r>
      <w:r>
        <w:rPr>
          <w:rFonts w:ascii="Times New Roman;Times;serif" w:hAnsi="Times New Roman;Times;serif"/>
          <w:sz w:val="20"/>
        </w:rPr>
        <w:t>collaborators may not comply with all applicable regulatory requirements or may fail to report safety data in accordance with all applicable regulatory requirements;</w:t>
      </w:r>
    </w:p>
    <w:p>
      <w:pPr>
        <w:pStyle w:val="TextBody"/>
        <w:bidi w:val="0"/>
        <w:spacing w:before="0" w:after="0"/>
        <w:ind w:left="547" w:right="0" w:hanging="0"/>
        <w:jc w:val="left"/>
        <w:rPr/>
      </w:pPr>
      <w:r>
        <w:rPr/>
        <w:t>●</w:t>
      </w:r>
      <w:r>
        <w:rPr>
          <w:rFonts w:ascii="Times New Roman;Times;serif" w:hAnsi="Times New Roman;Times;serif"/>
          <w:sz w:val="20"/>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pStyle w:val="TextBody"/>
        <w:bidi w:val="0"/>
        <w:spacing w:before="0" w:after="0"/>
        <w:ind w:left="547" w:right="0" w:hanging="0"/>
        <w:jc w:val="left"/>
        <w:rPr/>
      </w:pPr>
      <w:r>
        <w:rPr/>
        <w:t>●</w:t>
      </w:r>
      <w:r>
        <w:rPr>
          <w:rFonts w:ascii="Times New Roman;Times;serif" w:hAnsi="Times New Roman;Times;serif"/>
          <w:sz w:val="20"/>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pStyle w:val="TextBody"/>
        <w:bidi w:val="0"/>
        <w:spacing w:before="0" w:after="0"/>
        <w:ind w:left="547" w:right="0" w:hanging="0"/>
        <w:jc w:val="left"/>
        <w:rPr/>
      </w:pPr>
      <w:r>
        <w:rPr/>
        <w:t>●</w:t>
      </w:r>
      <w:r>
        <w:rPr>
          <w:rFonts w:ascii="Times New Roman;Times;serif" w:hAnsi="Times New Roman;Times;serif"/>
          <w:sz w:val="20"/>
        </w:rPr>
        <w:t>a collaborator with marketing and distribution rights to one or more of our product candidates that achieve regulatory approval may not commit sufficient resources to the marketing and distribution of such product candidate or product;</w:t>
      </w:r>
    </w:p>
    <w:p>
      <w:pPr>
        <w:pStyle w:val="TextBody"/>
        <w:bidi w:val="0"/>
        <w:spacing w:before="0" w:after="0"/>
        <w:ind w:left="547" w:right="0" w:hanging="0"/>
        <w:jc w:val="left"/>
        <w:rPr/>
      </w:pPr>
      <w:r>
        <w:rPr/>
        <w:t>●</w:t>
      </w:r>
      <w:r>
        <w:rPr>
          <w:rFonts w:ascii="Times New Roman;Times;serif" w:hAnsi="Times New Roman;Times;serif"/>
          <w:sz w:val="20"/>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 consuming and expensive;</w:t>
      </w:r>
    </w:p>
    <w:p>
      <w:pPr>
        <w:pStyle w:val="TextBody"/>
        <w:bidi w:val="0"/>
        <w:spacing w:before="0" w:after="0"/>
        <w:ind w:left="547" w:right="0" w:hanging="0"/>
        <w:jc w:val="left"/>
        <w:rPr/>
      </w:pPr>
      <w:r>
        <w:rPr/>
        <w:t>●</w:t>
      </w:r>
      <w:r>
        <w:rPr>
          <w:rFonts w:ascii="Times New Roman;Times;serif" w:hAnsi="Times New Roman;Times;serif"/>
          <w:sz w:val="20"/>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pStyle w:val="TextBody"/>
        <w:bidi w:val="0"/>
        <w:spacing w:before="0" w:after="0"/>
        <w:ind w:left="547" w:right="0" w:hanging="0"/>
        <w:jc w:val="left"/>
        <w:rPr/>
      </w:pPr>
      <w:r>
        <w:rPr/>
        <w:t>●</w:t>
      </w:r>
      <w:r>
        <w:rPr>
          <w:rFonts w:ascii="Times New Roman;Times;serif" w:hAnsi="Times New Roman;Times;serif"/>
          <w:sz w:val="20"/>
        </w:rPr>
        <w:t>collaborators may infringe the intellectual property rights of third parties, which may expose us to litigation and potential liability;</w:t>
      </w:r>
    </w:p>
    <w:p>
      <w:pPr>
        <w:pStyle w:val="TextBody"/>
        <w:bidi w:val="0"/>
        <w:spacing w:before="0" w:after="0"/>
        <w:ind w:left="547" w:right="0" w:hanging="0"/>
        <w:jc w:val="left"/>
        <w:rPr/>
      </w:pPr>
      <w:r>
        <w:rPr/>
        <w:t>●</w:t>
      </w:r>
      <w:r>
        <w:rPr>
          <w:rFonts w:ascii="Times New Roman;Times;serif" w:hAnsi="Times New Roman;Times;serif"/>
          <w:sz w:val="20"/>
        </w:rPr>
        <w:t>collaborators may be involved in a business combination, resulting in the decreased emphasis or termination of development or commercialization of any product candidate subject to the collaboration agreement; and</w:t>
      </w:r>
    </w:p>
    <w:p>
      <w:pPr>
        <w:pStyle w:val="TextBody"/>
        <w:bidi w:val="0"/>
        <w:ind w:left="547" w:right="0" w:hanging="0"/>
        <w:jc w:val="left"/>
        <w:rPr/>
      </w:pPr>
      <w:r>
        <w:rPr/>
        <w:t>●</w:t>
      </w:r>
      <w:r>
        <w:rPr>
          <w:rFonts w:ascii="Times New Roman;Times;serif" w:hAnsi="Times New Roman;Times;serif"/>
          <w:sz w:val="20"/>
        </w:rPr>
        <w:t>termination of a collaboration agreement may make it more difficult to attract new collaborators and our and our products’ or product candidates’ reputation in the medical, business, and financial communities could be adversely affected.</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If any third-party collaborator breaches or terminates its agreement with us or fails to conduct its activities in a timely manner, the commercialization of our products under development could be delayed or blocked completely. It is possible that our collaborators will change their strategic focus, pursue alternative technologies or develop alternative products, either on their own or in collaboration with others, as a means for developing treatments for the diseases targeted by our collaborative programs. The effectiveness of our collaborators in marketing our products will also affect our revenues and earnings.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Our collaborators will also be required to comply with the applicable regulatory requirements, and, as such, are subject to the same risks as we are. If they do not or are not able to comply with these requirements, we may not be able to use the data generated through their studies to support our future investigational or marketing applications. Collaborator noncompliance may also expose them and us to regulatory enforcement actions.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No assurance can be given that we will be able to successfully collaborate with our partners as anticipated and that our current or future collaborations and clinical trials will be completed as contemplated, support the regulatory approval of our current product candidates, or result in any viable additional product candidates. For instance, to the extent that these collaborators conduct their studies with manufacturing processes that are different than ours or product that is different than ours, the results generated from their studies may not be seen in our current or future studies that employ our manufacturing processes and the results generated from their studies may not support approval of our product candidates.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If we are unable to obtain or maintain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Development of a product candidate intended for use in combination with an already approved product may present more or different challenges than development of a product candidate for use as a single agent.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are currently developing lifileucel as part of a regimen which uses IL-2. We and our collaborators are also clinical trialing TIL therapy along with other products, such as pembrolizumab, ipilimumab and nivolumab. The development of product candidates for use in combination with another product may present challenges. For example, the FDA may require us to use more complex clinical trial designs, in order to evaluate the contribution of each product and product candidate to any observed effects. It is possible that the results of these clinical trials could show that any positive results are attributable to the already approved product. Moreover, following product approval, the FDA may require that products used in conjunction with each other be cross labeled for combined use. Additionally, the FDA review process can be more complicated for combination products, and may result in delays, particularly if complex therapeutics are involved. To the extent that we do not have rights to already approved products, this may require us to work with another company to satisfy such a requirement. Moreover, developments related to the already approved products may impact our clinical trials for the combination as well as our commercial prospects should we receive marketing approval. Such developments may include changes to the approved product’s safety or efficacy profile, changes to the availability of the approved product, and changes to the standard of care.</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A Fast Track product designation, Breakthrough Therapy Designation, or BTD, or other designation to facilitate product candidate development may not lead to faster development or a faster regulatory review or approval process, and it does not increase the likelihood that our product candidates will receive marketing approval.</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were granted Fast Track designation by the FDA for lifileucel in metastatic melanoma and metastatic cervical cancer, as well as for lifileucel in combination with pembrolizumab in advanced melanoma. We were granted BTD, for lifileucel for metastatic cervical cancer and Regenerative Medicine Advanced Therapy, or RMAT, designation for lifileucel in advanced melanoma. We may seek Fast Track or Breakthrough designation for other of our current or future product candidates. Receipt of a designation to facilitate product candidate development is within the discretion of the FDA. Accordingly, even if we believe one of our product candidates meets the criteria for a designation, the FDA may disagree. In any event, the receipt of such a designation for a product candidate may not result in a faster development process, review, or approval compared to product candidates considered for approval under conventional the FDA procedures and does not assure ultimate marketing approval by the FDA. In addition, the FDA may later decide that the products no longer meet the designation conditions.</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While lifileucel has received Orphan Drug Designation, or ODD, for melanoma stages IIB-IV and for cervical cancer patients with tumors greater than 2 cm, there is no guarantee that we will be able to maintain this designation, receive these designations for any of our other product candidates, or receive or maintain any corresponding benefits, including periods of exclusivity.</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received ODD in the U.S. for lifileucel to treat malignant melanoma stages IIB-IV and cervical cancer patients with tumors greater than 2 cm. We may also seek ODD for our other product candidates, as appropriate. ODD, however, may be lost if the indication for which we develop our designated product candidates does not meet the orphan criteria. Moreover, following product approval, orphan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exclusivity, that exclusivity may not effectively protect the product from competition because different products can be approved for the same condition and the same product can be approved for different conditions.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Moreover, the FDA may grant ODDs to multiple of the same products for the same indication. If another sponsor receives FDA approval for an ODD-designated product that is the same as our product candidates and intended for the same indication before we do, we would be prevented from launching our product in the U.S. for this indication for a period of at least 7 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 response to a court decision regarding the plain meaning of the exclusivity provision of the Orphan Drug Act, the FDA may undertake a reevaluation of aspects of its orphan drug regulations and policies.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As a condition of approval, the FDA may require that we implement various post-marketing requirements and conduct post-marketing studies, any of which would require a substantial investment of time, effort, and money, and which may limit our commercial prospects.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As a condition of biologic licensing, the FDA is authorized to require that sponsors of approved BLAs implement various post-marketing requirements, including REMS and Phase 4 studies. For example, we reached an agreement with the FDA regarding a confirmatory trial to support full approval of lifileucel in post-anti-PD-1 advanced melanoma, which we refer to as TILVANCE-301. We began startup activities for the randomized Phase 3 TILVANCE-301 trial in the fourth quarter of 2022. If we receive approval of our product candidates, the FDA may determine that similar or additional post-approval requirements are necessary to ensure that our product candidates are safe, pure, and potent. To the extent that we are required to establish and implement any post-approval requirements, we will likely need to invest a significant amount of time, effort, and money. Such post-approval requirements may also limit the commercial prospects of our product candidates.</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We may be unable to establish effective marketing and sales capabilities or enter into agreements with third parties to market and sell our product candidates, if they are approved, and as a result, we may be unable to generate product revenues.*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currently have a small commercial team focused on our commercial strategy, but we do not have a large commercial infrastructure for the marketing, sale, and distribution of biopharmaceutical products. If approved, in order to commercialize our products, we must build our marketing, sales, and distribution capabilities or make arrangements with third parties to perform these services, which will take time and require significant financial expenditures and we may not be successful in doing so. Even if we are able to effectively establish a sales force and develop a marketing and sales infrastructure, our sales force and marketing teams may not be successful in commercializing our current or future product candidates. To the extent we rely on third parties to commercialize any products for which we obtain regulatory approval, we would have less control over their sales efforts, and could be held liable if they failed to comply with applicable legal or regulatory requirements.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 addition to marketing our product, we will need to establish authorized treatment centers that will be able to obtain patients from the broader community and provide access to our therapies. Even if we are able to obtain approval for a product candidate, we may not be able to approve enough treatment centers for the provision of our product to a broad patient population. Additionally, certain areas do not have hospitals with the facilities to safely administer our therapy. Accordingly, we may only be able to launch our products with a limited number of treatment centers, which could ultimately reduce the uptake of our products. Although we have a team allocated to authorize and monitor our treatment centers, substantial resources and investment from us and each treatment center may be required. Additionally, the treatment center onboarding process can be complicated and requires extensive training, technical equipment, and coordination of processes. Once authorized, treatment centers will be required to ensure that their training, facilities, and treatment capabilities are adequately maintained.</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have limited prior experience in the marketing, sale, and distribution of biopharmaceutical products, and there are significant risks involved in the building and managing of a commercial infrastructure. The establishment and development of commercial capabilities, including a comprehensive healthcare compliance program, to market any products we may develop will be expensive and time consuming and could delay any product launch, and we may not be able to successfully develop this capability. We, or our collaborators, will have to compete with other pharmaceutical and biotechnology companies to recruit, hire, train, manage, and retain marketing, sales and commercial support personnel. In the event we are unable to develop a commercial infrastructure, we may not be able to commercialize our current or future product candidates, which would limit our ability to generate product revenues. Factors that may inhibit our efforts to commercialize our current or future product candidates and generate product revenues include:</w:t>
      </w:r>
    </w:p>
    <w:p>
      <w:pPr>
        <w:pStyle w:val="TextBody"/>
        <w:bidi w:val="0"/>
        <w:spacing w:before="0" w:after="0"/>
        <w:ind w:left="547" w:right="0" w:hanging="0"/>
        <w:jc w:val="left"/>
        <w:rPr/>
      </w:pPr>
      <w:r>
        <w:rPr/>
        <w:t>●</w:t>
      </w:r>
      <w:r>
        <w:rPr>
          <w:rFonts w:ascii="Times New Roman;Times;serif" w:hAnsi="Times New Roman;Times;serif"/>
          <w:sz w:val="20"/>
        </w:rPr>
        <w:t>if the COVID-19 pandemic continues or reoccurs it may negatively impact our ability to establish commercial operations, educate and interact with healthcare professionals, and successfully launch our product on a timely basis;</w:t>
      </w:r>
    </w:p>
    <w:p>
      <w:pPr>
        <w:pStyle w:val="TextBody"/>
        <w:bidi w:val="0"/>
        <w:spacing w:before="0" w:after="0"/>
        <w:ind w:left="547" w:right="0" w:hanging="0"/>
        <w:jc w:val="left"/>
        <w:rPr/>
      </w:pPr>
      <w:r>
        <w:rPr/>
        <w:t>●</w:t>
      </w:r>
      <w:r>
        <w:rPr>
          <w:rFonts w:ascii="Times New Roman;Times;serif" w:hAnsi="Times New Roman;Times;serif"/>
          <w:sz w:val="20"/>
        </w:rPr>
        <w:t>the inability of sales personnel to obtain access to physicians or persuade adequate numbers of physicians to prescribe our current or future product candidates;</w:t>
      </w:r>
    </w:p>
    <w:p>
      <w:pPr>
        <w:pStyle w:val="TextBody"/>
        <w:bidi w:val="0"/>
        <w:ind w:left="547" w:right="0" w:hanging="0"/>
        <w:jc w:val="left"/>
        <w:rPr/>
      </w:pPr>
      <w:r>
        <w:rPr/>
        <w:t>●</w:t>
      </w:r>
      <w:r>
        <w:rPr>
          <w:rFonts w:ascii="Times New Roman;Times;serif" w:hAnsi="Times New Roman;Times;serif"/>
          <w:sz w:val="20"/>
        </w:rPr>
        <w:t>our inability to effectively oversee a geographically dispersed sales and marketing team;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547" w:right="0" w:hanging="0"/>
        <w:jc w:val="left"/>
        <w:rPr/>
      </w:pPr>
      <w:r>
        <w:rPr/>
        <w:t>●</w:t>
      </w:r>
      <w:r>
        <w:rPr>
          <w:rFonts w:ascii="Times New Roman;Times;serif" w:hAnsi="Times New Roman;Times;serif"/>
          <w:sz w:val="20"/>
        </w:rPr>
        <w:t>the costs and time associated with the initial and ongoing training of sales and marketing personnel on legal and regulatory compliance matters and monitoring their actions;</w:t>
      </w:r>
    </w:p>
    <w:p>
      <w:pPr>
        <w:pStyle w:val="TextBody"/>
        <w:bidi w:val="0"/>
        <w:spacing w:before="0" w:after="0"/>
        <w:ind w:left="547" w:right="0" w:hanging="0"/>
        <w:jc w:val="left"/>
        <w:rPr/>
      </w:pPr>
      <w:r>
        <w:rPr/>
        <w:t>●</w:t>
      </w:r>
      <w:r>
        <w:rPr>
          <w:rFonts w:ascii="Times New Roman;Times;serif" w:hAnsi="Times New Roman;Times;serif"/>
          <w:sz w:val="20"/>
        </w:rPr>
        <w:t>an inability to secure adequate coverage and reimbursement by government and private health plans;</w:t>
      </w:r>
    </w:p>
    <w:p>
      <w:pPr>
        <w:pStyle w:val="TextBody"/>
        <w:bidi w:val="0"/>
        <w:spacing w:before="0" w:after="0"/>
        <w:ind w:left="547" w:right="0" w:hanging="0"/>
        <w:jc w:val="left"/>
        <w:rPr/>
      </w:pPr>
      <w:r>
        <w:rPr/>
        <w:t>●</w:t>
      </w:r>
      <w:r>
        <w:rPr>
          <w:rFonts w:ascii="Times New Roman;Times;serif" w:hAnsi="Times New Roman;Times;serif"/>
          <w:sz w:val="20"/>
        </w:rPr>
        <w:t>the clinical indications for which the products are approved and the claims that we may make for the products;</w:t>
      </w:r>
    </w:p>
    <w:p>
      <w:pPr>
        <w:pStyle w:val="TextBody"/>
        <w:bidi w:val="0"/>
        <w:spacing w:before="0" w:after="0"/>
        <w:ind w:left="547" w:right="0" w:hanging="0"/>
        <w:jc w:val="left"/>
        <w:rPr/>
      </w:pPr>
      <w:r>
        <w:rPr/>
        <w:t>●</w:t>
      </w:r>
      <w:r>
        <w:rPr>
          <w:rFonts w:ascii="Times New Roman;Times;serif" w:hAnsi="Times New Roman;Times;serif"/>
          <w:sz w:val="20"/>
        </w:rPr>
        <w:t>limitations or warnings, including distribution or use restrictions, contained in the products’ approved labeling;</w:t>
      </w:r>
    </w:p>
    <w:p>
      <w:pPr>
        <w:pStyle w:val="TextBody"/>
        <w:bidi w:val="0"/>
        <w:spacing w:before="0" w:after="0"/>
        <w:ind w:left="547" w:right="0" w:hanging="0"/>
        <w:jc w:val="left"/>
        <w:rPr/>
      </w:pPr>
      <w:r>
        <w:rPr/>
        <w:t>●</w:t>
      </w:r>
      <w:r>
        <w:rPr>
          <w:rFonts w:ascii="Times New Roman;Times;serif" w:hAnsi="Times New Roman;Times;serif"/>
          <w:sz w:val="20"/>
        </w:rPr>
        <w:t>any distribution and use restrictions imposed by the FDA or to which we agree as part of a mandatory REMS or voluntary risk management plan;</w:t>
      </w:r>
    </w:p>
    <w:p>
      <w:pPr>
        <w:pStyle w:val="TextBody"/>
        <w:bidi w:val="0"/>
        <w:spacing w:before="0" w:after="0"/>
        <w:ind w:left="547" w:right="0" w:hanging="0"/>
        <w:jc w:val="left"/>
        <w:rPr/>
      </w:pPr>
      <w:r>
        <w:rPr/>
        <w:t>●</w:t>
      </w:r>
      <w:r>
        <w:rPr>
          <w:rFonts w:ascii="Times New Roman;Times;serif" w:hAnsi="Times New Roman;Times;serif"/>
          <w:sz w:val="20"/>
        </w:rPr>
        <w:t>liability for sales or marketing personnel who fail to comply with the applicable legal and regulatory requirements;</w:t>
      </w:r>
    </w:p>
    <w:p>
      <w:pPr>
        <w:pStyle w:val="TextBody"/>
        <w:bidi w:val="0"/>
        <w:spacing w:before="0" w:after="0"/>
        <w:ind w:left="547" w:right="0" w:hanging="0"/>
        <w:jc w:val="left"/>
        <w:rPr/>
      </w:pPr>
      <w:r>
        <w:rPr/>
        <w:t>●</w:t>
      </w:r>
      <w:r>
        <w:rPr>
          <w:rFonts w:ascii="Times New Roman;Times;serif" w:hAnsi="Times New Roman;Times;serif"/>
          <w:sz w:val="20"/>
        </w:rPr>
        <w:t>the lack of complementary products to be offered by sales personnel, which may put us at a competitive disadvantage relative to companies with more extensive product lines; and</w:t>
      </w:r>
    </w:p>
    <w:p>
      <w:pPr>
        <w:pStyle w:val="TextBody"/>
        <w:bidi w:val="0"/>
        <w:ind w:left="547" w:right="0" w:hanging="0"/>
        <w:jc w:val="left"/>
        <w:rPr/>
      </w:pPr>
      <w:r>
        <w:rPr/>
        <w:t>●</w:t>
      </w:r>
      <w:r>
        <w:rPr>
          <w:rFonts w:ascii="Times New Roman;Times;serif" w:hAnsi="Times New Roman;Times;serif"/>
          <w:sz w:val="20"/>
        </w:rPr>
        <w:t>unforeseen costs and expenses associated with creating an independent sales and marketing organization or engaging a contract sales organization.</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If our product candidates do not achieve broad market acceptance, the revenues that we generate from their sales will be limited.</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Until recently, with the closing of the Proleukin® acquisition in May 2023, we had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 for which we obtain regulatory approval does not gain an adequate level of market acceptance, we may not generate significant product revenues or become profitable. Market acceptance of our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Efforts to educate the medical community and third-party payors on the benefits of our product candidates may require significant resources and may not be successful. If any of our product candidates is approved but does not achieve an adequate level of market acceptance, we may not generate significant revenues and we may not become profitable. The degree of market acceptance of any of our product candidates will depend on a number of factors, including:</w:t>
      </w:r>
    </w:p>
    <w:p>
      <w:pPr>
        <w:pStyle w:val="TextBody"/>
        <w:bidi w:val="0"/>
        <w:spacing w:before="0" w:after="0"/>
        <w:ind w:left="547" w:right="0" w:hanging="0"/>
        <w:jc w:val="left"/>
        <w:rPr/>
      </w:pPr>
      <w:r>
        <w:rPr/>
        <w:t>●</w:t>
      </w:r>
      <w:r>
        <w:rPr>
          <w:rFonts w:ascii="Times New Roman;Times;serif" w:hAnsi="Times New Roman;Times;serif"/>
          <w:sz w:val="20"/>
        </w:rPr>
        <w:t>the efficacy of our product candidates;</w:t>
      </w:r>
    </w:p>
    <w:p>
      <w:pPr>
        <w:pStyle w:val="TextBody"/>
        <w:bidi w:val="0"/>
        <w:spacing w:before="0" w:after="0"/>
        <w:ind w:left="547" w:right="0" w:hanging="0"/>
        <w:jc w:val="left"/>
        <w:rPr/>
      </w:pPr>
      <w:r>
        <w:rPr/>
        <w:t>●</w:t>
      </w:r>
      <w:r>
        <w:rPr>
          <w:rFonts w:ascii="Times New Roman;Times;serif" w:hAnsi="Times New Roman;Times;serif"/>
          <w:sz w:val="20"/>
        </w:rPr>
        <w:t>the prevalence and severity of adverse events associated with such product candidates;</w:t>
      </w:r>
    </w:p>
    <w:p>
      <w:pPr>
        <w:pStyle w:val="TextBody"/>
        <w:bidi w:val="0"/>
        <w:spacing w:before="0" w:after="0"/>
        <w:ind w:left="547" w:right="0" w:hanging="0"/>
        <w:jc w:val="left"/>
        <w:rPr/>
      </w:pPr>
      <w:r>
        <w:rPr/>
        <w:t>●</w:t>
      </w:r>
      <w:r>
        <w:rPr>
          <w:rFonts w:ascii="Times New Roman;Times;serif" w:hAnsi="Times New Roman;Times;serif"/>
          <w:sz w:val="20"/>
        </w:rPr>
        <w:t>the clinical indications for which the products are approved and the approved claims that we may make for the products;</w:t>
      </w:r>
    </w:p>
    <w:p>
      <w:pPr>
        <w:pStyle w:val="TextBody"/>
        <w:bidi w:val="0"/>
        <w:spacing w:before="0" w:after="0"/>
        <w:ind w:left="547" w:right="0" w:hanging="0"/>
        <w:jc w:val="left"/>
        <w:rPr/>
      </w:pPr>
      <w:r>
        <w:rPr/>
        <w:t>●</w:t>
      </w:r>
      <w:r>
        <w:rPr>
          <w:rFonts w:ascii="Times New Roman;Times;serif" w:hAnsi="Times New Roman;Times;serif"/>
          <w:sz w:val="20"/>
        </w:rPr>
        <w:t>limitations or warnings contained in the approved product’s FDA-required labeling, including potential limitations or warnings for such products that may be more restrictive than other competitive products;</w:t>
      </w:r>
    </w:p>
    <w:p>
      <w:pPr>
        <w:pStyle w:val="TextBody"/>
        <w:bidi w:val="0"/>
        <w:spacing w:before="0" w:after="0"/>
        <w:ind w:left="547" w:right="0" w:hanging="0"/>
        <w:jc w:val="left"/>
        <w:rPr/>
      </w:pPr>
      <w:r>
        <w:rPr/>
        <w:t>●</w:t>
      </w:r>
      <w:r>
        <w:rPr>
          <w:rFonts w:ascii="Times New Roman;Times;serif" w:hAnsi="Times New Roman;Times;serif"/>
          <w:sz w:val="20"/>
        </w:rPr>
        <w:t>changes in the standard of care for the targeted indications for such product candidates;</w:t>
      </w:r>
    </w:p>
    <w:p>
      <w:pPr>
        <w:pStyle w:val="TextBody"/>
        <w:bidi w:val="0"/>
        <w:spacing w:before="0" w:after="0"/>
        <w:ind w:left="547" w:right="0" w:hanging="0"/>
        <w:jc w:val="left"/>
        <w:rPr/>
      </w:pPr>
      <w:r>
        <w:rPr/>
        <w:t>●</w:t>
      </w:r>
      <w:r>
        <w:rPr>
          <w:rFonts w:ascii="Times New Roman;Times;serif" w:hAnsi="Times New Roman;Times;serif"/>
          <w:sz w:val="20"/>
        </w:rPr>
        <w:t>the relative difficulty of administration of such product candidates;</w:t>
      </w:r>
    </w:p>
    <w:p>
      <w:pPr>
        <w:pStyle w:val="TextBody"/>
        <w:bidi w:val="0"/>
        <w:spacing w:before="0" w:after="0"/>
        <w:ind w:left="547" w:right="0" w:hanging="0"/>
        <w:jc w:val="left"/>
        <w:rPr/>
      </w:pPr>
      <w:r>
        <w:rPr/>
        <w:t>●</w:t>
      </w:r>
      <w:r>
        <w:rPr>
          <w:rFonts w:ascii="Times New Roman;Times;serif" w:hAnsi="Times New Roman;Times;serif"/>
          <w:sz w:val="20"/>
        </w:rPr>
        <w:t>cost of treatment versus economic and clinical benefit in relation to alternative treatments or therapies;</w:t>
      </w:r>
    </w:p>
    <w:p>
      <w:pPr>
        <w:pStyle w:val="TextBody"/>
        <w:bidi w:val="0"/>
        <w:spacing w:before="0" w:after="0"/>
        <w:ind w:left="547" w:right="0" w:hanging="0"/>
        <w:jc w:val="left"/>
        <w:rPr/>
      </w:pPr>
      <w:r>
        <w:rPr/>
        <w:t>●</w:t>
      </w:r>
      <w:r>
        <w:rPr>
          <w:rFonts w:ascii="Times New Roman;Times;serif" w:hAnsi="Times New Roman;Times;serif"/>
          <w:sz w:val="20"/>
        </w:rPr>
        <w:t>the availability of adequate coverage or reimbursement by third parties, such as insurance companies and other healthcare payors, and by government healthcare programs, including Medicare and Medicaid;</w:t>
      </w:r>
    </w:p>
    <w:p>
      <w:pPr>
        <w:pStyle w:val="TextBody"/>
        <w:bidi w:val="0"/>
        <w:spacing w:before="0" w:after="0"/>
        <w:ind w:left="547" w:right="0" w:hanging="0"/>
        <w:jc w:val="left"/>
        <w:rPr/>
      </w:pPr>
      <w:r>
        <w:rPr/>
        <w:t>●</w:t>
      </w:r>
      <w:r>
        <w:rPr>
          <w:rFonts w:ascii="Times New Roman;Times;serif" w:hAnsi="Times New Roman;Times;serif"/>
          <w:sz w:val="20"/>
        </w:rPr>
        <w:t>the extent and strength of our marketing and distribution of such product candidates;</w:t>
      </w:r>
    </w:p>
    <w:p>
      <w:pPr>
        <w:pStyle w:val="TextBody"/>
        <w:bidi w:val="0"/>
        <w:spacing w:before="0" w:after="0"/>
        <w:ind w:left="547" w:right="0" w:hanging="0"/>
        <w:jc w:val="left"/>
        <w:rPr/>
      </w:pPr>
      <w:r>
        <w:rPr/>
        <w:t>●</w:t>
      </w:r>
      <w:r>
        <w:rPr>
          <w:rFonts w:ascii="Times New Roman;Times;serif" w:hAnsi="Times New Roman;Times;serif"/>
          <w:sz w:val="20"/>
        </w:rPr>
        <w:t>the safety, efficacy, and other potential advantages over, and availability of, alternative treatments already used or that may later be approved for any of our intended indications;</w:t>
      </w:r>
    </w:p>
    <w:p>
      <w:pPr>
        <w:pStyle w:val="TextBody"/>
        <w:bidi w:val="0"/>
        <w:spacing w:before="0" w:after="0"/>
        <w:ind w:left="547" w:right="0" w:hanging="0"/>
        <w:jc w:val="left"/>
        <w:rPr/>
      </w:pPr>
      <w:r>
        <w:rPr/>
        <w:t>●</w:t>
      </w:r>
      <w:r>
        <w:rPr>
          <w:rFonts w:ascii="Times New Roman;Times;serif" w:hAnsi="Times New Roman;Times;serif"/>
          <w:sz w:val="20"/>
        </w:rPr>
        <w:t>distribution and use restrictions imposed by the FDA with respect to such product candidates or to which we agree as part of a mandatory risk evaluation and mitigation strategy or voluntary risk management plan;</w:t>
      </w:r>
    </w:p>
    <w:p>
      <w:pPr>
        <w:pStyle w:val="TextBody"/>
        <w:bidi w:val="0"/>
        <w:spacing w:before="0" w:after="0"/>
        <w:ind w:left="547" w:right="0" w:hanging="0"/>
        <w:jc w:val="left"/>
        <w:rPr/>
      </w:pPr>
      <w:r>
        <w:rPr/>
        <w:t>●</w:t>
      </w:r>
      <w:r>
        <w:rPr>
          <w:rFonts w:ascii="Times New Roman;Times;serif" w:hAnsi="Times New Roman;Times;serif"/>
          <w:sz w:val="20"/>
        </w:rPr>
        <w:t>the timing of market introduction of such product candidates, as well as competitive products;</w:t>
      </w:r>
    </w:p>
    <w:p>
      <w:pPr>
        <w:pStyle w:val="TextBody"/>
        <w:bidi w:val="0"/>
        <w:spacing w:before="0" w:after="0"/>
        <w:ind w:left="547" w:right="0" w:hanging="0"/>
        <w:jc w:val="left"/>
        <w:rPr/>
      </w:pPr>
      <w:r>
        <w:rPr/>
        <w:t>●</w:t>
      </w:r>
      <w:r>
        <w:rPr>
          <w:rFonts w:ascii="Times New Roman;Times;serif" w:hAnsi="Times New Roman;Times;serif"/>
          <w:sz w:val="20"/>
        </w:rPr>
        <w:t>our ability to offer such product candidates for sale at competitive prices;</w:t>
      </w:r>
    </w:p>
    <w:p>
      <w:pPr>
        <w:pStyle w:val="TextBody"/>
        <w:bidi w:val="0"/>
        <w:spacing w:before="0" w:after="0"/>
        <w:ind w:left="547" w:right="0" w:hanging="0"/>
        <w:jc w:val="left"/>
        <w:rPr/>
      </w:pPr>
      <w:r>
        <w:rPr/>
        <w:t>●</w:t>
      </w:r>
      <w:r>
        <w:rPr>
          <w:rFonts w:ascii="Times New Roman;Times;serif" w:hAnsi="Times New Roman;Times;serif"/>
          <w:sz w:val="20"/>
        </w:rPr>
        <w:t>the willingness of the target patient population to try new therapies and of physicians to prescribe these therapies;</w:t>
      </w:r>
    </w:p>
    <w:p>
      <w:pPr>
        <w:pStyle w:val="TextBody"/>
        <w:bidi w:val="0"/>
        <w:spacing w:before="0" w:after="0"/>
        <w:ind w:left="547" w:right="0" w:hanging="0"/>
        <w:jc w:val="left"/>
        <w:rPr/>
      </w:pPr>
      <w:r>
        <w:rPr/>
        <w:t>●</w:t>
      </w:r>
      <w:r>
        <w:rPr>
          <w:rFonts w:ascii="Times New Roman;Times;serif" w:hAnsi="Times New Roman;Times;serif"/>
          <w:sz w:val="20"/>
        </w:rPr>
        <w:t>the extent and strength of our third-party manufacturer and supplier support;</w:t>
      </w:r>
    </w:p>
    <w:p>
      <w:pPr>
        <w:pStyle w:val="TextBody"/>
        <w:bidi w:val="0"/>
        <w:spacing w:before="0" w:after="0"/>
        <w:ind w:left="547" w:right="0" w:hanging="0"/>
        <w:jc w:val="left"/>
        <w:rPr/>
      </w:pPr>
      <w:r>
        <w:rPr/>
        <w:t>●</w:t>
      </w:r>
      <w:r>
        <w:rPr>
          <w:rFonts w:ascii="Times New Roman;Times;serif" w:hAnsi="Times New Roman;Times;serif"/>
          <w:sz w:val="20"/>
        </w:rPr>
        <w:t>the approval of other new products for the same indications;</w:t>
      </w:r>
    </w:p>
    <w:p>
      <w:pPr>
        <w:pStyle w:val="TextBody"/>
        <w:bidi w:val="0"/>
        <w:spacing w:before="0" w:after="0"/>
        <w:ind w:left="547" w:right="0" w:hanging="0"/>
        <w:jc w:val="left"/>
        <w:rPr/>
      </w:pPr>
      <w:r>
        <w:rPr/>
        <w:t>●</w:t>
      </w:r>
      <w:r>
        <w:rPr>
          <w:rFonts w:ascii="Times New Roman;Times;serif" w:hAnsi="Times New Roman;Times;serif"/>
          <w:sz w:val="20"/>
        </w:rPr>
        <w:t>adverse publicity about the product or favorable publicity about competitive products; and</w:t>
      </w:r>
    </w:p>
    <w:p>
      <w:pPr>
        <w:pStyle w:val="TextBody"/>
        <w:bidi w:val="0"/>
        <w:ind w:left="547" w:right="0" w:hanging="0"/>
        <w:jc w:val="left"/>
        <w:rPr/>
      </w:pPr>
      <w:r>
        <w:rPr/>
        <w:t>●</w:t>
      </w:r>
      <w:r>
        <w:rPr>
          <w:rFonts w:ascii="Times New Roman;Times;serif" w:hAnsi="Times New Roman;Times;serif"/>
          <w:sz w:val="20"/>
        </w:rPr>
        <w:t>potential product liability claims.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Our efforts to educate the medical community and third-party payors on the benefits of our product candidates may require significant resources and may never be successful. Even if the medical community accepts that our product candidates are safe and effective for their approved indications, physicians and patients may not immediately be receptive to such product candidates and may be slow to adopt them as an accepted treatment of the approved indications. If our current or future product candidates are approved but do not achieve an adequate level of acceptance among physicians, patients, and third-party payors, we may not generate meaningful revenues from our product candidates, and we may not become profitable.</w:t>
      </w:r>
    </w:p>
    <w:p>
      <w:pPr>
        <w:pStyle w:val="TextBody"/>
        <w:bidi w:val="0"/>
        <w:spacing w:before="0" w:after="200"/>
        <w:ind w:left="0" w:right="0" w:firstLine="540"/>
        <w:jc w:val="left"/>
        <w:rPr>
          <w:rFonts w:ascii="Times New Roman;Times;serif" w:hAnsi="Times New Roman;Times;serif"/>
          <w:b/>
          <w:i/>
          <w:sz w:val="20"/>
        </w:rPr>
      </w:pPr>
      <w:r>
        <w:rPr>
          <w:rFonts w:ascii="Times New Roman;Times;serif" w:hAnsi="Times New Roman;Times;serif"/>
          <w:b/>
          <w:i/>
          <w:sz w:val="20"/>
        </w:rPr>
        <w:t>Our product candidates may face competition sooner than anticipated.</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The enactment of the BPCIA created an abbreviated pathway for the approval of biosimilar and interchangeable biological products. The abbreviated regulatory pathway establishes legal authority for the FDA to review and approve biosimilar biologics, including the possible designation of a biosimilar as “interchangeable” based on its similarity to an existing brand product. Under the BPCIA, the FDA cannot make an approval of an application for a biosimilar product effective until 12 years after the original branded product was approved under a BLA. Certain changes, however, and supplements to an approved BLA, and subsequent applications filed by the same sponsor, manufacturer, licensor, predecessor in interest, or other related entity do not qualify for the 12-year exclusivity period.</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Our product candidates may qualify for the BPCIA’s 12-year period of exclusivity. However, there is a risk that the FDA will not consider our product candidates to be reference products for competing products, potentially creating the opportunity for biosimilar competition sooner than anticipated. Additionally, this period of regulatory exclusivity does not block companies pursuing regulatory approval via their own traditional BLA, rather than via the abbreviated pathway. Changes may also be made to this exclusivity period as a result of future legislation as there has been ongoing efforts to reduce the period of exclusivity. Even if we receive a period of BPCIA exclusivity for our first licensed product, if subsequent products do not include a modification to the structure of the product that impacts safety, purity, or potency, we may not receive additional periods of exclusivity for those products.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 Medicare Part B encourages use of biosimilars by paying the provider the same percentage of the reference product, average sale price, or ASP as a mark-up, regardless of which product is reimbursed. It is also possible that payors will give reimbursement preference to biosimilars even over reference biologics absent a determination of interchangeability.</w:t>
      </w:r>
    </w:p>
    <w:p>
      <w:pPr>
        <w:pStyle w:val="TextBody"/>
        <w:bidi w:val="0"/>
        <w:spacing w:before="0" w:after="200"/>
        <w:ind w:left="0" w:right="0" w:firstLine="540"/>
        <w:jc w:val="left"/>
        <w:rPr>
          <w:rFonts w:ascii="Times New Roman;Times;serif" w:hAnsi="Times New Roman;Times;serif"/>
          <w:b/>
          <w:i/>
          <w:sz w:val="20"/>
        </w:rPr>
      </w:pPr>
      <w:r>
        <w:rPr>
          <w:rFonts w:ascii="Times New Roman;Times;serif" w:hAnsi="Times New Roman;Times;serif"/>
          <w:b/>
          <w:i/>
          <w:sz w:val="20"/>
        </w:rPr>
        <w:t>We will need to obtain FDA approval of any proposed proprietary branded product names, and any failure or delay associated with such approval may adversely affect our business.</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proprietary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pStyle w:val="TextBody"/>
        <w:bidi w:val="0"/>
        <w:spacing w:before="0" w:after="200"/>
        <w:ind w:left="0" w:right="0" w:firstLine="540"/>
        <w:jc w:val="left"/>
        <w:rPr>
          <w:rFonts w:ascii="Times New Roman;Times;serif" w:hAnsi="Times New Roman;Times;serif"/>
          <w:b/>
          <w:i/>
          <w:sz w:val="20"/>
        </w:rPr>
      </w:pPr>
      <w:r>
        <w:rPr>
          <w:rFonts w:ascii="Times New Roman;Times;serif" w:hAnsi="Times New Roman;Times;serif"/>
          <w:b/>
          <w:i/>
          <w:sz w:val="20"/>
        </w:rPr>
        <w:t>Our internal computer systems, or those used by our contract research organizations or other contractors or consultants, may fail or suffer security breaches.*</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Despite the implementation of security measures, our internal computer systems and those of our contract research organizations and other contractors and consultants are vulnerable to damage from computer viruses, unauthorized and authorized access, natural disasters, terrorism, war and telecommunication and electrical failures. If such an event was to occur and cause interruptions in our operations, it could result in a disruption of our drug development programs. For example, the loss of clinical trial data from completed or ongoing clinical trials for a product candidate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and the further development of any product candidates could be delayed.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We maintain a specialized information technology system for tracking chain of custody and chain of identity for TIL therapy patients. Like other autologous cell therapies, this is extremely important for patient safety and is a requirement outlined in our BLA submission. This requires us to store and maintain patient specific heath information. The risks associated with storing patient health and personal data may increase cyber threats and regulatory accountability and scrutiny. Although we have industry-standard secure systems and maintain privacy controls, there is a possibility that incidents compromising this information can occur. In addition to the regulatory and civil litigation risks, failure to maintain this data correctly could result in loss of patients or our ability to deliver patient care.</w:t>
      </w:r>
    </w:p>
    <w:p>
      <w:pPr>
        <w:pStyle w:val="TextBody"/>
        <w:bidi w:val="0"/>
        <w:spacing w:before="0" w:after="200"/>
        <w:ind w:left="0" w:right="0" w:firstLine="540"/>
        <w:jc w:val="both"/>
        <w:rPr>
          <w:rFonts w:ascii="Times New Roman;Times;serif" w:hAnsi="Times New Roman;Times;serif"/>
          <w:b/>
          <w:i/>
          <w:sz w:val="20"/>
        </w:rPr>
      </w:pPr>
      <w:r>
        <w:rPr>
          <w:rFonts w:ascii="Times New Roman;Times;serif" w:hAnsi="Times New Roman;Times;serif"/>
          <w:b/>
          <w:i/>
          <w:sz w:val="20"/>
        </w:rPr>
        <w:t>We are dependent on information technology, systems, infrastructure and data.</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We are dependent upon information technology systems, infrastructure and data. The multitude and complexity of our computer systems make them inherently vulnerable to service interruption or destruction, malicious intrusion and random attack. Likewise, data privacy or cybersecurity breaches by third parties, employees, contractors or others may pose a risk that sensitive data, including our intellectual property, trade secrets or personal information of our employees, patients, or other business partners may be exposed to unauthorized persons or to the public. Cyberattacks are increasing in their frequency, sophistication and intensity. The Russia-Ukraine conflict may also increase cybersecurity risks on a global basis. Cyberattacks could include the deployment of harmful malware, denial-of-service, ransomware, social engineering and other means to affect service reliability and threaten data confidentiality, privacy, integrity and availability. Our business and technology partners face similar risks, and any security breach of their systems could adversely affect our security posture. While we have invested, and continue to invest, in the protection of our data and information technology infrastructure, there can be no assurance that our efforts, or the efforts of our partners and vendors, will prevent service interruptions, or identify breaches in our systems, that could adversely affect our business and operations and/or result in the loss of critical or sensitive information, which could result in financial, legal, business or reputational harm to us. In addition, our liability insurance may not be sufficient in type or amount to cover us against claims related to security breaches, cyberattacks and other cybersecurity related breaches.</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Our business could be adversely affected by the effects of health epidemics, including the COVID-19 pandemic, in regions where we or third parties on which we rely have significant manufacturing facilities, concentrations of clinical trial sites or other business operations. The COVID-19 pandemic could materially affect our operations, including at our headquarters in San Carlos, California, at our manufacturing facility in Philadelphia, Pennsylvania, which have previously been subject to state executive orders and shelter-in-place orders, and at our clinical trial sites, as well as the business or operations of our other manufacturers, CROs or other third parties with whom we conduct business.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Our business could be adversely affected by health epidemics in regions where we have offices, manufacturing facilities, concentrations of clinical trial sites or other business operations, and could cause significant disruption in the operations of clinical trial sites, third party manufacturers and CROs upon whom we rely. For example, starting in December 2019, a novel strain of coronavirus, COVID-19, was reported to have surfaced in Wuhan, China and has spread to multiple countries, including the U.S. and several European countries. In March 2020, the World Health Organization declared COVID-19 a global pandemic and the U.S. declared the COVID-19 pandemic a national emergency. Similarly, during that time, the State of California declared a state of emergency related to the spread of the COVID-19 pandemic and the health officers of six San Francisco Bay Area counties, including San Mateo County where our headquarters in San Carlos is located, issued shelter-in-place orders. In addition, on March 19, 2020, the Governor of California and the State Public Health Officer and Director of the California Department of Public Health ordered all individuals living in the State of California to stay at their place of residence for an indefinite period of time (subject to certain exceptions to facilitate authorized necessary activities) to mitigate the impact of the COVID-19 pandemic. Throughout 2020 and 2021, similar executive orders were issued by state and local governments, and states of emergency had been declared at the state and local level in most jurisdictions throughout the U.S. As recently as April 2022, ports and airports in Shanghai, China have been closed due to another outbreak of COVID-19, resulting in a lockdown of the city and disruption to export and import activities. In the U.S., many of these executive orders have been rescinded, however, the Company remains vigilant and continues to monitor the ongoing COVID-19 pandemic closely to determine if additional actions are required.</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Quarantines, shelter-in-place and similar government orders, or the perception that such orders, shutdowns or other restrictions on the conduct of business operations could occur, related to the COVID-19 pandemic or other infectious diseases could impact personnel at third-party manufacturing facilities in the U.S. and other countries, or the availability or cost of materials, which would disrupt our supply chain. In addition, our clinical trials may be affected by the COVID-19 pandemic. Clinical site initiation, patient enrollment and patient monitoring may be delayed due to prioritization of hospital resources toward the COVID-19 pandemic. Some sites may no longer be available to see patients for clinical trials. Some patients may not be able to comply with clinical trial protocols if quarantines impede patient movement or interrupt healthcare services. Patients may also miss follow-up visits after receiving our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therapies during our clinical trials, which may or may not be rectified by future patient visits and which may result in the exclusion of data from such patients from the clinical trial data. Similarly, our ability to recruit and retain patients and principal investigators and site staff who, as healthcare providers, may have heightened exposure to the virus that causes the COVID-19 pandemic and adversely impact our clinical trial operations. The COVID-19 pandemic may also affect our ability to recruit treatment-naïve patients into our clinical trials, because those patients may be more likely to seek standard of care therapies available at local treatment centers rather than enroll in a clinical trial at a larger hospital.</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continue to monitor the impact, if any, of the COVID-19 pandemic on our current and future operations, including our regulatory filing timelines and strategy as well as our preparation for commercial launch. Despite the wide-spread availability of COVID-19 vaccines, it is unclear the extent to which the COVID-19 pandemic (including future variants) will impact our business, results of operations, financial condition and our future strategic plans as future developments of the outbreak are highly uncertain and cannot be predicted. New information is constantly emerging concerning the severity of COVID-19 and the actions to contain COVID-19 or treat its impact, among others. As the COVID-19 pandemic continues for an extended period of time, any restrictions regarding travel and face to face interactions, or constraints on resources, either by us or our contractors, including our CMOs, our regulatory strategy or commercial launch preparations may be negatively impacted. The COVID-19 pandemic may also impact the FDA and their ability to timely review our regulatory filings and conduct the pre-approval inspections necessary for ultimate approval of BLA. We cannot predict at this time whether and how FDA operations may be impacted at relevant times for our planned regulatory submissions.</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Our failure to comply with international data protection laws and regulations could lead to government enforcement actions and significant penalties against us, and adversely impact our operating results.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European Union, or EU, member states and other foreign jurisdictions, including Switzerland, the United Kingdom and Canada, have adopted data protection laws and regulations which impose significant compliance obligations on us. Moreover, the collection and use of personal health data in the EU, which was formerly governed by the provisions of the EU Data Protection Directive, was replaced with the EU General Data Protection Regulation, or the GDPR, in May 2018.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The implementation of the GDPR has increased our responsibility and liability in relation to personal data that we process, including in clinical trials, and we may in the future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If we fail to comply with the data protection laws in any EU member country or other jurisdiction, the data protection authority of such country or other jurisdiction may, in addition to fines, impose sanctions on us, which may include a prohibition that prevents us from transferring and/or processing personal data of data subjects from such country or other jurisdiction for a duration determined by the sanctioning authority. Our inability to transfer and/or process personal data of data subjects could preclude us from conducting clinical trials of our products in the EU member country or other jurisdiction for the duration of the sanction. Our inability to conduct clinical trials in the EU member country or other jurisdiction for the duration of the sanction may delay and increase the cost of development of our products, with a material adverse effect on our business. In this regard, we expect that there will continue to be new proposed laws, regulations and industry standards relating to privacy and data protection in the U.S., the EU and other jurisdictions, and we cannot determine the impact such future laws, regulations and standards may have on our business.</w:t>
      </w:r>
    </w:p>
    <w:p>
      <w:pPr>
        <w:pStyle w:val="TextBody"/>
        <w:bidi w:val="0"/>
        <w:spacing w:before="0" w:after="200"/>
        <w:ind w:left="0" w:right="0" w:firstLine="547"/>
        <w:jc w:val="both"/>
        <w:rPr>
          <w:rFonts w:ascii="Times New Roman;Times;serif" w:hAnsi="Times New Roman;Times;serif"/>
          <w:b/>
          <w:i/>
          <w:sz w:val="20"/>
        </w:rPr>
      </w:pPr>
      <w:r>
        <w:rPr>
          <w:rFonts w:ascii="Times New Roman;Times;serif" w:hAnsi="Times New Roman;Times;serif"/>
          <w:b/>
          <w:i/>
          <w:sz w:val="20"/>
        </w:rPr>
        <w:t>Our failure to comply with state and/or national data protection laws and regulations could lead to government enforcement actions and significant penalties against us, and adversely impact our operating results.</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There are numerous other laws and legislative and regulatory initiatives at the federal and state levels addressing privacy and security concerns, and some state privacy laws apply more broadly than the Health Insurance Portability and Accountability Act, or HIPAA, and associated regulations. For example, California recently enacted legislation, the California Consumer Privacy Act, or CCPA, which went into effect January 1, 2020, and was recently amended and expanded by the California Privacy Rights Act, or CPRA, which will take effect on January 1, 2023. The CCPA and CPRA, among other things, create new data privacy obligations for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covered companies and provides new privacy rights to California residents, including the right to opt out of certain disclosures of their information. The CCPA also created a private right of action with statutory damages for certain data breaches, thereby potentially increasing risks associated with a data breach.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Although the law includes limited exceptions, including for certain information collected as part of clinical trials as specified in the law, it may regulate or impact our processing of personal information depending on the context. It remains unclear what, if any, additional modifications will be made to the CPRA by the California legislature or how it will be interpreted. Therefore, the effects of the CCPA and CPRA are significant and will likely require us to modify our data processing practices and may cause us to incur substantial costs and expenses to comply. </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We will need to grow the size and capabilities of our organization, and we may experience difficulties in managing this growth.</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Our operations are dependent upon the services of our executives and our employees who are engaged in research and development. The loss of the services of our executive officers or senior research personnel could delay our product development programs and our research and development efforts. In order to develop our business in accordance with our business plan, we will have to hire additional qualified personnel, including in the areas of research, manufacturing, clinical trials management, regulatory affairs, and sales and marketing. We are continuing our efforts to recruit and hire the necessary employees to support our planned operations in the near term.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For example, we continue to recruit a new Chief Executive Officer. However, competition for qualified employees among companies in the biotechnology and biopharmaceutical industry is intense, and no assurance can be given that we will be able attract, hire, retain and motivate the highly skilled employees that we need. Future growth will impose significant added responsibilities on members of management, including:</w:t>
      </w:r>
    </w:p>
    <w:p>
      <w:pPr>
        <w:pStyle w:val="TextBody"/>
        <w:bidi w:val="0"/>
        <w:spacing w:before="0" w:after="0"/>
        <w:ind w:left="547" w:right="0" w:hanging="0"/>
        <w:jc w:val="left"/>
        <w:rPr/>
      </w:pPr>
      <w:r>
        <w:rPr/>
        <w:t>●</w:t>
      </w:r>
      <w:r>
        <w:rPr>
          <w:rFonts w:ascii="Times New Roman;Times;serif" w:hAnsi="Times New Roman;Times;serif"/>
          <w:sz w:val="20"/>
        </w:rPr>
        <w:t>identifying, recruiting, integrating, maintaining, and motivating additional employees;</w:t>
      </w:r>
    </w:p>
    <w:p>
      <w:pPr>
        <w:pStyle w:val="TextBody"/>
        <w:bidi w:val="0"/>
        <w:spacing w:before="0" w:after="0"/>
        <w:ind w:left="547" w:right="0" w:hanging="0"/>
        <w:jc w:val="left"/>
        <w:rPr/>
      </w:pPr>
      <w:r>
        <w:rPr/>
        <w:t>●</w:t>
      </w:r>
      <w:r>
        <w:rPr>
          <w:rFonts w:ascii="Times New Roman;Times;serif" w:hAnsi="Times New Roman;Times;serif"/>
          <w:sz w:val="20"/>
        </w:rPr>
        <w:t>managing our internal development efforts effectively, including the clinical and FDA review process for our product candidates, while complying with our contractual obligations to contractors and other third parties; and</w:t>
      </w:r>
    </w:p>
    <w:p>
      <w:pPr>
        <w:pStyle w:val="TextBody"/>
        <w:bidi w:val="0"/>
        <w:ind w:left="547" w:right="0" w:hanging="0"/>
        <w:jc w:val="left"/>
        <w:rPr/>
      </w:pPr>
      <w:r>
        <w:rPr/>
        <w:t>●</w:t>
      </w:r>
      <w:r>
        <w:rPr>
          <w:rFonts w:ascii="Times New Roman;Times;serif" w:hAnsi="Times New Roman;Times;serif"/>
          <w:sz w:val="20"/>
        </w:rPr>
        <w:t>improving our operational, financial and management controls, reporting systems, and procedures.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Our future financial performance and our ability to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compliance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 on a timely basis, or at all.</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If we engage in future acquisitions or strategic partnerships, this may increase our capital requirements, dilute our stockholders, cause us to incur debt or assume contingent liabilities, and subject us to other risks.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pStyle w:val="TextBody"/>
        <w:bidi w:val="0"/>
        <w:spacing w:before="0" w:after="0"/>
        <w:ind w:left="547" w:right="0" w:hanging="0"/>
        <w:jc w:val="left"/>
        <w:rPr/>
      </w:pPr>
      <w:r>
        <w:rPr/>
        <w:t>●</w:t>
      </w:r>
      <w:r>
        <w:rPr>
          <w:rFonts w:ascii="Times New Roman;Times;serif" w:hAnsi="Times New Roman;Times;serif"/>
          <w:sz w:val="20"/>
        </w:rPr>
        <w:t>increased operating expenses and cash requirements;</w:t>
      </w:r>
    </w:p>
    <w:p>
      <w:pPr>
        <w:pStyle w:val="TextBody"/>
        <w:bidi w:val="0"/>
        <w:ind w:left="547" w:right="0" w:hanging="0"/>
        <w:jc w:val="left"/>
        <w:rPr/>
      </w:pPr>
      <w:r>
        <w:rPr/>
        <w:t>●</w:t>
      </w:r>
      <w:r>
        <w:rPr>
          <w:rFonts w:ascii="Times New Roman;Times;serif" w:hAnsi="Times New Roman;Times;serif"/>
          <w:sz w:val="20"/>
        </w:rPr>
        <w:t>the assumption of additional indebtedness or contingent liabilities;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547" w:right="0" w:hanging="0"/>
        <w:jc w:val="left"/>
        <w:rPr/>
      </w:pPr>
      <w:r>
        <w:rPr/>
        <w:t>●</w:t>
      </w:r>
      <w:r>
        <w:rPr>
          <w:rFonts w:ascii="Times New Roman;Times;serif" w:hAnsi="Times New Roman;Times;serif"/>
          <w:sz w:val="20"/>
        </w:rPr>
        <w:t>the issuance of our equity securities;</w:t>
      </w:r>
    </w:p>
    <w:p>
      <w:pPr>
        <w:pStyle w:val="TextBody"/>
        <w:bidi w:val="0"/>
        <w:spacing w:before="0" w:after="0"/>
        <w:ind w:left="547" w:right="0" w:hanging="0"/>
        <w:jc w:val="left"/>
        <w:rPr/>
      </w:pPr>
      <w:r>
        <w:rPr/>
        <w:t>●</w:t>
      </w:r>
      <w:r>
        <w:rPr>
          <w:rFonts w:ascii="Times New Roman;Times;serif" w:hAnsi="Times New Roman;Times;serif"/>
          <w:sz w:val="20"/>
        </w:rPr>
        <w:t>assimilation of operations, intellectual property and products of an acquired company or product, including difficulties associated with integrating new personnel;</w:t>
      </w:r>
    </w:p>
    <w:p>
      <w:pPr>
        <w:pStyle w:val="TextBody"/>
        <w:bidi w:val="0"/>
        <w:spacing w:before="0" w:after="0"/>
        <w:ind w:left="547" w:right="0" w:hanging="0"/>
        <w:jc w:val="left"/>
        <w:rPr/>
      </w:pPr>
      <w:r>
        <w:rPr/>
        <w:t>●</w:t>
      </w:r>
      <w:r>
        <w:rPr>
          <w:rFonts w:ascii="Times New Roman;Times;serif" w:hAnsi="Times New Roman;Times;serif"/>
          <w:sz w:val="20"/>
        </w:rPr>
        <w:t>the diversion of our management’s attention from our existing product programs and initiatives in pursuing such a strategic merger or acquisition;</w:t>
      </w:r>
    </w:p>
    <w:p>
      <w:pPr>
        <w:pStyle w:val="TextBody"/>
        <w:bidi w:val="0"/>
        <w:spacing w:before="0" w:after="0"/>
        <w:ind w:left="547" w:right="0" w:hanging="0"/>
        <w:jc w:val="left"/>
        <w:rPr/>
      </w:pPr>
      <w:r>
        <w:rPr/>
        <w:t>●</w:t>
      </w:r>
      <w:r>
        <w:rPr>
          <w:rFonts w:ascii="Times New Roman;Times;serif" w:hAnsi="Times New Roman;Times;serif"/>
          <w:sz w:val="20"/>
        </w:rPr>
        <w:t>retention of key employees, the loss of key personnel, and uncertainties in our ability to maintain key business relationships;</w:t>
      </w:r>
    </w:p>
    <w:p>
      <w:pPr>
        <w:pStyle w:val="TextBody"/>
        <w:bidi w:val="0"/>
        <w:spacing w:before="0" w:after="0"/>
        <w:ind w:left="547" w:right="0" w:hanging="0"/>
        <w:jc w:val="left"/>
        <w:rPr/>
      </w:pPr>
      <w:r>
        <w:rPr/>
        <w:t>●</w:t>
      </w:r>
      <w:r>
        <w:rPr>
          <w:rFonts w:ascii="Times New Roman;Times;serif" w:hAnsi="Times New Roman;Times;serif"/>
          <w:sz w:val="20"/>
        </w:rPr>
        <w:t>risks and uncertainties associated with the other party to such a transaction, including the prospects of that party and their existing products or product candidates and regulatory approvals; and</w:t>
      </w:r>
    </w:p>
    <w:p>
      <w:pPr>
        <w:pStyle w:val="TextBody"/>
        <w:bidi w:val="0"/>
        <w:ind w:left="547" w:right="0" w:hanging="0"/>
        <w:jc w:val="left"/>
        <w:rPr/>
      </w:pPr>
      <w:r>
        <w:rPr/>
        <w:t>●</w:t>
      </w:r>
      <w:r>
        <w:rPr>
          <w:rFonts w:ascii="Times New Roman;Times;serif" w:hAnsi="Times New Roman;Times;serif"/>
          <w:sz w:val="20"/>
        </w:rPr>
        <w:t>our inability to generate revenue from acquired technology and/or products sufficient to meet our objectives in undertaking the acquisition or even to offset the associated acquisition and maintenance costs.</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Depending on the size and nature of future strategic acquisitions, we may acquire assets or businesses that require us to raise additional capital or to operate or manage businesses in which we have limited experience. Making larger acquisitions that require us to raise additional capital to fund the acquisition will expose us to the risks associated with capital raising activities. Acquiring and thereafter operating larger new businesses will also increase our management, operating and reporting costs and burdens. 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 In addition, even if we are able to pursue certain strategic acquisition opportunities, we cannot guarantee that such acquisitions may completed in a timely manner, if at all, or that all conditions necessary to consummate such transactions will be satisfied, including the receipt of all required regulatory approvals.</w:t>
      </w:r>
    </w:p>
    <w:p>
      <w:pPr>
        <w:pStyle w:val="TextBody"/>
        <w:bidi w:val="0"/>
        <w:spacing w:before="0" w:after="200"/>
        <w:ind w:left="0" w:right="0" w:firstLine="547"/>
        <w:jc w:val="left"/>
        <w:rPr>
          <w:rFonts w:ascii="Times New Roman;Times;serif" w:hAnsi="Times New Roman;Times;serif"/>
          <w:sz w:val="20"/>
        </w:rPr>
      </w:pPr>
      <w:bookmarkStart w:id="1604" w:name="_Hlk101204850"/>
      <w:bookmarkEnd w:id="1604"/>
      <w:r>
        <w:rPr>
          <w:rFonts w:ascii="Times New Roman;Times;serif" w:hAnsi="Times New Roman;Times;serif"/>
          <w:b/>
          <w:i/>
          <w:sz w:val="20"/>
        </w:rPr>
        <w:t>We are currently operating in a period of economic uncertainty and capital markets disruption, which has been significantly impacted by geopolitical instability, an ongoing military conflict between Russia and Ukraine, and record inflation</w:t>
      </w:r>
      <w:r>
        <w:rPr>
          <w:rFonts w:ascii="Times New Roman;Times;serif" w:hAnsi="Times New Roman;Times;serif"/>
          <w:b/>
          <w:sz w:val="20"/>
        </w:rPr>
        <w:t>.</w:t>
      </w:r>
      <w:r>
        <w:rPr>
          <w:rFonts w:ascii="Times New Roman;Times;serif" w:hAnsi="Times New Roman;Times;serif"/>
          <w:sz w:val="20"/>
        </w:rPr>
        <w:t xml:space="preserve"> </w:t>
      </w:r>
      <w:r>
        <w:rPr>
          <w:rFonts w:ascii="Times New Roman;Times;serif" w:hAnsi="Times New Roman;Times;serif"/>
          <w:b/>
          <w:i/>
          <w:sz w:val="20"/>
        </w:rPr>
        <w:t>Our business, financial condition and results of operations could be materially adversely affected by any negative impact on the global economy and capital markets resulting from the conflict in Ukraine, geopolitical tensions or record inflation.</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U.S. and global markets are experiencing volatility and disruption following the escalation of geopolitical tensions and the start of the military conflict between Russia and Ukraine. On February 24, 2022, a full-scale military invasion of Ukraine by Russian troops was reported. Although the length and impact of the ongoing military conflict is highly unpredictable, the conflict in Ukraine could lead to market disruptions, including significant volatility in commodity prices, credit and capital markets, as well as supply chain interruptions, which has led to record inflation globally. We are continuing to monitor inflation, the situation in Ukraine and global capital markets and assessing the potential impacts on our business.</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The global economy has been, and may continue to be, negatively impacted by Russia’s invasion of Ukraine. As a result of Russia’s invasion of Ukraine, the U.S., the European Union, the United Kingdom, and other G7 countries, among other countries, have imposed substantial financial and economic sanctions on certain industry sectors and parties in Russia. Broad restrictions on exports to Russia have also been imposed. These measures include: (i) comprehensive financial sanctions against major Russian banks; (ii) additional designations of Russian individuals with significant business interests and government connections; (iii) designations of individuals and entities involved in Russian military activities; and (iv) enhanced export controls and trade sanctions limiting Russia’s ability to import various goods. Russian military actions and the resulting sanctions could continue to adversely affect the global economy and financial markets and lead to instability and lack of liquidity in capital markets, potentially making it more difficult for us to obtain additional funds. Further, there are current geopolitical tensions with China. Recently, the Biden administration has signed multiple executive orders regarding China. One particular executive order titled Advancing Biotechnology and Biomanufacturing Innovation for a Sustainable, Safe, and Secure American Bioeconomy signed on September 12, 2022 will likely impact the pharmaceutical industry to encourage U.S. domestic manufacturing of pharmaceutical products. Any additional executive orders or potential sanctions with China could materially impact our current manufacturing partners.</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Although our business has not been materially impacted by the ongoing military conflict between Russian and Ukraine, geopolitical tensions, or record inflation to date, it is impossible to predict the extent to which our operations, or those of our suppliers and manufacturers, will be impacted in the short and long term, or the ways in which the conflict may impact our business. The extent and duration of the conflict in Ukraine, geopolitical tensions, record inflation, sanctions and resulting market disruptions are impossible to predict, but could be substantial. Any such disruptions may also magnify the impact of other risks described herein.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0"/>
        <w:jc w:val="left"/>
        <w:rPr>
          <w:rFonts w:ascii="Times New Roman;Times;serif" w:hAnsi="Times New Roman;Times;serif"/>
          <w:b/>
          <w:i/>
          <w:sz w:val="20"/>
        </w:rPr>
      </w:pPr>
      <w:r>
        <w:rPr>
          <w:rFonts w:ascii="Times New Roman;Times;serif" w:hAnsi="Times New Roman;Times;serif"/>
          <w:b/>
          <w:i/>
          <w:sz w:val="20"/>
        </w:rPr>
        <w:t>We are exposed to fluctuations in currency exchange rates that could negatively impact our financial results and cash flows.*</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 xml:space="preserve">With the acquisition of Proleukin® in May 2023, a portion of our business will be conducted outside the United States. Furthermore, we are required to make certain future payments under the Proleukin® acquisition agreement that are denominated in non-US dollars, including a milestone payment to Clinigen upon the approval of lifileucel in melanoma as well as future deferred consideration and earnout payments based on Proleukin® sales. As such, we face exposure to adverse movements in foreign currency exchange rates, including movements in foreign currency for the future milestone payment. These exposures may change over time as business practices evolve, and they could have a material adverse impact on our results of operations, financial position and cash flows. Our primary exposure to movements in foreign currency exchange rates currently relates to non-U.S. dollar denominated sales in Europe, the United Kingdom and Asia, and non-U.S. dollar denominated operating expenses and certain assets and liabilities in our operating subsidiaries. </w:t>
      </w:r>
    </w:p>
    <w:p>
      <w:pPr>
        <w:pStyle w:val="TextBody"/>
        <w:bidi w:val="0"/>
        <w:spacing w:before="0" w:after="200"/>
        <w:ind w:left="0" w:right="0" w:firstLine="540"/>
        <w:jc w:val="left"/>
        <w:rPr>
          <w:rFonts w:ascii="Times New Roman;Times;serif" w:hAnsi="Times New Roman;Times;serif"/>
          <w:b/>
          <w:i/>
          <w:sz w:val="20"/>
        </w:rPr>
      </w:pPr>
      <w:r>
        <w:rPr>
          <w:rFonts w:ascii="Times New Roman;Times;serif" w:hAnsi="Times New Roman;Times;serif"/>
          <w:b/>
          <w:i/>
          <w:sz w:val="20"/>
        </w:rPr>
        <w:t>We may rely on third parties to perform many essential services for any products that we commercialize, including services related to distribution, government price reporting, customer service, accounts receivable management, cash collection, and adverse event reporting. If these third parties fail to perform as expected or to comply with legal and regulatory requirements, our ability to commercialize our current or future product candidates will be significantly impacted and we may be subject to regulatory sanctions.</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We may retain third-party service providers to perform a variety of functions related to the sale and distribution of our current or future product candidates, key aspects of which will be out of our direct control. These service providers may provide key services related to distribution, customer service, accounts receivable management, and cash collection. If we retain a service provider, we would substantially rely on it as well as other third-party providers that perform services for us, including entrusting our inventories of products to their care and handling. If these third-party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In addition, we may engage third parties to perform various other services for us relating to adverse event reporting, safety database management, fulfillment of requests for medical information regarding our product candidates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Additionally, we may contract with a third-party to calculate and report pricing information mandated by various government programs. If a third party fails to timely report or adjust prices as required or errs in calculating government pricing information from transactional data in our financial records, it could impact our discount and rebate liability, and potentially subject us to regulatory sanctions or False Claims Act lawsuits.</w:t>
      </w:r>
    </w:p>
    <w:p>
      <w:pPr>
        <w:pStyle w:val="TextBody"/>
        <w:bidi w:val="0"/>
        <w:spacing w:before="0" w:after="200"/>
        <w:ind w:left="0" w:right="0" w:firstLine="540"/>
        <w:jc w:val="both"/>
        <w:rPr>
          <w:rFonts w:ascii="Times New Roman;Times;serif" w:hAnsi="Times New Roman;Times;serif"/>
          <w:b/>
          <w:i/>
          <w:sz w:val="20"/>
        </w:rPr>
      </w:pPr>
      <w:r>
        <w:rPr>
          <w:rFonts w:ascii="Times New Roman;Times;serif" w:hAnsi="Times New Roman;Times;serif"/>
          <w:b/>
          <w:i/>
          <w:sz w:val="20"/>
        </w:rPr>
        <w:t>Climate change or legal, regulatory or market measures to address climate change may negatively affect our business, results of operations, cash flows and prospects.</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We believe that climate change has the potential to negatively affect our business and results of operations, cash flows and prospects. We are exposed to physical risks (such as extreme weather conditions or rising sea levels), risks in transitioning to a low-carbon economy (such as additional legal or regulatory requirements, changes in technology, market risk and reputational risk) and social and human effects (such as population dislocations and harm to health and well-being) associated with climate change. These risks can be either acute (short-term) or chronic (long-term).</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The adverse impacts of climate change include increased frequency and severity of natural disasters and extreme weather events such as hurricanes, tornados, wildfires (exacerbated by drought), flooding, and extreme heat. Extreme weather and sea-level rise pose physical risks to our facilities as well as those of our suppliers. Such risks include losses incurred as a result of physical damage to facilities, loss or spoilage of inventory, and business interruption caused by such natural disasters and extreme weather events. Other potential physical impacts due to climate change include reduced access to high-quality water in certain regions and the loss of biodiversity, which could impact future product development. These risks could disrupt our operations and supply chains, which may result in increased costs.</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New legal or regulatory requirements may be enacted to prevent, mitigate, or adapt to the implications of a changing climate and its effects on the environment. These regulations, which may differ across jurisdictions, could result in us being subject to new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expanded carbon pricing or taxes, increased compliance costs, restrictions on greenhouse gas emissions, investment in new technologies, increased carbon disclosure and transparency, upgrade of facilities to meet new building codes, and the redesign of utility systems, which could increase our operating costs, including the cost of electricity and energy used by us. Our supply chain would likely be subject to these same transitional risks and would likely pass along any increased costs to us.</w:t>
      </w:r>
    </w:p>
    <w:p>
      <w:pPr>
        <w:pStyle w:val="TextBody"/>
        <w:bidi w:val="0"/>
        <w:spacing w:before="0" w:after="200"/>
        <w:ind w:left="0" w:right="0" w:firstLine="540"/>
        <w:jc w:val="both"/>
        <w:rPr>
          <w:rFonts w:ascii="Times New Roman;Times;serif" w:hAnsi="Times New Roman;Times;serif"/>
          <w:b/>
          <w:i/>
          <w:sz w:val="20"/>
        </w:rPr>
      </w:pPr>
      <w:r>
        <w:rPr>
          <w:rFonts w:ascii="Times New Roman;Times;serif" w:hAnsi="Times New Roman;Times;serif"/>
          <w:b/>
          <w:i/>
          <w:sz w:val="20"/>
        </w:rPr>
        <w:t>Environmental, social and governance matters may impact our business and reputation.</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Governmental authorities, non-governmental organizations, customers, investors, external stakeholders and employees are increasingly sensitive to environmental, social and governance, or ESG, concerns, such as diversity and inclusion, climate change, water use, recyclability or recoverability of packaging, and plastic waste. This focus on ESG concerns may lead to new requirements that could result in increased costs associated with developing, manufacturing and distributing our products. Our ability to compete could also be affected by changing customer preferences and requirements, such as growing demand for more environmentally friendly products, packaging or supplier practices, or by failure to meet such customer expectations or demand. While we strive to improve our ESG performance, we risk negative stockholder reaction, including from proxy advisory services, as well as damage to our brand and reputation, if we do not act responsibly, or if we are perceived to not be acting responsibly in key ESG areas, including equitable access to medicines and vaccines, product quality and safety, diversity and inclusion, environmental stewardship, support for local communities, corporate governance and transparency, and addressing human capital factors in our operations. If we do not meet the ESG expectations of our investors, customers and other stakeholders, we could experience reduced demand for our products, loss of customers, and other negative impacts on our business and results of operations.</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Risks Related to Government Regulation</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The FDA regulatory approval process is lengthy and time-consuming, and we may experience significant delays in the clinical development and regulatory approval of our product candidates.*</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We completed our first submission of a rolling BLA to the FDA for lifileucel in March 2023. The FDA accepted our BLA for lifileucel for patients with advanced melanoma in May 2023 and granted lifileucel Priority Review. The FDA assigned November 25, 2023 as the target action date for a decision under PDUFA. A BLA must include extensive preclinical and clinical data and supporting information to establish the product candidate’s safety and effectiveness for each desired indication. Our BLA submission and current expected timelines for our lifileucel product candidate for the treatment of metastatic melanoma are based on our interpretation of communications received from the FDA to date regarding this product candidate and are subject to revision if additional communications are received from the FDA. </w:t>
      </w:r>
    </w:p>
    <w:p>
      <w:pPr>
        <w:pStyle w:val="TextBody"/>
        <w:bidi w:val="0"/>
        <w:spacing w:before="0" w:after="0"/>
        <w:ind w:left="0" w:right="0" w:firstLine="547"/>
        <w:jc w:val="left"/>
        <w:rPr/>
      </w:pPr>
      <w:r>
        <w:rPr/>
        <w: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We have announced our intention to conduct registrational trials for both advanced NSCLC and cervical cancer with our LN-145 and lifileucel products, respectively. These trials, which we refer to as IOV-LUN-202 Cohorts 1 and 2 in the case of advanced NSCLC and C-145-04 Cohort 2 in the case of cervical cancer, are currently underway and have been the subject of formal FDA meetings and communications. Our current beliefs regarding the registration pathway for the lifileucel and LN-145 product candidates in these indications are based on our interpretation of communications with the FDA to date and our efforts to address such communications, which may be incorrect. Our statements that the clinical trial may support a BLA submission also assume that our as-adjusted clinical trial has addressed the additional requests and feedback by the FDA. Further, enrollment in these clinical trials may need to be further adjusted based on future feedback from the FDA, changes in the competitive environment, or other regulatory agency input. Protocol revisions may have an adverse effect on the results reported to date. Changes to implement an independent review committee and assay validation and implementation, and the data within these clinical trials may not ultimately be supportive of product approval, all of which could result in significant delays to our currently anticipated timeline for development and approval of lifileucel and LN-145 product candidates or prevent their approval.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A BLA must also include significant information regarding the chemistry, manufacturing and controls for the product. We expect the novel nature of our product candidates to create further challenges in obtaining regulatory approval. For example, the FDA has limited experience with commercial development of cell therapies for cancer. We may also not be able to successfully utilize the BTD or RMAT designations we have received for metastatic cervical cancer and advanced melanoma, respectively, to successfully complete the development and commercialization of lifileucel. We may not be able to reach agreement with the FDA on an interpretation of outcomes from our meetings, including meetings we have held with the FDA in relation to our C-145-04 and C-144-01 clinical trials and future meetings. For example, on October 5, 2020, we reported the submission of additional potency assay data to the FDA, and at the same time, we also announced that we had reached agreement with the FDA on the minimum duration of follow up for Cohort 4 to support our BLA submission for lifileucel in the treatment of metastatic melanoma. In May 2021, we announced that we had received regulatory feedback from the FDA regarding our potency assays for lifileucel. Following the FDA feedback, we continued our work developing and validating our potency assays and engaged in discussions with the FDA during the second half of 2021 and the first quarter of 2022. Based on the FDA feedback we received from these discussions, we held a pre-BLA meeting in July 2022, and initiated a rolling BLA submission for lifileucel in metastatic melanoma in August 2022, which we completed in March 2023. In addition, as previously disclosed, Iovance began startup activities for a confirmatory Phase 3 clinical trial, TILVANCE-301, of lifileucel in combination with pembrolizumab in frontline metastatic melanoma in late 2022. The FDA previously granted Fast Track Designation for lifileucel in combination with pembrolizumab for the treatment of immune checkpoint inhibitor naïve metastatic melanoma. However, the regulatory approval pathway for our product candidates may be uncertain, complex, expensive and lengthy, and approval may not be obtained.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may also experience delays, including delays arising from the need to increase enrollment, in completing planned clinical trials for a variety of reasons, including delays related to:</w:t>
      </w:r>
    </w:p>
    <w:p>
      <w:pPr>
        <w:pStyle w:val="TextBody"/>
        <w:bidi w:val="0"/>
        <w:spacing w:before="0" w:after="0"/>
        <w:ind w:left="547" w:right="0" w:hanging="0"/>
        <w:jc w:val="left"/>
        <w:rPr/>
      </w:pPr>
      <w:r>
        <w:rPr/>
        <w:t>●</w:t>
      </w:r>
      <w:r>
        <w:rPr>
          <w:rFonts w:ascii="Times New Roman;Times;serif" w:hAnsi="Times New Roman;Times;serif"/>
          <w:sz w:val="20"/>
        </w:rPr>
        <w:t>the availability of financial resources to commence and complete the planned clinical trials;</w:t>
      </w:r>
    </w:p>
    <w:p>
      <w:pPr>
        <w:pStyle w:val="TextBody"/>
        <w:bidi w:val="0"/>
        <w:spacing w:before="0" w:after="0"/>
        <w:ind w:left="547" w:right="0" w:hanging="0"/>
        <w:jc w:val="left"/>
        <w:rPr/>
      </w:pPr>
      <w:r>
        <w:rPr/>
        <w:t>●</w:t>
      </w:r>
      <w:r>
        <w:rPr>
          <w:rFonts w:ascii="Times New Roman;Times;serif" w:hAnsi="Times New Roman;Times;serif"/>
          <w:sz w:val="20"/>
        </w:rPr>
        <w:t>reaching agreement on acceptable contract terms with prospective CROs and clinical trial sites, the terms of which can be subject to extensive negotiation and may vary significantly among different CROs and clinical trial sites;</w:t>
      </w:r>
    </w:p>
    <w:p>
      <w:pPr>
        <w:pStyle w:val="TextBody"/>
        <w:bidi w:val="0"/>
        <w:spacing w:before="0" w:after="0"/>
        <w:ind w:left="547" w:right="0" w:hanging="0"/>
        <w:jc w:val="left"/>
        <w:rPr/>
      </w:pPr>
      <w:r>
        <w:rPr/>
        <w:t>●</w:t>
      </w:r>
      <w:r>
        <w:rPr>
          <w:rFonts w:ascii="Times New Roman;Times;serif" w:hAnsi="Times New Roman;Times;serif"/>
          <w:sz w:val="20"/>
        </w:rPr>
        <w:t>obtaining approval at each clinical trial site by an independent IRB, or central IRB;</w:t>
      </w:r>
    </w:p>
    <w:p>
      <w:pPr>
        <w:pStyle w:val="TextBody"/>
        <w:bidi w:val="0"/>
        <w:spacing w:before="0" w:after="0"/>
        <w:ind w:left="547" w:right="0" w:hanging="0"/>
        <w:jc w:val="left"/>
        <w:rPr/>
      </w:pPr>
      <w:r>
        <w:rPr/>
        <w:t>●</w:t>
      </w:r>
      <w:r>
        <w:rPr>
          <w:rFonts w:ascii="Times New Roman;Times;serif" w:hAnsi="Times New Roman;Times;serif"/>
          <w:sz w:val="20"/>
        </w:rPr>
        <w:t>recruiting suitable patients to participate in a clinical trial;</w:t>
      </w:r>
    </w:p>
    <w:p>
      <w:pPr>
        <w:pStyle w:val="TextBody"/>
        <w:bidi w:val="0"/>
        <w:spacing w:before="0" w:after="0"/>
        <w:ind w:left="547" w:right="0" w:hanging="0"/>
        <w:jc w:val="left"/>
        <w:rPr/>
      </w:pPr>
      <w:r>
        <w:rPr/>
        <w:t>●</w:t>
      </w:r>
      <w:r>
        <w:rPr>
          <w:rFonts w:ascii="Times New Roman;Times;serif" w:hAnsi="Times New Roman;Times;serif"/>
          <w:sz w:val="20"/>
        </w:rPr>
        <w:t>having patients complete a clinical trial or return for post-treatment follow-up;</w:t>
      </w:r>
    </w:p>
    <w:p>
      <w:pPr>
        <w:pStyle w:val="TextBody"/>
        <w:bidi w:val="0"/>
        <w:spacing w:before="0" w:after="0"/>
        <w:ind w:left="547" w:right="0" w:hanging="0"/>
        <w:jc w:val="left"/>
        <w:rPr/>
      </w:pPr>
      <w:r>
        <w:rPr/>
        <w:t>●</w:t>
      </w:r>
      <w:r>
        <w:rPr>
          <w:rFonts w:ascii="Times New Roman;Times;serif" w:hAnsi="Times New Roman;Times;serif"/>
          <w:sz w:val="20"/>
        </w:rPr>
        <w:t>clinical trial sites deviating from clinical trial protocol or dropping out of a clinical trial;</w:t>
      </w:r>
    </w:p>
    <w:p>
      <w:pPr>
        <w:pStyle w:val="TextBody"/>
        <w:bidi w:val="0"/>
        <w:spacing w:before="0" w:after="0"/>
        <w:ind w:left="547" w:right="0" w:hanging="0"/>
        <w:jc w:val="left"/>
        <w:rPr/>
      </w:pPr>
      <w:r>
        <w:rPr/>
        <w:t>●</w:t>
      </w:r>
      <w:r>
        <w:rPr>
          <w:rFonts w:ascii="Times New Roman;Times;serif" w:hAnsi="Times New Roman;Times;serif"/>
          <w:sz w:val="20"/>
        </w:rPr>
        <w:t>adding new clinical trial sites;</w:t>
      </w:r>
    </w:p>
    <w:p>
      <w:pPr>
        <w:pStyle w:val="TextBody"/>
        <w:bidi w:val="0"/>
        <w:spacing w:before="0" w:after="0"/>
        <w:ind w:left="547" w:right="0" w:hanging="0"/>
        <w:jc w:val="left"/>
        <w:rPr/>
      </w:pPr>
      <w:r>
        <w:rPr/>
        <w:t>●</w:t>
      </w:r>
      <w:r>
        <w:rPr>
          <w:rFonts w:ascii="Times New Roman;Times;serif" w:hAnsi="Times New Roman;Times;serif"/>
          <w:sz w:val="20"/>
        </w:rPr>
        <w:t>manufacturing sufficient quantities of qualified materials under cGMPs and applying them on a subject-by-subject basis for use in clinical trials; or</w:t>
      </w:r>
    </w:p>
    <w:p>
      <w:pPr>
        <w:pStyle w:val="TextBody"/>
        <w:bidi w:val="0"/>
        <w:ind w:left="547" w:right="0" w:hanging="0"/>
        <w:jc w:val="left"/>
        <w:rPr/>
      </w:pPr>
      <w:r>
        <w:rPr/>
        <w:t>●</w:t>
      </w:r>
      <w:r>
        <w:rPr>
          <w:rFonts w:ascii="Times New Roman;Times;serif" w:hAnsi="Times New Roman;Times;serif"/>
          <w:sz w:val="20"/>
        </w:rPr>
        <w:t>timely implementing or validating changes to our manufacturing or quality control processes and methods needed to address FDA feedback.</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could also encounter delays if there are unresolved ethical issues associated with physicians enrolling patients in clinical trials of our product candidates in lieu of prescribing existing treatments that have established safety and efficacy profiles. Further, a clinical trial may be suspended or terminated by us, the IRBs for the institutions in which such clinical trials are being conducted by the FDA or other regulatory authorities, or recommended for suspension or termination by DSMBs due to a number of factors, including failure to conduct the clinical trial in accordance with regulatory requirements or our clinical protocols, inspection of the clinical trial operations or clinical trial site by the FDA or other regulatory authorities resulting in the imposition of a clinical hold, including as a result of genetic editing methods,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Obtaining and maintaining regulatory approval of our product candidates in one jurisdiction does not mean that we will be successful in obtaining regulatory approval of our product candidates in other jurisdictions.</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In order to market and sell our products outside the U.S., we or our third-party collaborators may be required to obtain or maintain separate marketing approvals and comply with numerous and varying regulatory requirements. 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Approval policies and requirements may vary among jurisdictions. For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U.S., including additional preclinical studies or clinical trials as clinical studies conducted in one jurisdiction may not be accepted by regulatory authorities in other jurisdictions. In many jurisdictions outside the U.S., a product candidate must be approved for reimbursement before it can be approved for sale in that jurisdiction. In some cases, the price that we intend to charge for our products is also subject to approval. We or our collaborators may not be able to file for regulatory approval of our product candidates in international jurisdictions or obtain approvals from regulatory authorities outside the U.S. on a timely basis, if at all. The FDA or other regulatory agencies may also withdrawal approval for previously approved products.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may also submit marketing applications in other countries. Regulatory authorities in jurisdictions outside of the U.S.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We are, and if we receive regulatory approval of our product candidates, will continue to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Any regulatory approvals that we receive for our product candidates will require ongoing surveillance to monitor the safety and efficacy of the product candidate. The FDA may also require a REMS to approve our product candidates, which could entail requirements for a medication guide, physician communication plans or additional elements to ensure safe use, such as restricted distribution methods, patient registries and other risk minimization tools. The FDA may also require post-approval Phase 4 studies. Moreover, the 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withdraw approval,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In addition, we, our contractors, and our collaborators are and will remain responsible for FDA compliance, including requirements related to product design, testing, clinical trials and preclinical studies approval, manufacturing processes and quality, labeling, packaging, distribution, adverse event and deviation reporting, storage, advertising, marketing, promotion, sale, import, export, submissions of safety and other post-marketing information and reports such as deviation reports, establishment registration, product listing, annual user fees, and recordkeeping for our product candidates.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and any of our collaborators, including our contract manufacturers, could be subject to periodic unannounced inspections by the FDA to monitor and ensure compliance with regulatory requirements. Application holders must further notify the FDA, and depending on the nature of the change, obtain FDA pre-approval for product and manufacturing changes. The cost of compliance with post-approval regulations may have a negative effect on our operating results and financial condition.</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Later discovery of previously unknown problems with our product candidates, including adverse events of unanticipated severity or frequency, that the product is less effective than previously thought, problems with our third-party manufacturers or manufacturing processes, or failure to comply with regulatory requirements, may result in, among other things:</w:t>
      </w:r>
    </w:p>
    <w:p>
      <w:pPr>
        <w:pStyle w:val="TextBody"/>
        <w:bidi w:val="0"/>
        <w:spacing w:before="0" w:after="0"/>
        <w:ind w:left="547" w:right="0" w:hanging="0"/>
        <w:jc w:val="left"/>
        <w:rPr/>
      </w:pPr>
      <w:r>
        <w:rPr/>
        <w:t>●</w:t>
      </w:r>
      <w:r>
        <w:rPr>
          <w:rFonts w:ascii="Times New Roman;Times;serif" w:hAnsi="Times New Roman;Times;serif"/>
          <w:sz w:val="20"/>
        </w:rPr>
        <w:t>restrictions on the marketing, distribution, or manufacturing of our product candidates, withdrawal of the product from the market, or voluntary or mandatory product recalls;</w:t>
      </w:r>
    </w:p>
    <w:p>
      <w:pPr>
        <w:pStyle w:val="TextBody"/>
        <w:bidi w:val="0"/>
        <w:spacing w:before="0" w:after="0"/>
        <w:ind w:left="547" w:right="0" w:hanging="0"/>
        <w:jc w:val="left"/>
        <w:rPr/>
      </w:pPr>
      <w:r>
        <w:rPr/>
        <w:t>●</w:t>
      </w:r>
      <w:r>
        <w:rPr>
          <w:rFonts w:ascii="Times New Roman;Times;serif" w:hAnsi="Times New Roman;Times;serif"/>
          <w:sz w:val="20"/>
        </w:rPr>
        <w:t>restrictions on the labeling of our product candidates, including required additional warnings, such as black box warnings, contraindications, precautions, and restrictions on the approved indication or use;</w:t>
      </w:r>
    </w:p>
    <w:p>
      <w:pPr>
        <w:pStyle w:val="TextBody"/>
        <w:bidi w:val="0"/>
        <w:spacing w:before="0" w:after="0"/>
        <w:ind w:left="547" w:right="0" w:hanging="0"/>
        <w:jc w:val="left"/>
        <w:rPr/>
      </w:pPr>
      <w:r>
        <w:rPr/>
        <w:t>●</w:t>
      </w:r>
      <w:r>
        <w:rPr>
          <w:rFonts w:ascii="Times New Roman;Times;serif" w:hAnsi="Times New Roman;Times;serif"/>
          <w:sz w:val="20"/>
        </w:rPr>
        <w:t>modifications to promotional pieces;</w:t>
      </w:r>
    </w:p>
    <w:p>
      <w:pPr>
        <w:pStyle w:val="TextBody"/>
        <w:bidi w:val="0"/>
        <w:spacing w:before="0" w:after="0"/>
        <w:ind w:left="547" w:right="0" w:hanging="0"/>
        <w:jc w:val="left"/>
        <w:rPr/>
      </w:pPr>
      <w:r>
        <w:rPr/>
        <w:t>●</w:t>
      </w:r>
      <w:r>
        <w:rPr>
          <w:rFonts w:ascii="Times New Roman;Times;serif" w:hAnsi="Times New Roman;Times;serif"/>
          <w:sz w:val="20"/>
        </w:rPr>
        <w:t>changes to product labeling or the way the product is administered;</w:t>
      </w:r>
    </w:p>
    <w:p>
      <w:pPr>
        <w:pStyle w:val="TextBody"/>
        <w:bidi w:val="0"/>
        <w:spacing w:before="0" w:after="0"/>
        <w:ind w:left="547" w:right="0" w:hanging="0"/>
        <w:jc w:val="left"/>
        <w:rPr/>
      </w:pPr>
      <w:r>
        <w:rPr/>
        <w:t>●</w:t>
      </w:r>
      <w:r>
        <w:rPr>
          <w:rFonts w:ascii="Times New Roman;Times;serif" w:hAnsi="Times New Roman;Times;serif"/>
          <w:sz w:val="20"/>
        </w:rPr>
        <w:t>liability for harm caused to patients or subjects;</w:t>
      </w:r>
    </w:p>
    <w:p>
      <w:pPr>
        <w:pStyle w:val="TextBody"/>
        <w:bidi w:val="0"/>
        <w:spacing w:before="0" w:after="0"/>
        <w:ind w:left="547" w:right="0" w:hanging="0"/>
        <w:jc w:val="left"/>
        <w:rPr/>
      </w:pPr>
      <w:r>
        <w:rPr/>
        <w:t>●</w:t>
      </w:r>
      <w:r>
        <w:rPr>
          <w:rFonts w:ascii="Times New Roman;Times;serif" w:hAnsi="Times New Roman;Times;serif"/>
          <w:sz w:val="20"/>
        </w:rPr>
        <w:t>fines, restitution, disgorgement, warning letters, untitled letters, or holds on or termination of clinical trials;</w:t>
      </w:r>
    </w:p>
    <w:p>
      <w:pPr>
        <w:pStyle w:val="TextBody"/>
        <w:bidi w:val="0"/>
        <w:ind w:left="547" w:right="0" w:hanging="0"/>
        <w:jc w:val="left"/>
        <w:rPr/>
      </w:pPr>
      <w:r>
        <w:rPr/>
        <w:t>●</w:t>
      </w:r>
      <w:r>
        <w:rPr>
          <w:rFonts w:ascii="Times New Roman;Times;serif" w:hAnsi="Times New Roman;Times;serif"/>
          <w:sz w:val="20"/>
        </w:rPr>
        <w:t>refusal by the FDA to approve pending applications or supplements to approved applications filed by us or suspension or revocation of license approvals;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547" w:right="0" w:hanging="0"/>
        <w:jc w:val="left"/>
        <w:rPr/>
      </w:pPr>
      <w:r>
        <w:rPr/>
        <w:t>●</w:t>
      </w:r>
      <w:r>
        <w:rPr>
          <w:rFonts w:ascii="Times New Roman;Times;serif" w:hAnsi="Times New Roman;Times;serif"/>
          <w:sz w:val="20"/>
        </w:rPr>
        <w:t>product seizure or detention, or refusal to permit the import or export of our product candidates;</w:t>
      </w:r>
    </w:p>
    <w:p>
      <w:pPr>
        <w:pStyle w:val="TextBody"/>
        <w:bidi w:val="0"/>
        <w:spacing w:before="0" w:after="0"/>
        <w:ind w:left="547" w:right="0" w:hanging="0"/>
        <w:jc w:val="left"/>
        <w:rPr/>
      </w:pPr>
      <w:r>
        <w:rPr/>
        <w:t>●</w:t>
      </w:r>
      <w:r>
        <w:rPr>
          <w:rFonts w:ascii="Times New Roman;Times;serif" w:hAnsi="Times New Roman;Times;serif"/>
          <w:sz w:val="20"/>
        </w:rPr>
        <w:t>injunctions or the imposition of civil or criminal penalties, including imprisonment;</w:t>
      </w:r>
    </w:p>
    <w:p>
      <w:pPr>
        <w:pStyle w:val="TextBody"/>
        <w:bidi w:val="0"/>
        <w:spacing w:before="0" w:after="0"/>
        <w:ind w:left="547" w:right="0" w:hanging="0"/>
        <w:jc w:val="left"/>
        <w:rPr/>
      </w:pPr>
      <w:r>
        <w:rPr/>
        <w:t>●</w:t>
      </w:r>
      <w:r>
        <w:rPr>
          <w:rFonts w:ascii="Times New Roman;Times;serif" w:hAnsi="Times New Roman;Times;serif"/>
          <w:sz w:val="20"/>
        </w:rPr>
        <w:t>FDA debarment, debarment from government contracts, and refusal of future orders under existing contracts, exclusion from federal healthcare programs, consent decrees, or corporate integrity agreements;</w:t>
      </w:r>
    </w:p>
    <w:p>
      <w:pPr>
        <w:pStyle w:val="TextBody"/>
        <w:bidi w:val="0"/>
        <w:spacing w:before="0" w:after="0"/>
        <w:ind w:left="547" w:right="0" w:hanging="0"/>
        <w:jc w:val="left"/>
        <w:rPr/>
      </w:pPr>
      <w:r>
        <w:rPr/>
        <w:t>●</w:t>
      </w:r>
      <w:r>
        <w:rPr>
          <w:rFonts w:ascii="Times New Roman;Times;serif" w:hAnsi="Times New Roman;Times;serif"/>
          <w:sz w:val="20"/>
        </w:rPr>
        <w:t>regulatory authority issuance of safety alerts, Dear Healthcare Provider letters, press releases, or other communications containing warnings or other safety information about the biologic;</w:t>
      </w:r>
    </w:p>
    <w:p>
      <w:pPr>
        <w:pStyle w:val="TextBody"/>
        <w:bidi w:val="0"/>
        <w:spacing w:before="0" w:after="0"/>
        <w:ind w:left="547" w:right="0" w:hanging="0"/>
        <w:jc w:val="left"/>
        <w:rPr/>
      </w:pPr>
      <w:r>
        <w:rPr/>
        <w:t>●</w:t>
      </w:r>
      <w:r>
        <w:rPr>
          <w:rFonts w:ascii="Times New Roman;Times;serif" w:hAnsi="Times New Roman;Times;serif"/>
          <w:sz w:val="20"/>
        </w:rPr>
        <w:t>FDA restrictions on manufacturing or distribution if there is an inability to trace the source of a problem due to the nature of cell therapy;</w:t>
      </w:r>
    </w:p>
    <w:p>
      <w:pPr>
        <w:pStyle w:val="TextBody"/>
        <w:bidi w:val="0"/>
        <w:spacing w:before="0" w:after="0"/>
        <w:ind w:left="547" w:right="0" w:hanging="0"/>
        <w:jc w:val="left"/>
        <w:rPr/>
      </w:pPr>
      <w:r>
        <w:rPr/>
        <w:t>●</w:t>
      </w:r>
      <w:r>
        <w:rPr>
          <w:rFonts w:ascii="Times New Roman;Times;serif" w:hAnsi="Times New Roman;Times;serif"/>
          <w:sz w:val="20"/>
        </w:rPr>
        <w:t>withdrawal of regulatory approvals for the Proleukin® product;</w:t>
      </w:r>
    </w:p>
    <w:p>
      <w:pPr>
        <w:pStyle w:val="TextBody"/>
        <w:bidi w:val="0"/>
        <w:spacing w:before="0" w:after="0"/>
        <w:ind w:left="547" w:right="0" w:hanging="0"/>
        <w:jc w:val="left"/>
        <w:rPr/>
      </w:pPr>
      <w:r>
        <w:rPr/>
        <w:t>●</w:t>
      </w:r>
      <w:r>
        <w:rPr>
          <w:rFonts w:ascii="Times New Roman;Times;serif" w:hAnsi="Times New Roman;Times;serif"/>
          <w:sz w:val="20"/>
        </w:rPr>
        <w:t>reputational harm; or</w:t>
      </w:r>
    </w:p>
    <w:p>
      <w:pPr>
        <w:pStyle w:val="TextBody"/>
        <w:bidi w:val="0"/>
        <w:ind w:left="547" w:right="0" w:hanging="0"/>
        <w:jc w:val="left"/>
        <w:rPr/>
      </w:pPr>
      <w:r>
        <w:rPr/>
        <w:t>●</w:t>
      </w:r>
      <w:r>
        <w:rPr>
          <w:rFonts w:ascii="Times New Roman;Times;serif" w:hAnsi="Times New Roman;Times;serif"/>
          <w:sz w:val="20"/>
        </w:rPr>
        <w:t>the product becoming less competitive.</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Any of these events could further have other material and adverse effects on our operations and business and could adversely impact our stock price and could significantly harm our business, financial condition, results of operations, and prospects.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U.S. or abroad. If we are slow or unable to adapt to changes in existing requirements or the adoption of new requirements or policies, or if we are not able to maintain regulatory compliance, we may lose any marketing approval that we may have obtained, be subject to other regulatory enforcement action, and we may not achieve or sustain profitability.</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If we fail to comply with federal and state healthcare and promotional laws, including fraud and abuse and information privacy and security laws, we could face substantial penalties and our business, financial condition, results of operations, and prospects could be adversely affected.</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As a biopharmaceutical company, we are subject to many federal and state healthcare laws, including the federal AKS, the federal civil and criminal FCA, the civil monetary penalties statute, the Medicaid Drug Rebate statute and other price reporting requirements, the Veterans Health Care Act of 1992, the federal Health Insurance Portability and Accountability Act of 1996 (as amended by the Health Information Technology for Economics and Clinical Health Act), the Foreign Corrupt Practices Act of 1977, the Patient Protection and Affordable Care Act of 2010, and similar state laws. Even though we do not and will not control referrals of healthcare services or bill directly to Medicare, Medicaid, or other third-party payors, certain federal and state healthcare laws and regulations pertaining to fraud and abuse and patients’ rights are and will be applicable to our business. If we do not comply with all applicable fraud and abuse laws, we may be subject to enforcement by both the federal government and the states in which we conduct our business.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Laws and regulations require calculation and reporting of complex pricing information for prescription drugs, and compliance will require us to invest in significant resources and develop a price reporting infrastructure or depend on third parties to compute and report our drug pricing. Pricing reported to CMS must be certified. Non-compliant activities expose us to FCA risk if they result in overcharging agencies, underpaying rebates to agencies, or causing agencies to overpay providers.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If we or our operations are found to be in violation of any federal or state healthcare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they may be subject to criminal, civil, or administrative sanctions, including but not limited to, exclusions from participation in government healthcare programs, which could also materially affect our business.</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In particular, if we are found to have impermissibly promoted any of our product candidates, we may become subject to significant liability and government fines. We, and any of our collaborators, must comply with requirements concerning advertising and promotion for any of our product candidates for which we or they obtain marketing approval. Promotional communications with respect to therapeutics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 regulatory authorities issue regulatory approval for a product candidate,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regulatory approval is limited to those specific uses and indications for which a product is approved. If we are not able to obtain FDA approval for desired uses or indications for our products and product candidates, we may not market or promote our products for those indications and uses, referred to as off-label uses, and our business may be adversely affected. We further must be able to sufficiently substantiate any claims that we make for our products including claims comparing our products to other companies’ products and must abide by the FDA’s strict requirements regarding the content of promotion and advertising.</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While physicians may choose to prescribe products for uses that are not described in the product’s labeling and for uses that differ from those tested in clinical trials and approved by the regulatory authorities, we are prohibited from marketing and promoting the products for indications and uses that are not specifically approved by the FDA. These off-label uses are common across medical specialties and may constitute an appropriate treatment for some patients in varied circumstances. Regulatory authorities in the U.S. generally do not restrict or regulate the behavior of physicians in their choice of treatment within the practice of medicine. Regulatory authorities do, however, restrict communications by biopharmaceutical companies concerning off-label use.</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 the U.S., engaging in the impermissible promotion of our products, following approval, for off-label uses can also subject us to false claims and other litigation under federal and state statutes, including fraud and abuse and consumer protection laws, which can lead to civil and criminal penalties and fines, agreements with governmental authorities that materially restrict the manner in which we promote or distribute therapeutic products and do business through, for example, corporate integrity agreements, suspension or exclusion from participation in federal and state healthcare programs, and debarment from government contracts and refusal of future orders under existing contracts. These false claims statutes include the federal civil False Claims Act, which allows any individual to bring a lawsuit against a biopharmaceutical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lawsuit, the individual will share in the proceeds from any fines or settlement funds. If the government declines to intervene, the individual may pursue the case alone. These False Claims Act lawsuits against manufacturers of drugs and biologics have increased significantly in volume and breadth, leading to several substantial civil and criminal settlements, up to $3.0 billion, pertaining to certain sales practices and promoting off-label uses. In addition, False Claims Act lawsuits may expose manufacturers to follow-on claims by private payors based on fraudulent marketing practices. This growth in litigation has increased the risk that a biopharmaceutical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future collaborators do not lawfully promote our approved products, if any, we may become subject to such litigation and, if we do not successfully defend against such actions, those actions may have a material adverse effect on our business, financial condition, results of operations and prospects.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Coverage and reimbursement may be limited or unavailable in certain market segments for our product candidates, which could make it difficult for us to sell our product candidates profitably.</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 both domestic and foreign markets, sales of our product candidates, if approved, depend on the availability of coverage and adequate reimbursement from third-party payors. Such third-party payors include government health programs such as Medicare and Medicaid, managed care providers, private health insurers, and other organizations. In addition, because our product candidates represent new approaches to the treatment of cancer, we cannot accurately estimate the potential revenue from our product candidates.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Patients who are provided medical treatment for their conditions generally rely on third-party payors to reimburse all or part of the costs associated with their treatment. Obtaining coverage and adequate reimbursement from governmental healthcare programs, such as Medicare and Medicaid, and commercial payors is critical to new product acceptance.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Government authorities and third-party payors decide which drugs and treatments they will cover and the amount of reimbursement. Coverage decisions may depend upon clinical and economic standards that disfavor new drug products when more established or lower cost therapeutic alternatives are already available or subsequently become available. If reimbursement is not available, or is available only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 Reimbursement by a third-party payor may depend upon a number of factors, including, but not limited to, the third-party payor’s determination that use of a product is:</w:t>
      </w:r>
    </w:p>
    <w:p>
      <w:pPr>
        <w:pStyle w:val="TextBody"/>
        <w:bidi w:val="0"/>
        <w:spacing w:before="0" w:after="0"/>
        <w:ind w:left="547" w:right="0" w:hanging="0"/>
        <w:jc w:val="left"/>
        <w:rPr/>
      </w:pPr>
      <w:r>
        <w:rPr/>
        <w:t>●</w:t>
      </w:r>
      <w:r>
        <w:rPr>
          <w:rFonts w:ascii="Times New Roman;Times;serif" w:hAnsi="Times New Roman;Times;serif"/>
          <w:sz w:val="20"/>
        </w:rPr>
        <w:t>a covered benefit under its health plan;</w:t>
      </w:r>
    </w:p>
    <w:p>
      <w:pPr>
        <w:pStyle w:val="TextBody"/>
        <w:bidi w:val="0"/>
        <w:spacing w:before="0" w:after="0"/>
        <w:ind w:left="547" w:right="0" w:hanging="0"/>
        <w:jc w:val="left"/>
        <w:rPr/>
      </w:pPr>
      <w:r>
        <w:rPr/>
        <w:t>●</w:t>
      </w:r>
      <w:r>
        <w:rPr>
          <w:rFonts w:ascii="Times New Roman;Times;serif" w:hAnsi="Times New Roman;Times;serif"/>
          <w:sz w:val="20"/>
        </w:rPr>
        <w:t>safe, effective and medically necessary;</w:t>
      </w:r>
    </w:p>
    <w:p>
      <w:pPr>
        <w:pStyle w:val="TextBody"/>
        <w:bidi w:val="0"/>
        <w:spacing w:before="0" w:after="0"/>
        <w:ind w:left="547" w:right="0" w:hanging="0"/>
        <w:jc w:val="left"/>
        <w:rPr/>
      </w:pPr>
      <w:r>
        <w:rPr/>
        <w:t>●</w:t>
      </w:r>
      <w:r>
        <w:rPr>
          <w:rFonts w:ascii="Times New Roman;Times;serif" w:hAnsi="Times New Roman;Times;serif"/>
          <w:sz w:val="20"/>
        </w:rPr>
        <w:t>appropriate for the specific patient;</w:t>
      </w:r>
    </w:p>
    <w:p>
      <w:pPr>
        <w:pStyle w:val="TextBody"/>
        <w:bidi w:val="0"/>
        <w:spacing w:before="0" w:after="0"/>
        <w:ind w:left="547" w:right="0" w:hanging="0"/>
        <w:jc w:val="left"/>
        <w:rPr/>
      </w:pPr>
      <w:r>
        <w:rPr/>
        <w:t>●</w:t>
      </w:r>
      <w:r>
        <w:rPr>
          <w:rFonts w:ascii="Times New Roman;Times;serif" w:hAnsi="Times New Roman;Times;serif"/>
          <w:sz w:val="20"/>
        </w:rPr>
        <w:t>cost-effective; and</w:t>
      </w:r>
    </w:p>
    <w:p>
      <w:pPr>
        <w:pStyle w:val="TextBody"/>
        <w:bidi w:val="0"/>
        <w:ind w:left="547" w:right="0" w:hanging="0"/>
        <w:jc w:val="left"/>
        <w:rPr/>
      </w:pPr>
      <w:r>
        <w:rPr/>
        <w:t>●</w:t>
      </w:r>
      <w:r>
        <w:rPr>
          <w:rFonts w:ascii="Times New Roman;Times;serif" w:hAnsi="Times New Roman;Times;serif"/>
          <w:sz w:val="20"/>
        </w:rPr>
        <w:t>neither experimental nor investigational.</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Obtaining coverage and reimbursement approval of a product from a government or other third-party payor is a time-consuming and costly process that could require us to provide to the payor supporting scientific, clinical and cost-effectiveness data for the use of our products. Even if we obtain coverage for a given product, the resulting reimbursement payment rates might not be adequate for us to achieve or sustain profitability or may require co-payments that patients find unacceptably high. Moreover, the factors noted above have continued to be the focus of policy and regulatory debate that has, thus far, shown the potential for movement towards permanent policy changes; this trend is apt to continue, and may result in more or less favorable impacts on pricing. Patients are unlikely to use our product candidates unless coverage is provided, and reimbursement is adequate to cover a significant portion of the cost of our product candidates.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 the U.S., no uniform policy of coverage and reimbursement for products exists among third-party payors. Therefore, coverage and reimbursement for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 addition, federal programs impose penalties on manufacturers of drugs marketed under an NDA or BLA, in the form of mandatory additional rebates and/or discounts if commercial prices increase at a rate greater than the Consumer Price Index-Urban, and these rebates and/or discounts, which can be substantial, may impact our ability to raise commercial prices. Regulatory authorities and third-party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cost-effective, and coverage and reimbursement may not be available to our customers, or those of our collaborators, or may not be sufficient to allow our products, if any, to be marketed on a competitive basis. Cost 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 Moreover, the recent and ongoing series of congressional hearings relating to drug pricing has presented heightened attention to the biopharmaceutical industry, creating the potential for political and public pressure, while the potential for resulting legislative or policy changes presents uncertainty.</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Assuming coverage is approved, the resulting reimbursement payment rates might not be adequate. If payors subject our product candidates to maximum payment amounts or impose limitations that make it difficult to obtain reimbursement, providers may choose to use therapies which are less expensive when compared to our product candidates. Additionally, if payors require high copayments, beneficiaries may decline prescriptions and seek alternative therapies. We may need to conduct post-marketing studies in order to demonstrate the cost-effectiveness of any future products to the satisfaction of hospitals and other target customers and their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third-party payors. Such studies might require us to commit a significant amount of management time and financial and other resources. Our future products might not ultimately be considered cost-effective. Adequate third-party coverage and reimbursement might not be available to enable us to maintain price levels sufficient to realize an appropriate return on investment in product development.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Third-party payors, whether domestic or foreign, or governmental or commercial, are developing increasingly sophisticated methods of controlling healthcare costs. In addition, third-party payors are requiring higher levels of evidence of the benefits and clinical outcomes of new technologies and are challenging the prices charged. We, and our collaborators, cannot be sure that coverage will be available for any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U.S. An inability to promptly obtain coverage and adequate payment rates from both government-funded and private payors for any our product candidates for which we obtain marketing approval could have a material adverse effect on our operating results, our ability to raise capital needed to commercialize products, and our overall financial condition.</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There have been, and likely will continue to be, legislative and regulatory proposals at the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pStyle w:val="TextBody"/>
        <w:bidi w:val="0"/>
        <w:spacing w:before="0" w:after="0"/>
        <w:ind w:left="547" w:right="0" w:hanging="0"/>
        <w:jc w:val="left"/>
        <w:rPr/>
      </w:pPr>
      <w:r>
        <w:rPr/>
        <w:t>●</w:t>
      </w:r>
      <w:r>
        <w:rPr>
          <w:rFonts w:ascii="Times New Roman;Times;serif" w:hAnsi="Times New Roman;Times;serif"/>
          <w:sz w:val="20"/>
        </w:rPr>
        <w:t>the demand for our product candidates if we obtain regulatory approval;</w:t>
      </w:r>
    </w:p>
    <w:p>
      <w:pPr>
        <w:pStyle w:val="TextBody"/>
        <w:bidi w:val="0"/>
        <w:spacing w:before="0" w:after="0"/>
        <w:ind w:left="547" w:right="0" w:hanging="0"/>
        <w:jc w:val="left"/>
        <w:rPr/>
      </w:pPr>
      <w:r>
        <w:rPr/>
        <w:t>●</w:t>
      </w:r>
      <w:r>
        <w:rPr>
          <w:rFonts w:ascii="Times New Roman;Times;serif" w:hAnsi="Times New Roman;Times;serif"/>
          <w:sz w:val="20"/>
        </w:rPr>
        <w:t>our ability to set a price that we believe is fair for our products;</w:t>
      </w:r>
    </w:p>
    <w:p>
      <w:pPr>
        <w:pStyle w:val="TextBody"/>
        <w:bidi w:val="0"/>
        <w:spacing w:before="0" w:after="0"/>
        <w:ind w:left="547" w:right="0" w:hanging="0"/>
        <w:jc w:val="left"/>
        <w:rPr/>
      </w:pPr>
      <w:r>
        <w:rPr/>
        <w:t>●</w:t>
      </w:r>
      <w:r>
        <w:rPr>
          <w:rFonts w:ascii="Times New Roman;Times;serif" w:hAnsi="Times New Roman;Times;serif"/>
          <w:sz w:val="20"/>
        </w:rPr>
        <w:t>our ability to generate revenue and achieve or maintain profitability;</w:t>
      </w:r>
    </w:p>
    <w:p>
      <w:pPr>
        <w:pStyle w:val="TextBody"/>
        <w:bidi w:val="0"/>
        <w:spacing w:before="0" w:after="0"/>
        <w:ind w:left="547" w:right="0" w:hanging="0"/>
        <w:jc w:val="left"/>
        <w:rPr/>
      </w:pPr>
      <w:r>
        <w:rPr/>
        <w:t>●</w:t>
      </w:r>
      <w:r>
        <w:rPr>
          <w:rFonts w:ascii="Times New Roman;Times;serif" w:hAnsi="Times New Roman;Times;serif"/>
          <w:sz w:val="20"/>
        </w:rPr>
        <w:t>the level of taxes that we are required to pay; and</w:t>
      </w:r>
    </w:p>
    <w:p>
      <w:pPr>
        <w:pStyle w:val="TextBody"/>
        <w:bidi w:val="0"/>
        <w:ind w:left="547" w:right="0" w:hanging="0"/>
        <w:jc w:val="left"/>
        <w:rPr/>
      </w:pPr>
      <w:r>
        <w:rPr/>
        <w:t>●</w:t>
      </w:r>
      <w:r>
        <w:rPr>
          <w:rFonts w:ascii="Times New Roman;Times;serif" w:hAnsi="Times New Roman;Times;serif"/>
          <w:sz w:val="20"/>
        </w:rPr>
        <w:t>the availability of capital.</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Any reduction in reimbursement from Medicare or other government programs may result in a similar reduction in payments from private payors, which may adversely affect our future profitability. A particular challenge for our product candidates arises from the fact that they will primarily be used in an inpatient setting. Inpatient reimbursement generally relies on stringent packaging rules that may mean that there is no separate payment for our product candidates. Additionally, data used to set the payment rates for inpatient admissions is usually several years old and would not take into account all of the additional therapy costs associated with the administration of our product candidates. If special rules are not created for reimbursement for immunotherapy treatments such as our product candidates, hospitals might not receive enough reimbursement to cover their costs of treatment, which will have a negative effect on their adoption of our product candidates.</w:t>
      </w:r>
    </w:p>
    <w:p>
      <w:pPr>
        <w:pStyle w:val="TextBody"/>
        <w:bidi w:val="0"/>
        <w:spacing w:before="0" w:after="200"/>
        <w:ind w:left="0" w:right="0" w:firstLine="540"/>
        <w:jc w:val="left"/>
        <w:rPr>
          <w:rFonts w:ascii="Times New Roman;Times;serif" w:hAnsi="Times New Roman;Times;serif"/>
          <w:b/>
          <w:i/>
          <w:sz w:val="20"/>
        </w:rPr>
      </w:pPr>
      <w:r>
        <w:rPr>
          <w:rFonts w:ascii="Times New Roman;Times;serif" w:hAnsi="Times New Roman;Times;serif"/>
          <w:b/>
          <w:i/>
          <w:sz w:val="20"/>
        </w:rPr>
        <w:t>We are subject to new legislation, regulatory proposals, and healthcare payor initiatives that may increase our costs of compliance, and adversely affect our ability to market our products, obtain collaborators, and raise capital.*</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In the U.S.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or the ability of our collaborators,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 xml:space="preserve">Since enactment of the Patient Protection and Affordable Care Act, as amended, or the ACA, in 2010, in both the U.S. and certain foreign jurisdictions, there have been a number of legislative and regulatory changes to the health care system that could impact our ability to sell our products profitably.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which went into effect on April 1, 2013, and were to remain in effect until 2024. The Bipartisan Budget Act of 2015 extended the 2% sequestration to 2025. In January 2013, the American Taxpayer Relief Act of 2012, or ATRA, was approved which, among other things, reduced Medicare payments to several providers, with primary focus on the hospital outpatient setting and ancillary services, including hospitals, imaging centers and cancer treatment centers, and increased the statute of limitations period for the government to recover overpayments to providers from three to five years. On January 20, 2017, the Trump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administration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and, for that reason, some final regulations have yet to take effect. In December 2017, Congress repealed the individual mandate for health insurance required by the ACA and could consider further legislation to repeal other elements of the ACA. At the end of 2017, CMS promulgated regulations that reduce the amount paid to hospitals for outpatient drugs purchased under the 340B program, and some states have enacted transparency laws requiring manufacturers to report information on drug prices and price increases. In June 2021, the Supreme Court issued its opinion in California v. Texas, upholding the constitutionality of the ACA. </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Additional federal and state healthcare reform measures may be adopted in the future that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There is also an increasing focus on the price of drugs, both at the state and federal levels, and it is likely that additional pricing controls will be enacted and could harm our business, financial condition and results of operations. For instance, states such as California have begun enacting transparency laws aimed at curbing drug price increases and with the change in administration it is possible that President Biden may issue Executive Orders with the potential to change a number of prior executive branch actions on drug pricing. We continue to monitor the potential impact of proposals and recently enacted legislation to lower prescription drug costs at the federal and state level. For example, the Inflation Reduction Act, or the IRA, was recently signed into law by President Biden, which makes significant changes to how drugs are covered and paid for under the Medicare program, including the creation of financial penalties for drugs whose prices rise faster than the rate of inflation, redesign of the Medicare Part D program to require manufacturers to bear more of the liability for certain drug benefits, and government price-setting for certain Medicare Part D drugs, starting in 2026, and Medicare Part B drugs starting in 2028. We are evaluating what effect, if any, the IRA may have on our business.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products.</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Legislative and regulatory proposals may also be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In addition, there have been a number of other policy, legislative and regulatory proposals aimed at changing the pharmaceutical industry. The U.S. government, state legislatures and foreign governmental entities have shown significant interest in implementing cost containment programs to limit the growth of government-paid healthcare costs, including price controls, restrictions on reimbursement and coverage and requirements for substitution of generic products for branded prescription drugs. Adoption of government controls and measures and tightening of restrictive policies in jurisdictions with existing controls and measures, could exclude or limit our product candidates from coverage and limit payments for pharmaceuticals. Under the Biden Administration’s Build Back Better Agenda, for example, Medicare negotiation of prescription drug costs with biopharmaceutical companies is proposed to lower prescription drug costs We continue to monitor the potential impact of these and other proposals to lower prescription drug costs at the federal and state level.</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We are unable to predict the future course of federal or state healthcare legislation in the U.S. directed at broadening the availability of healthcare and containing or lowering the cost of healthcare. The ACA and any further changes in the law or regulatory framework that reduce our revenue or increase our costs could also have a material and adverse effect on our business, financial condition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Governments outside the U.S. tend to impose strict price controls, which may adversely affect our revenues, if any.</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In international markets, reimbursement and health care payment systems vary significantly by country, and many countries have instituted price ceilings on specific products and therapies. In some countries, particularly the countries of the EU and the United Kingdom,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There can be no assurance that our products will be considered cost-effective by third-party payors, that an adequate level of reimbursement will be available, or that the third-party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Our employees, independent contractors, consultants, commercial partners and vendors may engage in misconduct or other improper activities, including noncompliance with regulatory standards and requirements.</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We are exposed to the risk of employee fraud or other illegal activity by our employees, independent contractors, consultants, commercial partners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U.S. and similar foreign fraudulent misconduct laws, or report financial information or data accurately or to disclose unauthorized activities to us. If we obtain FDA approval of any of our product candidates and begin commercializing those products in the U.S.,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We have adopted a Code of Conduct and Ethics, but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comply with such laws or regulations. Efforts to ensure that our business arrangements will comply with applicable healthcare laws may involve substantial costs. It is possible that governmental and enforcement authorities will conclude that our, or our employees’, consultants’, collaborators’, contractors’, or vendors’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compliance agreements, withdrawal of product approvals, and curtailment of our operations, among other things, any of which could adversely affect our ability to operate our business and our results of operations. In addition, the approval and commercialization of any of our product candidates outside the U.S. will also likely subject us to foreign equivalents of the healthcare laws mentioned above, among other foreign laws.</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Risks Related to Our Intellectual Property</w:t>
      </w:r>
    </w:p>
    <w:p>
      <w:pPr>
        <w:pStyle w:val="TextBody"/>
        <w:bidi w:val="0"/>
        <w:spacing w:before="0" w:after="200"/>
        <w:ind w:left="0" w:right="0" w:firstLine="540"/>
        <w:jc w:val="left"/>
        <w:rPr>
          <w:rFonts w:ascii="Times New Roman;Times;serif" w:hAnsi="Times New Roman;Times;serif"/>
          <w:b/>
          <w:i/>
          <w:sz w:val="20"/>
        </w:rPr>
      </w:pPr>
      <w:r>
        <w:rPr>
          <w:rFonts w:ascii="Times New Roman;Times;serif" w:hAnsi="Times New Roman;Times;serif"/>
          <w:b/>
          <w:i/>
          <w:sz w:val="20"/>
        </w:rPr>
        <w:t>We may be involved in lawsuits to protect or enforce our patents or the patents of our licensors, or lawsuits accusing our products of patent infringement, which could be expensive, time-consuming and unsuccessful.</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 xml:space="preserve">Competitors may infringe the patents of our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our patent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applications at risk of not issuing. Defense of these claims, regardless of their merit, would involve substantial litigation expense and would be a substantial diversion of employee resources from our business. In the event of a successful claim of infringement against us, we may be enjoined from manufacturing, use, and marketing our products, or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Periodic maintenance fees on any issued patent are due to be paid to the U.S. Patent and Trademark Office, or USPTO, and foreign patent agencies in several stages over the lifetime of the patent. The USPTO and various foreign governmental patent agencies require compliance with several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pStyle w:val="TextBody"/>
        <w:bidi w:val="0"/>
        <w:spacing w:before="0" w:after="200"/>
        <w:ind w:left="0" w:right="0" w:firstLine="540"/>
        <w:jc w:val="left"/>
        <w:rPr>
          <w:rFonts w:ascii="Times New Roman;Times;serif" w:hAnsi="Times New Roman;Times;serif"/>
          <w:b/>
          <w:i/>
          <w:sz w:val="20"/>
        </w:rPr>
      </w:pPr>
      <w:r>
        <w:rPr>
          <w:rFonts w:ascii="Times New Roman;Times;serif" w:hAnsi="Times New Roman;Times;serif"/>
          <w:b/>
          <w:i/>
          <w:sz w:val="20"/>
        </w:rPr>
        <w:t>We may incur substantial costs as a result of litigation or other proceedings relating to patent and other intellectual property rights.</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The cost to us of any litigation or other proceeding relating to intellectual property rights, even if resolved in our favor, could be substantial. Some of our competitors may be better able to sustain the costs of complex patent litigation because they have substantially greater resources. If there is litigation against us, we may not be able to continue our operations.</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Should third parties file patent applications or be issued patents claiming technology also used or claimed by us, we may be required to participate in interference proceedings in the USPTO to determine priority of invention. We may be required to participate in interference proceedings involving our issued patents and pending applications. We may be required to cease using the technology or to license rights from prevailing third parties as a result of an unfavorable outcome in an interference proceeding. A prevailing party in that case may not offer us a license on commercially acceptable terms.</w:t>
      </w:r>
    </w:p>
    <w:p>
      <w:pPr>
        <w:pStyle w:val="TextBody"/>
        <w:bidi w:val="0"/>
        <w:spacing w:before="0" w:after="200"/>
        <w:ind w:left="0" w:right="0" w:firstLine="540"/>
        <w:jc w:val="left"/>
        <w:rPr>
          <w:rFonts w:ascii="Times New Roman;Times;serif" w:hAnsi="Times New Roman;Times;serif"/>
          <w:b/>
          <w:i/>
          <w:sz w:val="20"/>
        </w:rPr>
      </w:pPr>
      <w:r>
        <w:rPr>
          <w:rFonts w:ascii="Times New Roman;Times;serif" w:hAnsi="Times New Roman;Times;serif"/>
          <w:b/>
          <w:i/>
          <w:sz w:val="20"/>
        </w:rPr>
        <w:t>Issued patents covering our product candidates could be found invalid or unenforceable if challenged in court or the USPTO.</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If we or one of our licensing partners initiate legal proceedings against a third party to enforce a patent covering one of our product candidates, the defendant could counterclaim that the patent covering our product candidate, as applicable, is invalid and/or unenforceable. In patent litigation in the U.S., defendant counterclaims alleging invalidity and/or unenforceability are commonplace, and there are numerous grounds upon which a third party can assert invalidity or unenforceability of a patent. Third parties may also raise similar claims before administrative bodies in the U.S. or abroad, even outside the context of litigation. Such mechanisms include re-examination, post grant review, and equivalent proceedings in foreign jurisdictions (e.g., opposition proceedings). For example, on November 24, 2021, an opposition proceeding was initiated in the European Patent Office against our European Patent No. 3601533 B1. This opposition proceeding, or any similar proceedings that may arise in the U.S. or foreign jurisdictions,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or third party were to prevail on a legal assertion of invalidity and/or unenforceability, we would lose at least part, and perhaps all, of the patent protection on our product candidates. Such a loss of patent protection could have a material adverse impact on our business.</w:t>
      </w:r>
    </w:p>
    <w:p>
      <w:pPr>
        <w:pStyle w:val="TextBody"/>
        <w:bidi w:val="0"/>
        <w:spacing w:before="0" w:after="200"/>
        <w:ind w:left="0" w:right="0" w:firstLine="540"/>
        <w:jc w:val="left"/>
        <w:rPr>
          <w:rFonts w:ascii="Times New Roman;Times;serif" w:hAnsi="Times New Roman;Times;serif"/>
          <w:b/>
          <w:i/>
          <w:sz w:val="20"/>
        </w:rPr>
      </w:pPr>
      <w:r>
        <w:rPr>
          <w:rFonts w:ascii="Times New Roman;Times;serif" w:hAnsi="Times New Roman;Times;serif"/>
          <w:b/>
          <w:i/>
          <w:sz w:val="20"/>
        </w:rPr>
        <w:t>If we are unable to protect our proprietary rights, we may not be able to compete effectively or operate profitably.</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 xml:space="preserve">Our success is dependent in part on maintaining and enforcing the patents and other proprietary rights that we have licensed and may develop, and on our ability to avoid infringing the proprietary rights of others. Certain of our intellectual property rights are licensed from another entity, and as such the preparation and prosecution of these patents and patent applications was not performed by us or under our control. Furthermore, patent law relating to the scope of claims in the biotechnology field in which we operate is still evolving and, consequently, patent positions in our industry may not be as strong as in other more well-established fields. The patent positions of biotechnology companies can be highly uncertain and involve complex legal and factual questions for which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important legal principles remain unresolved. No consistent policy regarding the breadth of claims allowed in biotechnology patents has emerged to date.</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The issuance of a patent is not conclusive as to its validity or enforceability and it is uncertain how much protection, if any, will be given to the patents we have licensed from the NIH, Moffitt, or MDACC if any of these parties, or we, attempt to enforce the patents and/or if they are challenged in court or in other proceedings, such as oppositions, which may be brought in foreign jurisdictions to challenge the validity of a patent. A third party may challenge the validity or enforceability of a patent after its issuance by the Patent Office. It is possible that a competitor may successfully challenge our patents or that a challenge will result in limiting their coverage. Moreover, the cost of litigation to uphold the validity of patents and to prevent infringement can be substantial. If the outcome of litigation is adverse to us, third parties may be able to use our patented invention without payment to us. Moreover, it is possible that competitors may infringe our patents or successfully avoid the patented technology through design innovation. To stop these activities, we may need to file a lawsuit. These lawsuits are expensive and would consume time and other resources, even if we were successful in stopping the violation of our patent rights. In addition, there is a risk that a court would decide that our patents are not valid and that we do not have the right to stop the other party from using the inventions. There is also the risk that, even if the validity of our patents were upheld, a court would refuse to stop the other party on the grounds that its activities are not covered by, that is, do not infringe, our patents.</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Should third parties file patent applications, or be issued patents claiming technology also used or claimed by our licensor(s) or by us in any future patent application, we may be required to participate in interference proceedings in the USPTO to determine priority of invention for those patents or patent applications that are subject to the first-to-invent law in the U.S., or may be required to participate in derivation proceedings in the USPTO for those patents or patent applications that are subject to the first-inventor-to-file law in the U.S. We may be required to participate in such interference or derivation proceedings involving our issued patents and pending applications. We may be required to cease using the technology or to license rights from prevailing third parties as a result of an unfavorable outcome in an interference proceeding or derivation proceeding. A prevailing party in that case may not offer us a license on commercially acceptable terms.</w:t>
      </w:r>
    </w:p>
    <w:p>
      <w:pPr>
        <w:pStyle w:val="TextBody"/>
        <w:bidi w:val="0"/>
        <w:spacing w:before="0" w:after="200"/>
        <w:ind w:left="0" w:right="0" w:firstLine="540"/>
        <w:jc w:val="left"/>
        <w:rPr>
          <w:rFonts w:ascii="Times New Roman;Times;serif" w:hAnsi="Times New Roman;Times;serif"/>
          <w:b/>
          <w:i/>
          <w:sz w:val="20"/>
        </w:rPr>
      </w:pPr>
      <w:r>
        <w:rPr>
          <w:rFonts w:ascii="Times New Roman;Times;serif" w:hAnsi="Times New Roman;Times;serif"/>
          <w:b/>
          <w:i/>
          <w:sz w:val="20"/>
        </w:rPr>
        <w:t>We cannot prevent other companies from licensing most of the same intellectual properties that we have licensed or from otherwise duplicating our business model and operations.</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Certain intellectual properties that we are using to develop TIL-based cancer therapy products were licensed to us by the NIH. The issued or pending patents that the NIH licensed to us are exclusive, and specific with respect to melanoma, breast, HPV-associated, bladder and lung cancers. No assurance can be given that the NIH has not previously licensed, or that the NIH hereafter will not license to other biotechnology companies some or all of the non-exclusive technologies available to us under the NIH License Agreement. In addition, one pending U.S. patent application in the NIH License Agreement is not owned solely by the NIH. No assurance can be given that NIH’s co-owner of the certain pending U.S. patent application in the NIH License Agreement has not previously licensed, or that the co-owner thereafter will not license, to other biotechnology companies some or all of the technologies available to us. Co-ownership of these intellectual properties will create issues with respect to our ability to enforce the intellectual property rights in courts and will create issues with respect to the accountability of one entity with respect to the other.</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Since the NCI, Moffitt, MDACC, and others already use TIL therapy for the treatment of metastatic melanoma and other indications, their methods and data are also available to third parties, who may want to enter into our line of business and compete against us. Other than the Gen 2 manufacturing process, we currently do not own any exclusive rights on our entire product portfolio that could be used to prevent third parties from duplicating our business plan or from otherwise directly competing against us. While additional technologies that may be developed under our CRADA may be licensed to us on an exclusive basis, no assurance can be given that our existing exclusive rights and will be sufficient to prevent others from competing with us and developing substantially similar products.</w:t>
      </w:r>
    </w:p>
    <w:p>
      <w:pPr>
        <w:pStyle w:val="TextBody"/>
        <w:bidi w:val="0"/>
        <w:spacing w:before="0" w:after="200"/>
        <w:ind w:left="0" w:right="0" w:firstLine="540"/>
        <w:jc w:val="left"/>
        <w:rPr>
          <w:rFonts w:ascii="Times New Roman;Times;serif" w:hAnsi="Times New Roman;Times;serif"/>
          <w:b/>
          <w:i/>
          <w:sz w:val="20"/>
        </w:rPr>
      </w:pPr>
      <w:r>
        <w:rPr>
          <w:rFonts w:ascii="Times New Roman;Times;serif" w:hAnsi="Times New Roman;Times;serif"/>
          <w:b/>
          <w:i/>
          <w:sz w:val="20"/>
        </w:rPr>
        <w:t>The use of our technologies could potentially conflict with the rights of others.</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Our potential competitors or others may have or acquire patent rights that they could enforce against us. If they do so, then we may be required to alter our products, pay licensing fees or cease activities. If our products conflict with patent rights of others, third parties could bring legal actions against us or our collaborators, licensees, suppliers or customers, claiming damages and seeking to enjoin manufacturing, use and marketing of the affected products. If these legal actions are successful, in addition to any potential liability for damages (including treble damages and attorneys’ fees for willful infringement), we could be required to obtain a license to continue manufacturing, promoting the use or marketing the affected products. We may not prevail in any legal action and a required license under the patent may not be available on acceptable terms or at all.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We have conducted extensive freedom-to-operate, or FTO, analyses of the patent landscape with respect to our lead product candidates. Although we continue to undertake FTO analyses of our manufacturing processes, our lead TIL products, and contemplated future processes and products, because patent applications do not publish for 18 months, and because the claims of patent applications can change over time, no FTO analysis can be considered exhaustive. Furthermore, patent and other intellectual property rights in biotechnology remains an evolving area with many risks and uncertainties. As such, we may not be able to ensure that we can market our product candidates without conflict with the rights of others.</w:t>
      </w:r>
    </w:p>
    <w:p>
      <w:pPr>
        <w:pStyle w:val="TextBody"/>
        <w:bidi w:val="0"/>
        <w:spacing w:before="0" w:after="200"/>
        <w:ind w:left="0" w:right="0" w:firstLine="540"/>
        <w:jc w:val="left"/>
        <w:rPr>
          <w:rFonts w:ascii="Times New Roman;Times;serif" w:hAnsi="Times New Roman;Times;serif"/>
          <w:b/>
          <w:i/>
          <w:sz w:val="20"/>
        </w:rPr>
      </w:pPr>
      <w:r>
        <w:rPr>
          <w:rFonts w:ascii="Times New Roman;Times;serif" w:hAnsi="Times New Roman;Times;serif"/>
          <w:b/>
          <w:i/>
          <w:sz w:val="20"/>
        </w:rPr>
        <w:t>Changes in U.S. patent law could diminish the value of patents in general, thereby impairing our ability to protect our products.</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As is the case with other cell therapy and biopharmaceutical companies, our success is dependent on intellectual property, particularly patents. Obtaining and enforcing patents in the biopharmaceutical industry involves both technological and legal complexity, and is therefore costly, time-consuming and inherently uncertain. In addition, the U.S.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While we do not believe that any of the patents owned or licensed by us will be found invalid based on this decision, we cannot predict how future decisions by the courts, the U.S. Congress or the USPTO may impact the value of our patents.</w:t>
      </w:r>
    </w:p>
    <w:p>
      <w:pPr>
        <w:pStyle w:val="TextBody"/>
        <w:bidi w:val="0"/>
        <w:spacing w:before="0" w:after="200"/>
        <w:ind w:left="0" w:right="0" w:firstLine="540"/>
        <w:jc w:val="left"/>
        <w:rPr>
          <w:rFonts w:ascii="Times New Roman;Times;serif" w:hAnsi="Times New Roman;Times;serif"/>
          <w:b/>
          <w:i/>
          <w:sz w:val="20"/>
        </w:rPr>
      </w:pPr>
      <w:r>
        <w:rPr>
          <w:rFonts w:ascii="Times New Roman;Times;serif" w:hAnsi="Times New Roman;Times;serif"/>
          <w:b/>
          <w:i/>
          <w:sz w:val="20"/>
        </w:rPr>
        <w:t>We have limited foreign intellectual property rights and may not be able to protect our intellectual property rights throughout the world.</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We have limited intellectual property rights outside the U.S. Filing, prosecuting and defending patents on product candidates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U.S. These products may compete with our products and our patents or other intellectual property rights may not be effective or sufficient to prevent them from competing.</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0" w:after="200"/>
        <w:ind w:left="0" w:right="0" w:firstLine="540"/>
        <w:jc w:val="left"/>
        <w:rPr>
          <w:rFonts w:ascii="Times New Roman;Times;serif" w:hAnsi="Times New Roman;Times;serif"/>
          <w:b/>
          <w:i/>
          <w:sz w:val="20"/>
        </w:rPr>
      </w:pPr>
      <w:r>
        <w:rPr>
          <w:rFonts w:ascii="Times New Roman;Times;serif" w:hAnsi="Times New Roman;Times;serif"/>
          <w:b/>
          <w:i/>
          <w:sz w:val="20"/>
        </w:rPr>
        <w:t>We may be subject to claims that our employees, consultants or independent contractors have wrongfully used or disclosed confidential information of third parties.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have received confidential and proprietary information from third parties and our employees and contractors. In addition, we employ individuals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Litigation may be necessary to defend against or pursue these claims. For example, we are currently engaged in litigation involving counterclaims that we have brought relating to theft of certain of our trade secrets, breach of confidentiality, and related counterclaims. Even if we are successful in resolving these claims, litigation could result in substantial costs and be a distraction to our management and employees.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Risks Related to Our Securities</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Our officers, directors and principal stockholders own a substantial percentage of our stock and will be able to exert significant control over matters subject to stockholder approval.</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Our officers, directors, and principal stockholders currently beneficially own a substantial portion of our outstanding voting stock. Therefore, these stockholders have the ability and may continue to have the ability to influence our corporate decision making. Given current ownership levels, these stockholders may be able to determine some or all matters requiring stockholder approval. For example, these stockholders, acting together, may be able to control or influence elections of directors, amendments to our certificate of incorporation or bylaws, or approval of any merger, sale of assets, or other major corporate transaction. This level of control may prevent or discourage unsolicited acquisition proposals or offers for our common stock that you may believe are in your best interest as one of our stockholders.</w:t>
      </w:r>
    </w:p>
    <w:p>
      <w:pPr>
        <w:pStyle w:val="TextBody"/>
        <w:bidi w:val="0"/>
        <w:spacing w:before="0" w:after="240"/>
        <w:ind w:left="0" w:right="0" w:firstLine="547"/>
        <w:jc w:val="left"/>
        <w:rPr>
          <w:rFonts w:ascii="Times New Roman;Times;serif" w:hAnsi="Times New Roman;Times;serif"/>
          <w:b/>
          <w:i/>
          <w:sz w:val="20"/>
        </w:rPr>
      </w:pPr>
      <w:r>
        <w:rPr>
          <w:rFonts w:ascii="Times New Roman;Times;serif" w:hAnsi="Times New Roman;Times;serif"/>
          <w:b/>
          <w:i/>
          <w:sz w:val="20"/>
        </w:rPr>
        <w:t>Our stock price may be volatile, and our stockholders’ investment in our stock could decline in value.</w:t>
      </w:r>
    </w:p>
    <w:p>
      <w:pPr>
        <w:pStyle w:val="TextBody"/>
        <w:bidi w:val="0"/>
        <w:spacing w:before="0" w:after="240"/>
        <w:ind w:left="0" w:right="0" w:firstLine="547"/>
        <w:jc w:val="left"/>
        <w:rPr>
          <w:rFonts w:ascii="Times New Roman;Times;serif" w:hAnsi="Times New Roman;Times;serif"/>
          <w:sz w:val="20"/>
        </w:rPr>
      </w:pPr>
      <w:r>
        <w:rPr>
          <w:rFonts w:ascii="Times New Roman;Times;serif" w:hAnsi="Times New Roman;Times;serif"/>
          <w:sz w:val="20"/>
        </w:rPr>
        <w:t>The market price of our common stock is likely to be volatile and could fluctuate widely in response to many factors, including but not limited to:</w:t>
      </w:r>
    </w:p>
    <w:tbl>
      <w:tblPr>
        <w:tblW w:w="6981" w:type="dxa"/>
        <w:jc w:val="left"/>
        <w:tblInd w:w="0" w:type="dxa"/>
        <w:tblLayout w:type="fixed"/>
        <w:tblCellMar>
          <w:top w:w="28" w:type="dxa"/>
          <w:left w:w="28" w:type="dxa"/>
          <w:bottom w:w="28" w:type="dxa"/>
          <w:right w:w="28" w:type="dxa"/>
        </w:tblCellMar>
      </w:tblPr>
      <w:tblGrid>
        <w:gridCol w:w="124"/>
        <w:gridCol w:w="256"/>
        <w:gridCol w:w="6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and instability in the capital markets due to the COVID-19 pandemic;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the results of clinical trials by us, our collaborators, or our competitors, or negative developments with respect to similar products, including those being developed by our collaborators;</w:t>
            </w:r>
          </w:p>
        </w:tc>
      </w:tr>
    </w:tbl>
    <w:tbl>
      <w:tblPr>
        <w:tblW w:w="5256" w:type="dxa"/>
        <w:jc w:val="left"/>
        <w:tblInd w:w="0" w:type="dxa"/>
        <w:tblLayout w:type="fixed"/>
        <w:tblCellMar>
          <w:top w:w="28" w:type="dxa"/>
          <w:left w:w="28" w:type="dxa"/>
          <w:bottom w:w="28" w:type="dxa"/>
          <w:right w:w="28" w:type="dxa"/>
        </w:tblCellMar>
      </w:tblPr>
      <w:tblGrid>
        <w:gridCol w:w="124"/>
        <w:gridCol w:w="256"/>
        <w:gridCol w:w="4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with respect to patents or proprietary rights;</w:t>
            </w:r>
          </w:p>
        </w:tc>
      </w:tr>
    </w:tbl>
    <w:tbl>
      <w:tblPr>
        <w:tblW w:w="6276" w:type="dxa"/>
        <w:jc w:val="left"/>
        <w:tblInd w:w="0" w:type="dxa"/>
        <w:tblLayout w:type="fixed"/>
        <w:tblCellMar>
          <w:top w:w="28" w:type="dxa"/>
          <w:left w:w="28" w:type="dxa"/>
          <w:bottom w:w="28" w:type="dxa"/>
          <w:right w:w="28" w:type="dxa"/>
        </w:tblCellMar>
      </w:tblPr>
      <w:tblGrid>
        <w:gridCol w:w="124"/>
        <w:gridCol w:w="256"/>
        <w:gridCol w:w="5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technological innovations by us or our competitors;</w:t>
            </w:r>
          </w:p>
        </w:tc>
      </w:tr>
    </w:tbl>
    <w:tbl>
      <w:tblPr>
        <w:tblW w:w="6576" w:type="dxa"/>
        <w:jc w:val="left"/>
        <w:tblInd w:w="0" w:type="dxa"/>
        <w:tblLayout w:type="fixed"/>
        <w:tblCellMar>
          <w:top w:w="28" w:type="dxa"/>
          <w:left w:w="28" w:type="dxa"/>
          <w:bottom w:w="28" w:type="dxa"/>
          <w:right w:w="28" w:type="dxa"/>
        </w:tblCellMar>
      </w:tblPr>
      <w:tblGrid>
        <w:gridCol w:w="124"/>
        <w:gridCol w:w="256"/>
        <w:gridCol w:w="6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new products or new contracts by us or our competitors;</w:t>
            </w:r>
          </w:p>
        </w:tc>
      </w:tr>
    </w:tbl>
    <w:tbl>
      <w:tblPr>
        <w:tblW w:w="9831" w:type="dxa"/>
        <w:jc w:val="left"/>
        <w:tblInd w:w="0" w:type="dxa"/>
        <w:tblLayout w:type="fixed"/>
        <w:tblCellMar>
          <w:top w:w="28" w:type="dxa"/>
          <w:left w:w="28" w:type="dxa"/>
          <w:bottom w:w="28" w:type="dxa"/>
          <w:right w:w="28" w:type="dxa"/>
        </w:tblCellMar>
      </w:tblPr>
      <w:tblGrid>
        <w:gridCol w:w="124"/>
        <w:gridCol w:w="256"/>
        <w:gridCol w:w="94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variations in our operating results due to the level of development expenses and other factors;</w:t>
            </w:r>
          </w:p>
        </w:tc>
      </w:tr>
    </w:tbl>
    <w:tbl>
      <w:tblPr>
        <w:tblW w:w="9936" w:type="dxa"/>
        <w:jc w:val="left"/>
        <w:tblInd w:w="0" w:type="dxa"/>
        <w:tblLayout w:type="fixed"/>
        <w:tblCellMar>
          <w:top w:w="28" w:type="dxa"/>
          <w:left w:w="28" w:type="dxa"/>
          <w:bottom w:w="28" w:type="dxa"/>
          <w:right w:w="28" w:type="dxa"/>
        </w:tblCellMar>
      </w:tblPr>
      <w:tblGrid>
        <w:gridCol w:w="124"/>
        <w:gridCol w:w="256"/>
        <w:gridCol w:w="9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estimates by equities research analysts and whether our earnings meet or exceed such estimates;</w:t>
            </w:r>
          </w:p>
        </w:tc>
      </w:tr>
    </w:tbl>
    <w:tbl>
      <w:tblPr>
        <w:tblW w:w="7086" w:type="dxa"/>
        <w:jc w:val="left"/>
        <w:tblInd w:w="0" w:type="dxa"/>
        <w:tblLayout w:type="fixed"/>
        <w:tblCellMar>
          <w:top w:w="28" w:type="dxa"/>
          <w:left w:w="28" w:type="dxa"/>
          <w:bottom w:w="28" w:type="dxa"/>
          <w:right w:w="28" w:type="dxa"/>
        </w:tblCellMar>
      </w:tblPr>
      <w:tblGrid>
        <w:gridCol w:w="124"/>
        <w:gridCol w:w="256"/>
        <w:gridCol w:w="6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and trends in the pharmaceutical, biotechnology and other industries;</w:t>
            </w:r>
          </w:p>
        </w:tc>
      </w:tr>
    </w:tbl>
    <w:tbl>
      <w:tblPr>
        <w:tblW w:w="6591" w:type="dxa"/>
        <w:jc w:val="left"/>
        <w:tblInd w:w="0" w:type="dxa"/>
        <w:tblLayout w:type="fixed"/>
        <w:tblCellMar>
          <w:top w:w="28" w:type="dxa"/>
          <w:left w:w="28" w:type="dxa"/>
          <w:bottom w:w="28" w:type="dxa"/>
          <w:right w:w="28" w:type="dxa"/>
        </w:tblCellMar>
      </w:tblPr>
      <w:tblGrid>
        <w:gridCol w:w="124"/>
        <w:gridCol w:w="256"/>
        <w:gridCol w:w="6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receipt, or lack of receipt, of funding in support of conducing our business;</w:t>
            </w:r>
          </w:p>
        </w:tc>
      </w:tr>
    </w:tbl>
    <w:tbl>
      <w:tblPr>
        <w:tblW w:w="5151" w:type="dxa"/>
        <w:jc w:val="left"/>
        <w:tblInd w:w="0" w:type="dxa"/>
        <w:tblLayout w:type="fixed"/>
        <w:tblCellMar>
          <w:top w:w="28" w:type="dxa"/>
          <w:left w:w="28" w:type="dxa"/>
          <w:bottom w:w="28" w:type="dxa"/>
          <w:right w:w="28" w:type="dxa"/>
        </w:tblCellMar>
      </w:tblPr>
      <w:tblGrid>
        <w:gridCol w:w="124"/>
        <w:gridCol w:w="256"/>
        <w:gridCol w:w="4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developments within, and outside of, the U.S.;</w:t>
            </w:r>
          </w:p>
        </w:tc>
      </w:tr>
    </w:tbl>
    <w:tbl>
      <w:tblPr>
        <w:tblW w:w="2466" w:type="dxa"/>
        <w:jc w:val="left"/>
        <w:tblInd w:w="0" w:type="dxa"/>
        <w:tblLayout w:type="fixed"/>
        <w:tblCellMar>
          <w:top w:w="28" w:type="dxa"/>
          <w:left w:w="28" w:type="dxa"/>
          <w:bottom w:w="28" w:type="dxa"/>
          <w:right w:w="28" w:type="dxa"/>
        </w:tblCellMar>
      </w:tblPr>
      <w:tblGrid>
        <w:gridCol w:w="124"/>
        <w:gridCol w:w="256"/>
        <w:gridCol w:w="2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or arbitration;</w:t>
            </w:r>
          </w:p>
        </w:tc>
      </w:tr>
    </w:tbl>
    <w:tbl>
      <w:tblPr>
        <w:tblW w:w="3951" w:type="dxa"/>
        <w:jc w:val="left"/>
        <w:tblInd w:w="0" w:type="dxa"/>
        <w:tblLayout w:type="fixed"/>
        <w:tblCellMar>
          <w:top w:w="28" w:type="dxa"/>
          <w:left w:w="28" w:type="dxa"/>
          <w:bottom w:w="28" w:type="dxa"/>
          <w:right w:w="28" w:type="dxa"/>
        </w:tblCellMar>
      </w:tblPr>
      <w:tblGrid>
        <w:gridCol w:w="124"/>
        <w:gridCol w:w="256"/>
        <w:gridCol w:w="3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volatility in the financial markets;</w:t>
            </w:r>
          </w:p>
        </w:tc>
      </w:tr>
    </w:tbl>
    <w:tbl>
      <w:tblPr>
        <w:tblW w:w="6411" w:type="dxa"/>
        <w:jc w:val="left"/>
        <w:tblInd w:w="0" w:type="dxa"/>
        <w:tblLayout w:type="fixed"/>
        <w:tblCellMar>
          <w:top w:w="28" w:type="dxa"/>
          <w:left w:w="28" w:type="dxa"/>
          <w:bottom w:w="28" w:type="dxa"/>
          <w:right w:w="28" w:type="dxa"/>
        </w:tblCellMar>
      </w:tblPr>
      <w:tblGrid>
        <w:gridCol w:w="124"/>
        <w:gridCol w:w="256"/>
        <w:gridCol w:w="6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political and market conditions and other factors; and</w:t>
            </w:r>
          </w:p>
        </w:tc>
      </w:tr>
    </w:tbl>
    <w:tbl>
      <w:tblPr>
        <w:tblW w:w="7206" w:type="dxa"/>
        <w:jc w:val="left"/>
        <w:tblInd w:w="0" w:type="dxa"/>
        <w:tblLayout w:type="fixed"/>
        <w:tblCellMar>
          <w:top w:w="28" w:type="dxa"/>
          <w:left w:w="28" w:type="dxa"/>
          <w:bottom w:w="28" w:type="dxa"/>
          <w:right w:w="28" w:type="dxa"/>
        </w:tblCellMar>
      </w:tblPr>
      <w:tblGrid>
        <w:gridCol w:w="124"/>
        <w:gridCol w:w="256"/>
        <w:gridCol w:w="68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occurrence of any of the risks described in this Quarterly Report on Form 10-Q.</w:t>
            </w:r>
          </w:p>
        </w:tc>
      </w:tr>
    </w:tbl>
    <w:p>
      <w:pPr>
        <w:pStyle w:val="TextBody"/>
        <w:bidi w:val="0"/>
        <w:spacing w:before="0" w:after="240"/>
        <w:ind w:left="0" w:right="0" w:firstLine="547"/>
        <w:jc w:val="left"/>
        <w:rPr>
          <w:rFonts w:ascii="Times New Roman;Times;serif" w:hAnsi="Times New Roman;Times;serif"/>
          <w:b/>
          <w:i/>
          <w:sz w:val="20"/>
        </w:rPr>
      </w:pPr>
      <w:r>
        <w:rPr>
          <w:rFonts w:ascii="Times New Roman;Times;serif" w:hAnsi="Times New Roman;Times;serif"/>
          <w:b/>
          <w:i/>
          <w:sz w:val="20"/>
        </w:rPr>
        <w:t>You may experience future dilution as a result of future equity offerings or other equity issuances.</w:t>
      </w:r>
    </w:p>
    <w:p>
      <w:pPr>
        <w:pStyle w:val="TextBody"/>
        <w:bidi w:val="0"/>
        <w:spacing w:before="0" w:after="240"/>
        <w:ind w:left="0" w:right="0" w:firstLine="547"/>
        <w:jc w:val="left"/>
        <w:rPr>
          <w:rFonts w:ascii="Times New Roman;Times;serif" w:hAnsi="Times New Roman;Times;serif"/>
          <w:sz w:val="20"/>
        </w:rPr>
      </w:pPr>
      <w:r>
        <w:rPr>
          <w:rFonts w:ascii="Times New Roman;Times;serif" w:hAnsi="Times New Roman;Times;serif"/>
          <w:sz w:val="20"/>
        </w:rPr>
        <w:t>We may have to raise additional capital in the future. To raise additional capital, we may in the future offer additional shares of our common stock or other securities convertible into or exchangeable for our common stock at prices that may be lower than the current price per share of our common stock. In addition,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prior offerings. Any such issuance could result in substantial dilution to our existing stockholders.</w:t>
      </w:r>
    </w:p>
    <w:p>
      <w:pPr>
        <w:pStyle w:val="TextBody"/>
        <w:bidi w:val="0"/>
        <w:spacing w:before="0" w:after="240"/>
        <w:ind w:left="0" w:right="0" w:firstLine="547"/>
        <w:jc w:val="left"/>
        <w:rPr>
          <w:rFonts w:ascii="Times New Roman;Times;serif" w:hAnsi="Times New Roman;Times;serif"/>
          <w:b/>
          <w:i/>
          <w:sz w:val="20"/>
        </w:rPr>
      </w:pPr>
      <w:r>
        <w:rPr>
          <w:rFonts w:ascii="Times New Roman;Times;serif" w:hAnsi="Times New Roman;Times;serif"/>
          <w:b/>
          <w:i/>
          <w:sz w:val="20"/>
        </w:rPr>
        <w:t>Future sales of our common stock in the public market could cause our stock price to fall.*</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Our stock price could decline as a result of sales of a large number of shares of our common stock or the perception that these sales could occur. These sales, or the possibility that these sales may occur, also might make it more difficult for us to sell equity securities in the future at a time and at a price that we deem appropriate.</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As of June 30, 2023, we had 224,688,434 shares</w:t>
      </w:r>
      <w:r>
        <w:rPr>
          <w:rFonts w:ascii="Times New Roman;Times;serif" w:hAnsi="Times New Roman;Times;serif"/>
          <w:color w:val="FF0000"/>
          <w:sz w:val="20"/>
        </w:rPr>
        <w:t xml:space="preserve"> </w:t>
      </w:r>
      <w:r>
        <w:rPr>
          <w:rFonts w:ascii="Times New Roman;Times;serif" w:hAnsi="Times New Roman;Times;serif"/>
          <w:sz w:val="20"/>
        </w:rPr>
        <w:t xml:space="preserve">of common stock outstanding. In addition, we had 26,756,143 shares of common stock equivalents that would increase the number of common stock outstanding if these instruments were exercised or converted to purchase common stock based on vesting requirements of stock options and common stock issuable through purchases of employee stock purchase plan, or upon the conversion of preferred stock. The issuance and subsequent sale of the shares underlying these common stock equivalents could depress the trading price of our common stock. On June 10, 2019, our certificate of incorporation was amended to increase the number of authorized shares of our common stock, from 150,000,000 shares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300,000,000 shares, which was approved by our stockholders on that date. On June 16, 2023, our certificate of incorporation was amended to increase the number of authorized shares of our common stock, from 300,000,000 shares to 500,000,000 shares, which was approved by our stockholders on June 6, 2023.</w:t>
      </w:r>
    </w:p>
    <w:p>
      <w:pPr>
        <w:pStyle w:val="TextBody"/>
        <w:bidi w:val="0"/>
        <w:spacing w:before="0" w:after="240"/>
        <w:ind w:left="0" w:right="0" w:firstLine="547"/>
        <w:jc w:val="left"/>
        <w:rPr>
          <w:rFonts w:ascii="Times New Roman;Times;serif" w:hAnsi="Times New Roman;Times;serif"/>
          <w:sz w:val="20"/>
        </w:rPr>
      </w:pPr>
      <w:r>
        <w:rPr>
          <w:rFonts w:ascii="Times New Roman;Times;serif" w:hAnsi="Times New Roman;Times;serif"/>
          <w:sz w:val="20"/>
        </w:rPr>
        <w:t>In addition, in the future, we may issue additional shares of common stock or other equity or debt securities convertible into common stock in connection with a financing, acquisition, litigation settlement, employee arrangements or otherwise. For example, in July 2023, we issued 23,000,000 shares of common stock in connection with an underwritten public offering, and we may offer additional shares under our automatic shelf registration statement in the future. Future issuances may result in substantial dilution to our existing stockholders and could cause our stock price to decline.</w:t>
      </w:r>
    </w:p>
    <w:p>
      <w:pPr>
        <w:pStyle w:val="TextBody"/>
        <w:bidi w:val="0"/>
        <w:spacing w:before="0" w:after="240"/>
        <w:ind w:left="0" w:right="0" w:firstLine="547"/>
        <w:jc w:val="left"/>
        <w:rPr>
          <w:rFonts w:ascii="Times New Roman;Times;serif" w:hAnsi="Times New Roman;Times;serif"/>
          <w:b/>
          <w:i/>
          <w:sz w:val="20"/>
        </w:rPr>
      </w:pPr>
      <w:r>
        <w:rPr>
          <w:rFonts w:ascii="Times New Roman;Times;serif" w:hAnsi="Times New Roman;Times;serif"/>
          <w:b/>
          <w:i/>
          <w:sz w:val="20"/>
        </w:rPr>
        <w:t>If equities or industry analysts do not publish research or reports about our company, or if they issue adverse or misleading opinions regarding us or our stock, our stock price and trading volume could decline.</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Although we have research coverage by equities analysts, if coverage is not maintained, the market price for our stock may be adversely affected. Our stock price also may decline if any analyst who covers us issues an adverse or erroneous opinion regarding us, our business model, our intellectual property or our stock performance, or if our clinical trials and operating results fail to meet analysts’ expectations. If one or more analysts cease coverage of us or fail to regularly publish reports on us, we could lose visibility in the financial markets, which could cause our stock price or trading volume to decline and possibly adversely affect our ability to engage in future financings.</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If we fail to maintain an effective system of internal control over financial reporting, we may not be able to accurately report our financial results. As a result, we could become subject to sanctions or investigations by regulatory authorities and/or stockholder litigation, which could harm our business and have an adverse effect on our stock price.</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As a public reporting company, we are subject to various regulatory requirements, including the Sarbanes-Oxley Act of 2002, which requires our management to assess and report on our internal controls over financial reporting. Nevertheless, in future years, our testing, or the subsequent testing by our independent registered public accounting firm, may reveal deficiencies in our internal controls that we would be required to remediate in a timely manner to be able to comply with the requirements of Section 404 of the Sarbanes-Oxley Act each year. If we are not able to comply with the requirements of Section 404 of the Sarbanes-Oxley Act each year, we could be subject to sanctions or investigations by the SEC, Nasdaq or other regulatory authorities which would require additional financial and management resources and could adversely affect the market price of our common stock. In addition, material weaknesses in our internal controls could result in a loss of investor confidence in our financial reports.</w:t>
      </w:r>
    </w:p>
    <w:p>
      <w:pPr>
        <w:pStyle w:val="TextBody"/>
        <w:bidi w:val="0"/>
        <w:spacing w:before="0" w:after="200"/>
        <w:ind w:left="0" w:right="0" w:firstLine="540"/>
        <w:jc w:val="both"/>
        <w:rPr>
          <w:rFonts w:ascii="Times New Roman;Times;serif" w:hAnsi="Times New Roman;Times;serif"/>
          <w:b/>
          <w:i/>
          <w:sz w:val="20"/>
        </w:rPr>
      </w:pPr>
      <w:r>
        <w:rPr>
          <w:rFonts w:ascii="Times New Roman;Times;serif" w:hAnsi="Times New Roman;Times;serif"/>
          <w:b/>
          <w:i/>
          <w:sz w:val="20"/>
        </w:rPr>
        <w:t xml:space="preserve">We are, and in the future may be, subject to federal or state securities or related legal actions that could adversely affect our results of operations and our business. </w:t>
      </w:r>
    </w:p>
    <w:p>
      <w:pPr>
        <w:pStyle w:val="TextBody"/>
        <w:bidi w:val="0"/>
        <w:spacing w:before="0" w:after="0"/>
        <w:ind w:left="0" w:right="0" w:firstLine="540"/>
        <w:jc w:val="left"/>
        <w:rPr>
          <w:rFonts w:ascii="Times New Roman;Times;serif" w:hAnsi="Times New Roman;Times;serif"/>
          <w:sz w:val="20"/>
          <w:shd w:fill="FFFFFF" w:val="clear"/>
        </w:rPr>
      </w:pPr>
      <w:r>
        <w:rPr>
          <w:rFonts w:ascii="Times New Roman;Times;serif" w:hAnsi="Times New Roman;Times;serif"/>
          <w:sz w:val="20"/>
          <w:shd w:fill="FFFFFF" w:val="clear"/>
        </w:rPr>
        <w:t>Federal and state securities and related legal actions may result in substantial costs and divert our management’s attention from other business concerns, which could seriously harm our business or affect our reputation. We may not be successful in defending future claims and cannot provide assurance that insurance proceeds will be sufficient to cover any costs or liability under such claims.</w:t>
      </w:r>
    </w:p>
    <w:p>
      <w:pPr>
        <w:pStyle w:val="TextBody"/>
        <w:bidi w:val="0"/>
        <w:spacing w:before="0" w:after="0"/>
        <w:ind w:left="0" w:right="0" w:firstLine="547"/>
        <w:jc w:val="left"/>
        <w:rPr/>
      </w:pPr>
      <w:r>
        <w:rPr/>
        <w:t>​</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For example, on December 11, 2020, a purported stockholder derivative complaint was filed by plaintiff Leo Shumacher against us, as nominal defendant, and then current directors, as defendants, in the Court of Chancery in the State of Delaware, or the Court. The complaint alleges breach of fiduciary duty and a claim for unjust enrichment in connection with alleged excessive compensation of certain of our non-executive directors and seeks unspecified damages on behalf of our company. The parties have agreed to a proposed settlement, which was submitted to the Court on June 15, 2022. The parties continue to work toward settlement after a hearing on November 17, 2022, where the Court required additional steps to be taken by the parties before it will determine whether final approval will be given to the settlement. The outcome of this and other future litigation is uncertain. </w:t>
      </w:r>
    </w:p>
    <w:p>
      <w:pPr>
        <w:pStyle w:val="TextBody"/>
        <w:bidi w:val="0"/>
        <w:spacing w:before="0" w:after="0"/>
        <w:ind w:left="0" w:right="0" w:firstLine="547"/>
        <w:jc w:val="left"/>
        <w:rPr/>
      </w:pPr>
      <w:r>
        <w:rPr/>
        <w:t>​</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Our Board of Directors could issue one or more additional series of preferred stock without stockholder approval with the effect of diluting existing stockholders and impairing their voting and other rights.</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Our certificate of incorporation, as amended, authorizes the issuance of up to 50,000,000 shares of “blank check” preferred stock (of which only 17,000 shares were issued as Series A Convertible Preferred Stock and 11,500,000 shares were issued as Series B Convertible Preferred Stock) with designations, rights and preferences as may be determined from time to time by our Board of Directors. Our Board of Directors is empowered, without stockholder approval, to issue one or more series of preferred stock with dividend, liquidation, conversion, voting or other rights which could dilute the interest of, or impair the voting power of, our common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stockholders. The issuance of a series of preferred stock could be used as a method of discouraging, delaying or preventing a change in control. For example, it would be possible for our Board of Directors to issue preferred stock with voting or other rights or preferences that could impede the success of any attempt to effect a change in control of our company.</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We do not anticipate paying cash dividends for the foreseeable future, and therefore investors should not buy our stock if they wish to receive cash dividends.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have never declared or paid any cash dividends or distributions on our common stock. We currently intend to retain our future earnings to support operations and to finance expansion and, therefore, we do not anticipate paying any cash dividends on our common stock in the foreseeable future.</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There are provisions in our certificate of incorporation, as amended, and amended and restated bylaws that may make it difficult for a third party to acquire, or attempt to acquire, control of our company, even if a change in control was considered favorable by you and other stockholders. For example, our Board of Directors has the authority to issue up to 38,483,000 additional shares of preferred stock and to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Our certificate of incorporation, as amended,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Our certificate of incorporation, as amended, provides that, subject to limited exceptions, the Court of Chancery of the State of Delaware shall, to the fullest extent permitted by law, be the sole and exclusive forum for (1) any derivative action or proceeding brought on our behalf, (2) any action asserting a claim of breach of a fiduciary duty owed by any of our directors, officers, employees or agents to us or our stockholders, creditors or other constituents, (3) any action asserting a claim against us arising pursuant to any provision of the Delaware General Corporation Law, our certificate of incorporation, as amended, or our amended bylaws, or (4) any other action asserting a claim against us that is governed by the internal affairs doctrine. Any person or entity purchasing or otherwise acquiring any interest in shares of our capital stock shall be deemed to have notice of and to have consented to the provisions of our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Further, this choice of forum provision does not preclude or contract the scope of exclusive federal or concurrent jurisdiction for any actions brought under the Securities Act or the Exchange Act.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If a court were to find these provisions of our certificate of incorporation, as amended inapplicable to, or unenforceable in respect of, one or more of the specified types of actions or proceedings, we may incur additional costs associated with resolving such matters in other jurisdictions, which could adversely affect our business, results of operations and financial condition. Even if we are successful in defending against these claims, litigation could result in substantial costs and be a distraction to management and other employees.</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Provisions in our amended and restated bylaws could limit our stockholders’ ability to obtain a favorable judicial forum for disputes with us or our directors, officers or employees.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Our amended and restated bylaws provide that, unless we consent in writing to the selection of an alternative forum, the federal district courts of the U.S. shall be the exclusive forum for the resolution of any complaint asserting a cause of action under the Securities Act. This provision limits the ability of our shareholders to bring claims under the Securities Act in any court other than the U.S. federal courts, which ultimately may disadvantage our shareholders or be cost prohibitive. Notwithstanding the foregoing, there is uncertainty as to whether a court (other than state courts in the State of Delaware, which have recently upheld the validity of such a provision) would enforce such a provision and whether investors can waive compliance with the federal securities laws and the rules and regulations thereunder. Furthermore, the exclusive forum provision only applies to claims brought under the Securities Act and does not apply to actions arising under the Exchange Act, which is already subject to federal courts as the exclusive forum.</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If a court were to find these provisions of our amended and restated bylaws inapplicable to, or unenforceable in respect of, one or more of the specified types of actions or proceedings, we may incur additional costs associated with resolving such matters in other jurisdictions, which could adversely affect our business, results of operations and financial condition. Even if we are successful in defending against these claims, litigation could result in substantial costs and be a distraction to management and other employees.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bookmarkStart w:id="1605" w:name="Item2UnregisteredSalesofSecuritiesandUse"/>
      <w:bookmarkStart w:id="1606" w:name="_94ed46bd_5763_441b_bbc0_02035db6108c"/>
      <w:bookmarkEnd w:id="1605"/>
      <w:bookmarkEnd w:id="1606"/>
      <w:r>
        <w:rPr>
          <w:rFonts w:ascii="Times New Roman;Times;serif" w:hAnsi="Times New Roman;Times;serif"/>
          <w:b/>
          <w:i w:val="false"/>
          <w:caps w:val="false"/>
          <w:smallCaps w:val="false"/>
          <w:sz w:val="20"/>
        </w:rPr>
        <w:t>Item 2.</w:t>
      </w:r>
      <w:r>
        <w:rPr>
          <w:rFonts w:ascii="Times New Roman;Times;serif" w:hAnsi="Times New Roman;Times;serif"/>
          <w:b/>
          <w:sz w:val="20"/>
        </w:rPr>
        <w:t>Unregistered Sales of Securities and Use of Proceeds.</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Nothing to report.</w:t>
      </w:r>
    </w:p>
    <w:p>
      <w:pPr>
        <w:pStyle w:val="TextBody"/>
        <w:bidi w:val="0"/>
        <w:spacing w:before="0" w:after="0"/>
        <w:ind w:left="0" w:right="0" w:firstLine="720"/>
        <w:jc w:val="both"/>
        <w:rPr/>
      </w:pPr>
      <w:r>
        <w:rPr/>
        <w:t>​</w:t>
      </w:r>
    </w:p>
    <w:p>
      <w:pPr>
        <w:pStyle w:val="Normal"/>
        <w:bidi w:val="0"/>
        <w:spacing w:before="0" w:after="0"/>
        <w:jc w:val="left"/>
        <w:rPr>
          <w:sz w:val="4"/>
          <w:szCs w:val="4"/>
        </w:rPr>
      </w:pPr>
      <w:r>
        <w:rPr>
          <w:sz w:val="4"/>
          <w:szCs w:val="4"/>
        </w:rPr>
      </w:r>
      <w:bookmarkStart w:id="1607" w:name="Item3DefaultsUponSeniorSecurities_597206"/>
      <w:bookmarkStart w:id="1608" w:name="_3ea3dc94_1a68_4ab8_938c_ea2f3830e8d5"/>
      <w:bookmarkStart w:id="1609" w:name="Item3DefaultsUponSeniorSecurities_597206"/>
      <w:bookmarkStart w:id="1610" w:name="_3ea3dc94_1a68_4ab8_938c_ea2f3830e8d5"/>
      <w:bookmarkEnd w:id="1609"/>
      <w:bookmarkEnd w:id="1610"/>
    </w:p>
    <w:tbl>
      <w:tblPr>
        <w:tblW w:w="3557" w:type="dxa"/>
        <w:jc w:val="left"/>
        <w:tblInd w:w="0" w:type="dxa"/>
        <w:tblLayout w:type="fixed"/>
        <w:tblCellMar>
          <w:top w:w="0" w:type="dxa"/>
          <w:left w:w="0" w:type="dxa"/>
          <w:bottom w:w="0" w:type="dxa"/>
          <w:right w:w="0" w:type="dxa"/>
        </w:tblCellMar>
      </w:tblPr>
      <w:tblGrid>
        <w:gridCol w:w="706"/>
        <w:gridCol w:w="2851"/>
      </w:tblGrid>
      <w:tr>
        <w:trPr/>
        <w:tc>
          <w:tcPr>
            <w:tcW w:w="70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Item 3.</w:t>
            </w:r>
          </w:p>
        </w:tc>
        <w:tc>
          <w:tcPr>
            <w:tcW w:w="2851"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Defaults Upon Senior Securities.</w:t>
            </w:r>
          </w:p>
        </w:tc>
      </w:tr>
    </w:tbl>
    <w:p>
      <w:pPr>
        <w:pStyle w:val="TextBody"/>
        <w:bidi w:val="0"/>
        <w:spacing w:before="0" w:after="0"/>
        <w:ind w:left="0" w:right="0" w:hanging="0"/>
        <w:jc w:val="both"/>
        <w:rPr/>
      </w:pPr>
      <w:r>
        <w:rPr/>
        <w:t>​</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Nothing to report.</w:t>
      </w:r>
    </w:p>
    <w:p>
      <w:pPr>
        <w:pStyle w:val="TextBody"/>
        <w:bidi w:val="0"/>
        <w:spacing w:before="0" w:after="0"/>
        <w:ind w:left="0" w:right="0" w:firstLine="720"/>
        <w:jc w:val="both"/>
        <w:rPr/>
      </w:pPr>
      <w:r>
        <w:rPr/>
        <w:t>​</w:t>
      </w:r>
    </w:p>
    <w:p>
      <w:pPr>
        <w:pStyle w:val="Normal"/>
        <w:bidi w:val="0"/>
        <w:spacing w:before="0" w:after="0"/>
        <w:jc w:val="left"/>
        <w:rPr>
          <w:sz w:val="4"/>
          <w:szCs w:val="4"/>
        </w:rPr>
      </w:pPr>
      <w:r>
        <w:rPr>
          <w:sz w:val="4"/>
          <w:szCs w:val="4"/>
        </w:rPr>
      </w:r>
      <w:bookmarkStart w:id="1611" w:name="Item4MineSafetyDisclosures_35877"/>
      <w:bookmarkStart w:id="1612" w:name="_c65319d0_6943_4c83_9cac_c564606e302c"/>
      <w:bookmarkStart w:id="1613" w:name="Item4MineSafetyDisclosures_35877"/>
      <w:bookmarkStart w:id="1614" w:name="_c65319d0_6943_4c83_9cac_c564606e302c"/>
      <w:bookmarkEnd w:id="1613"/>
      <w:bookmarkEnd w:id="1614"/>
    </w:p>
    <w:tbl>
      <w:tblPr>
        <w:tblW w:w="2867" w:type="dxa"/>
        <w:jc w:val="left"/>
        <w:tblInd w:w="0" w:type="dxa"/>
        <w:tblLayout w:type="fixed"/>
        <w:tblCellMar>
          <w:top w:w="0" w:type="dxa"/>
          <w:left w:w="0" w:type="dxa"/>
          <w:bottom w:w="0" w:type="dxa"/>
          <w:right w:w="0" w:type="dxa"/>
        </w:tblCellMar>
      </w:tblPr>
      <w:tblGrid>
        <w:gridCol w:w="706"/>
        <w:gridCol w:w="2161"/>
      </w:tblGrid>
      <w:tr>
        <w:trPr/>
        <w:tc>
          <w:tcPr>
            <w:tcW w:w="70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Item 4.</w:t>
            </w:r>
          </w:p>
        </w:tc>
        <w:tc>
          <w:tcPr>
            <w:tcW w:w="216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Mine Safety Disclosures</w:t>
            </w:r>
          </w:p>
        </w:tc>
      </w:tr>
    </w:tbl>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Nothing to report.</w:t>
      </w:r>
    </w:p>
    <w:p>
      <w:pPr>
        <w:pStyle w:val="TextBody"/>
        <w:bidi w:val="0"/>
        <w:spacing w:before="0" w:after="0"/>
        <w:ind w:left="0" w:right="0" w:firstLine="720"/>
        <w:jc w:val="both"/>
        <w:rPr/>
      </w:pPr>
      <w:r>
        <w:rPr/>
        <w:t>​</w:t>
      </w:r>
    </w:p>
    <w:p>
      <w:pPr>
        <w:pStyle w:val="Normal"/>
        <w:bidi w:val="0"/>
        <w:spacing w:before="0" w:after="0"/>
        <w:jc w:val="left"/>
        <w:rPr>
          <w:sz w:val="4"/>
          <w:szCs w:val="4"/>
        </w:rPr>
      </w:pPr>
      <w:r>
        <w:rPr>
          <w:sz w:val="4"/>
          <w:szCs w:val="4"/>
        </w:rPr>
      </w:r>
      <w:bookmarkStart w:id="1615" w:name="Item5OtherInformation_291306"/>
      <w:bookmarkStart w:id="1616" w:name="_1b054832_6bb3_4acd_9468_bd826942de56"/>
      <w:bookmarkStart w:id="1617" w:name="Item5OtherInformation_291306"/>
      <w:bookmarkStart w:id="1618" w:name="_1b054832_6bb3_4acd_9468_bd826942de56"/>
      <w:bookmarkEnd w:id="1617"/>
      <w:bookmarkEnd w:id="1618"/>
    </w:p>
    <w:tbl>
      <w:tblPr>
        <w:tblW w:w="2477" w:type="dxa"/>
        <w:jc w:val="left"/>
        <w:tblInd w:w="0" w:type="dxa"/>
        <w:tblLayout w:type="fixed"/>
        <w:tblCellMar>
          <w:top w:w="0" w:type="dxa"/>
          <w:left w:w="0" w:type="dxa"/>
          <w:bottom w:w="0" w:type="dxa"/>
          <w:right w:w="0" w:type="dxa"/>
        </w:tblCellMar>
      </w:tblPr>
      <w:tblGrid>
        <w:gridCol w:w="706"/>
        <w:gridCol w:w="1771"/>
      </w:tblGrid>
      <w:tr>
        <w:trPr/>
        <w:tc>
          <w:tcPr>
            <w:tcW w:w="70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Item 5.</w:t>
            </w:r>
          </w:p>
        </w:tc>
        <w:tc>
          <w:tcPr>
            <w:tcW w:w="177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Other Information.</w:t>
            </w:r>
          </w:p>
        </w:tc>
      </w:tr>
    </w:tbl>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During the second quarter of 2023, none of our directors or executive officers adopted or terminated a Rule 10b5-1 trading plan or adopted or terminated a non-Rule 10b5-1 trading arrangement (as defined in Item 408(c) of Regulation S-K).</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bookmarkStart w:id="1619" w:name="Item6Exhibits_580240"/>
      <w:bookmarkStart w:id="1620" w:name="_2ee00fac_c41d_46de_ac93_ccaf03f184e3"/>
      <w:bookmarkEnd w:id="1619"/>
      <w:bookmarkEnd w:id="1620"/>
      <w:r>
        <w:rPr>
          <w:rFonts w:ascii="Times New Roman;Times;serif" w:hAnsi="Times New Roman;Times;serif"/>
          <w:b/>
          <w:i w:val="false"/>
          <w:caps w:val="false"/>
          <w:smallCaps w:val="false"/>
          <w:sz w:val="20"/>
        </w:rPr>
        <w:t>Item 6.</w:t>
      </w:r>
      <w:r>
        <w:rPr>
          <w:rFonts w:ascii="Times New Roman;Times;serif" w:hAnsi="Times New Roman;Times;serif"/>
          <w:b/>
          <w:sz w:val="20"/>
        </w:rPr>
        <w:t>Exhibits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INDEX</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927"/>
        <w:gridCol w:w="326"/>
        <w:gridCol w:w="8952"/>
      </w:tblGrid>
      <w:tr>
        <w:trPr/>
        <w:tc>
          <w:tcPr>
            <w:tcW w:w="927"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283"/>
              <w:ind w:left="0" w:right="0" w:hanging="0"/>
              <w:jc w:val="left"/>
              <w:rPr>
                <w:sz w:val="4"/>
                <w:szCs w:val="4"/>
              </w:rPr>
            </w:pPr>
            <w:r>
              <w:rPr>
                <w:sz w:val="4"/>
                <w:szCs w:val="4"/>
              </w:rPr>
            </w:r>
          </w:p>
        </w:tc>
      </w:tr>
      <w:tr>
        <w:trPr/>
        <w:tc>
          <w:tcPr>
            <w:tcW w:w="92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w:t>
            </w:r>
          </w:p>
        </w:tc>
        <w:tc>
          <w:tcPr>
            <w:tcW w:w="326" w:type="dxa"/>
            <w:tcBorders/>
            <w:vAlign w:val="center"/>
          </w:tcPr>
          <w:p>
            <w:pPr>
              <w:pStyle w:val="TableContents"/>
              <w:bidi w:val="0"/>
              <w:spacing w:before="0" w:after="0"/>
              <w:ind w:left="0" w:right="0" w:hanging="0"/>
              <w:jc w:val="left"/>
              <w:rPr/>
            </w:pPr>
            <w:r>
              <w:rPr/>
              <w:t>    </w:t>
            </w:r>
          </w:p>
        </w:tc>
        <w:tc>
          <w:tcPr>
            <w:tcW w:w="895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Description</w:t>
            </w:r>
          </w:p>
        </w:tc>
      </w:tr>
      <w:tr>
        <w:trPr/>
        <w:tc>
          <w:tcPr>
            <w:tcW w:w="9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8952" w:type="dxa"/>
            <w:tcBorders/>
            <w:vAlign w:val="center"/>
          </w:tcPr>
          <w:p>
            <w:pPr>
              <w:pStyle w:val="TableContents"/>
              <w:bidi w:val="0"/>
              <w:spacing w:before="0" w:after="0"/>
              <w:ind w:left="0" w:right="0" w:hanging="0"/>
              <w:jc w:val="left"/>
              <w:rPr/>
            </w:pPr>
            <w:hyperlink w:anchor="iova-20230630xex31d1.htm">
              <w:r>
                <w:rPr>
                  <w:rStyle w:val="InternetLink"/>
                  <w:rFonts w:ascii="Times New Roman;Times;serif" w:hAnsi="Times New Roman;Times;serif"/>
                  <w:b w:val="false"/>
                  <w:i w:val="false"/>
                  <w:caps w:val="false"/>
                  <w:smallCaps w:val="false"/>
                  <w:sz w:val="20"/>
                </w:rPr>
                <w:t>Rule 13a-14(a)/15d-14(a) Certification of Chief Executive Officer.</w:t>
              </w:r>
            </w:hyperlink>
          </w:p>
        </w:tc>
      </w:tr>
      <w:tr>
        <w:trPr/>
        <w:tc>
          <w:tcPr>
            <w:tcW w:w="9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26" w:type="dxa"/>
            <w:tcBorders/>
            <w:vAlign w:val="center"/>
          </w:tcPr>
          <w:p>
            <w:pPr>
              <w:pStyle w:val="TableContents"/>
              <w:bidi w:val="0"/>
              <w:spacing w:before="0" w:after="0"/>
              <w:ind w:left="0" w:right="0" w:hanging="0"/>
              <w:jc w:val="left"/>
              <w:rPr/>
            </w:pPr>
            <w:r>
              <w:rPr/>
              <w:t> </w:t>
            </w:r>
          </w:p>
        </w:tc>
        <w:tc>
          <w:tcPr>
            <w:tcW w:w="8952" w:type="dxa"/>
            <w:tcBorders/>
            <w:vAlign w:val="center"/>
          </w:tcPr>
          <w:p>
            <w:pPr>
              <w:pStyle w:val="TableContents"/>
              <w:bidi w:val="0"/>
              <w:spacing w:before="0" w:after="0"/>
              <w:ind w:left="0" w:right="0" w:hanging="0"/>
              <w:jc w:val="left"/>
              <w:rPr/>
            </w:pPr>
            <w:hyperlink w:anchor="iova-20230630xex31d2.htm">
              <w:r>
                <w:rPr>
                  <w:rStyle w:val="InternetLink"/>
                  <w:rFonts w:ascii="Times New Roman;Times;serif" w:hAnsi="Times New Roman;Times;serif"/>
                  <w:b w:val="false"/>
                  <w:i w:val="false"/>
                  <w:caps w:val="false"/>
                  <w:smallCaps w:val="false"/>
                  <w:sz w:val="20"/>
                </w:rPr>
                <w:t>Rule 13a-14(a)/15d-14(a) Certification of Chief Financial Officer.</w:t>
              </w:r>
            </w:hyperlink>
          </w:p>
        </w:tc>
      </w:tr>
      <w:tr>
        <w:trPr/>
        <w:tc>
          <w:tcPr>
            <w:tcW w:w="9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bidi w:val="0"/>
              <w:spacing w:before="0" w:after="0"/>
              <w:ind w:left="0" w:right="0" w:hanging="0"/>
              <w:jc w:val="left"/>
              <w:rPr/>
            </w:pPr>
            <w:r>
              <w:rPr/>
              <w:t> </w:t>
            </w:r>
          </w:p>
        </w:tc>
        <w:tc>
          <w:tcPr>
            <w:tcW w:w="8952" w:type="dxa"/>
            <w:tcBorders/>
            <w:vAlign w:val="center"/>
          </w:tcPr>
          <w:p>
            <w:pPr>
              <w:pStyle w:val="TableContents"/>
              <w:bidi w:val="0"/>
              <w:spacing w:before="0" w:after="0"/>
              <w:ind w:left="0" w:right="0" w:hanging="0"/>
              <w:jc w:val="left"/>
              <w:rPr/>
            </w:pPr>
            <w:hyperlink w:anchor="iova-20230630xex32d1.htm">
              <w:r>
                <w:rPr>
                  <w:rStyle w:val="InternetLink"/>
                  <w:rFonts w:ascii="Times New Roman;Times;serif" w:hAnsi="Times New Roman;Times;serif"/>
                  <w:b w:val="false"/>
                  <w:i w:val="false"/>
                  <w:caps w:val="false"/>
                  <w:smallCaps w:val="false"/>
                  <w:sz w:val="20"/>
                </w:rPr>
                <w:t>Section 1350 Certification of Chief Executive Officer (furnished herewith).</w:t>
              </w:r>
            </w:hyperlink>
          </w:p>
        </w:tc>
      </w:tr>
      <w:tr>
        <w:trPr/>
        <w:tc>
          <w:tcPr>
            <w:tcW w:w="9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326" w:type="dxa"/>
            <w:tcBorders/>
            <w:vAlign w:val="center"/>
          </w:tcPr>
          <w:p>
            <w:pPr>
              <w:pStyle w:val="TableContents"/>
              <w:bidi w:val="0"/>
              <w:spacing w:before="0" w:after="0"/>
              <w:ind w:left="0" w:right="0" w:hanging="0"/>
              <w:jc w:val="left"/>
              <w:rPr/>
            </w:pPr>
            <w:r>
              <w:rPr/>
              <w:t> </w:t>
            </w:r>
          </w:p>
        </w:tc>
        <w:tc>
          <w:tcPr>
            <w:tcW w:w="8952" w:type="dxa"/>
            <w:tcBorders/>
            <w:vAlign w:val="center"/>
          </w:tcPr>
          <w:p>
            <w:pPr>
              <w:pStyle w:val="TableContents"/>
              <w:bidi w:val="0"/>
              <w:spacing w:before="0" w:after="0"/>
              <w:ind w:left="0" w:right="0" w:hanging="0"/>
              <w:jc w:val="left"/>
              <w:rPr/>
            </w:pPr>
            <w:hyperlink w:anchor="iova-20230630xex32d2.htm">
              <w:r>
                <w:rPr>
                  <w:rStyle w:val="InternetLink"/>
                  <w:rFonts w:ascii="Times New Roman;Times;serif" w:hAnsi="Times New Roman;Times;serif"/>
                  <w:b w:val="false"/>
                  <w:i w:val="false"/>
                  <w:caps w:val="false"/>
                  <w:smallCaps w:val="false"/>
                  <w:sz w:val="20"/>
                </w:rPr>
                <w:t>Section 1350 Certification of Chief Financial Officer (furnished herewith).</w:t>
              </w:r>
            </w:hyperlink>
          </w:p>
        </w:tc>
      </w:tr>
      <w:tr>
        <w:trPr/>
        <w:tc>
          <w:tcPr>
            <w:tcW w:w="9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Inline XBRL Instance Document (the instance document does not appear in the Interactive Data File because its XBRL tags are embedded within the Inline XBRL document).</w:t>
            </w:r>
          </w:p>
        </w:tc>
      </w:tr>
      <w:tr>
        <w:trPr/>
        <w:tc>
          <w:tcPr>
            <w:tcW w:w="9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Inline XBRL Taxonomy Schema Linkbase Document.</w:t>
            </w:r>
          </w:p>
        </w:tc>
      </w:tr>
      <w:tr>
        <w:trPr/>
        <w:tc>
          <w:tcPr>
            <w:tcW w:w="9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Inline XBRL Taxonomy Calculation Linkbase Document.</w:t>
            </w:r>
          </w:p>
        </w:tc>
      </w:tr>
      <w:tr>
        <w:trPr/>
        <w:tc>
          <w:tcPr>
            <w:tcW w:w="9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Inline XBRL Taxonomy Definition Linkbase Document.</w:t>
            </w:r>
          </w:p>
        </w:tc>
      </w:tr>
      <w:tr>
        <w:trPr/>
        <w:tc>
          <w:tcPr>
            <w:tcW w:w="9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Inline XBRL Taxonomy Labels Linkbase Document.</w:t>
            </w:r>
          </w:p>
        </w:tc>
      </w:tr>
      <w:tr>
        <w:trPr/>
        <w:tc>
          <w:tcPr>
            <w:tcW w:w="9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Inline XBRL Taxonomy Presentation Linkbase Document.</w:t>
            </w:r>
          </w:p>
        </w:tc>
      </w:tr>
      <w:tr>
        <w:trPr/>
        <w:tc>
          <w:tcPr>
            <w:tcW w:w="9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(the cover page interactive date file does not appear in the Interactive Date File because its XBRL tags are embedded within the Inline XBRL document).</w:t>
            </w:r>
          </w:p>
        </w:tc>
      </w:tr>
    </w:tbl>
    <w:p>
      <w:pPr>
        <w:pStyle w:val="TextBody"/>
        <w:bidi w:val="0"/>
        <w:spacing w:before="0" w:after="0"/>
        <w:ind w:left="0" w:right="0" w:hanging="0"/>
        <w:jc w:val="center"/>
        <w:rPr/>
      </w:pPr>
      <w:r>
        <w:rPr/>
        <w:t>​</w:t>
      </w:r>
    </w:p>
    <w:tbl>
      <w:tblPr>
        <w:tblW w:w="5987" w:type="dxa"/>
        <w:jc w:val="left"/>
        <w:tblInd w:w="0" w:type="dxa"/>
        <w:tblLayout w:type="fixed"/>
        <w:tblCellMar>
          <w:top w:w="0" w:type="dxa"/>
          <w:left w:w="0" w:type="dxa"/>
          <w:bottom w:w="0" w:type="dxa"/>
          <w:right w:w="0" w:type="dxa"/>
        </w:tblCellMar>
      </w:tblPr>
      <w:tblGrid>
        <w:gridCol w:w="331"/>
        <w:gridCol w:w="5656"/>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5656"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 (unless otherwise noted as being furnished herewith).</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1621" w:name="SIGNATURES_241896"/>
      <w:bookmarkStart w:id="1622" w:name="_Hlk142037275"/>
      <w:bookmarkStart w:id="1623" w:name="_bc4ca5a8_563a_405a_aaa7_513b96c64be7"/>
      <w:bookmarkEnd w:id="1621"/>
      <w:bookmarkEnd w:id="1622"/>
      <w:bookmarkEnd w:id="1623"/>
      <w:r>
        <w:rPr>
          <w:rFonts w:ascii="Times New Roman;Times;serif" w:hAnsi="Times New Roman;Times;serif"/>
          <w:b/>
          <w:sz w:val="20"/>
        </w:rPr>
        <w:t>SIGNATURES</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Pursuant to the requirements of the Securities Exchange Act of 1934, as amended, the registrant has duly caused this report to be signed on its behalf by the undersigned thereunto duly authorized.</w:t>
      </w:r>
    </w:p>
    <w:p>
      <w:pPr>
        <w:pStyle w:val="TextBody"/>
        <w:bidi w:val="0"/>
        <w:spacing w:before="0" w:after="0"/>
        <w:ind w:left="0" w:right="0" w:firstLine="720"/>
        <w:jc w:val="left"/>
        <w:rPr/>
      </w:pPr>
      <w:r>
        <w:rPr/>
        <w:t>​</w:t>
      </w:r>
    </w:p>
    <w:tbl>
      <w:tblPr>
        <w:tblW w:w="9768" w:type="dxa"/>
        <w:jc w:val="left"/>
        <w:tblInd w:w="0" w:type="dxa"/>
        <w:tblLayout w:type="fixed"/>
        <w:tblCellMar>
          <w:top w:w="0" w:type="dxa"/>
          <w:left w:w="0" w:type="dxa"/>
          <w:bottom w:w="0" w:type="dxa"/>
          <w:right w:w="0" w:type="dxa"/>
        </w:tblCellMar>
      </w:tblPr>
      <w:tblGrid>
        <w:gridCol w:w="1366"/>
        <w:gridCol w:w="406"/>
        <w:gridCol w:w="7996"/>
      </w:tblGrid>
      <w:tr>
        <w:trPr/>
        <w:tc>
          <w:tcPr>
            <w:tcW w:w="1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867410" cy="29210"/>
                      <wp:effectExtent l="0" t="0" r="0" b="0"/>
                      <wp:wrapNone/>
                      <wp:docPr id="402" name="Frame401"/>
                      <a:graphic xmlns:a="http://schemas.openxmlformats.org/drawingml/2006/main">
                        <a:graphicData uri="http://schemas.microsoft.com/office/word/2010/wordprocessingShape">
                          <wps:wsp>
                            <wps:cNvSpPr txBox="1"/>
                            <wps:spPr>
                              <a:xfrm>
                                <a:off x="0" y="0"/>
                                <a:ext cx="8674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57810" cy="29210"/>
                      <wp:effectExtent l="0" t="0" r="0" b="0"/>
                      <wp:wrapNone/>
                      <wp:docPr id="403" name="Frame402"/>
                      <a:graphic xmlns:a="http://schemas.openxmlformats.org/drawingml/2006/main">
                        <a:graphicData uri="http://schemas.microsoft.com/office/word/2010/wordprocessingShape">
                          <wps:wsp>
                            <wps:cNvSpPr txBox="1"/>
                            <wps:spPr>
                              <a:xfrm>
                                <a:off x="0" y="0"/>
                                <a:ext cx="257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5077460" cy="29210"/>
                      <wp:effectExtent l="0" t="0" r="0" b="0"/>
                      <wp:wrapNone/>
                      <wp:docPr id="404" name="Frame403"/>
                      <a:graphic xmlns:a="http://schemas.openxmlformats.org/drawingml/2006/main">
                        <a:graphicData uri="http://schemas.microsoft.com/office/word/2010/wordprocessingShape">
                          <wps:wsp>
                            <wps:cNvSpPr txBox="1"/>
                            <wps:spPr>
                              <a:xfrm>
                                <a:off x="0" y="0"/>
                                <a:ext cx="50774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366" w:type="dxa"/>
            <w:tcBorders/>
            <w:vAlign w:val="center"/>
          </w:tcPr>
          <w:p>
            <w:pPr>
              <w:pStyle w:val="TableContents"/>
              <w:bidi w:val="0"/>
              <w:spacing w:before="0" w:after="0"/>
              <w:ind w:left="0" w:right="0" w:hanging="0"/>
              <w:jc w:val="left"/>
              <w:rPr/>
            </w:pPr>
            <w:r>
              <w:rPr/>
              <w:t> </w:t>
            </w:r>
          </w:p>
        </w:tc>
        <w:tc>
          <w:tcPr>
            <w:tcW w:w="840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Iovance Biotherapeutics, Inc.</w:t>
            </w:r>
          </w:p>
        </w:tc>
      </w:tr>
      <w:tr>
        <w:trPr/>
        <w:tc>
          <w:tcPr>
            <w:tcW w:w="136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7996" w:type="dxa"/>
            <w:tcBorders/>
            <w:vAlign w:val="center"/>
          </w:tcPr>
          <w:p>
            <w:pPr>
              <w:pStyle w:val="TableContents"/>
              <w:bidi w:val="0"/>
              <w:spacing w:before="0" w:after="0"/>
              <w:ind w:left="0" w:right="0" w:hanging="0"/>
              <w:jc w:val="left"/>
              <w:rPr/>
            </w:pPr>
            <w:r>
              <w:rPr/>
              <w:t> </w:t>
            </w:r>
          </w:p>
        </w:tc>
      </w:tr>
      <w:tr>
        <w:trPr/>
        <w:tc>
          <w:tcPr>
            <w:tcW w:w="13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8, 2023</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799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Frederick G. Vogt, Ph.D., J.D.</w:t>
            </w:r>
          </w:p>
        </w:tc>
      </w:tr>
      <w:tr>
        <w:trPr/>
        <w:tc>
          <w:tcPr>
            <w:tcW w:w="136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7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Frederick G. Vogt, Ph.D., J.D.</w:t>
            </w:r>
          </w:p>
        </w:tc>
      </w:tr>
      <w:tr>
        <w:trPr/>
        <w:tc>
          <w:tcPr>
            <w:tcW w:w="136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7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Interim Chief Executive Officer and President, and General Counsel (Principal Executive Officer)</w:t>
            </w:r>
          </w:p>
        </w:tc>
      </w:tr>
      <w:tr>
        <w:trPr/>
        <w:tc>
          <w:tcPr>
            <w:tcW w:w="136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7996" w:type="dxa"/>
            <w:tcBorders/>
            <w:vAlign w:val="center"/>
          </w:tcPr>
          <w:p>
            <w:pPr>
              <w:pStyle w:val="TableContents"/>
              <w:bidi w:val="0"/>
              <w:spacing w:before="0" w:after="0"/>
              <w:ind w:left="0" w:right="0" w:hanging="0"/>
              <w:jc w:val="left"/>
              <w:rPr/>
            </w:pPr>
            <w:r>
              <w:rPr/>
              <w:t> </w:t>
            </w:r>
          </w:p>
        </w:tc>
      </w:tr>
      <w:tr>
        <w:trPr/>
        <w:tc>
          <w:tcPr>
            <w:tcW w:w="13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8, 2023</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799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Jean-Marc Bellemin</w:t>
            </w:r>
          </w:p>
        </w:tc>
      </w:tr>
      <w:tr>
        <w:trPr/>
        <w:tc>
          <w:tcPr>
            <w:tcW w:w="136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7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Jean-Marc Bellemin</w:t>
            </w:r>
          </w:p>
        </w:tc>
      </w:tr>
      <w:tr>
        <w:trPr/>
        <w:tc>
          <w:tcPr>
            <w:tcW w:w="136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7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and Treasurer (Principal Financial and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bidi w:val="0"/>
        <w:spacing w:before="0" w:after="0"/>
        <w:ind w:left="0" w:right="0" w:hanging="0"/>
        <w:jc w:val="right"/>
        <w:rPr>
          <w:rFonts w:ascii="Times New Roman;Times;serif" w:hAnsi="Times New Roman;Times;serif"/>
          <w:b/>
          <w:sz w:val="20"/>
        </w:rPr>
      </w:pPr>
      <w:bookmarkStart w:id="1624" w:name="iova-20230630xex31d1.htm"/>
      <w:bookmarkStart w:id="1625" w:name="ksiova20230630xex31d1"/>
      <w:bookmarkEnd w:id="1624"/>
      <w:bookmarkEnd w:id="1625"/>
      <w:r>
        <w:rPr>
          <w:rFonts w:ascii="Times New Roman;Times;serif" w:hAnsi="Times New Roman;Times;serif"/>
          <w:b/>
          <w:sz w:val="20"/>
        </w:rPr>
        <w:t>Exhibit 31.1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firstLine="720"/>
        <w:jc w:val="left"/>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I, Frederick G. Vogt, PhD., J.D, Interim Chief Executive Officer and President, and General Counsel of Iovance Biotherapeutics, Inc., certify that:</w:t>
      </w:r>
    </w:p>
    <w:p>
      <w:pPr>
        <w:pStyle w:val="TextBody"/>
        <w:bidi w:val="0"/>
        <w:spacing w:before="0" w:after="0"/>
        <w:ind w:left="0" w:right="0" w:firstLine="720"/>
        <w:jc w:val="both"/>
        <w:rPr/>
      </w:pPr>
      <w:r>
        <w:rPr/>
        <w:t>​</w:t>
      </w:r>
    </w:p>
    <w:p>
      <w:pPr>
        <w:pStyle w:val="TextBody"/>
        <w:pBdr/>
        <w:bidi w:val="0"/>
        <w:spacing w:before="0" w:after="0"/>
        <w:ind w:left="0" w:right="0" w:hanging="720"/>
        <w:jc w:val="left"/>
        <w:rPr>
          <w:rFonts w:ascii="Times New Roman;Times;serif" w:hAnsi="Times New Roman;Times;serif"/>
          <w:sz w:val="20"/>
        </w:rPr>
      </w:pPr>
      <w:r>
        <w:rPr>
          <w:rFonts w:ascii="Times New Roman;Times;serif" w:hAnsi="Times New Roman;Times;serif"/>
          <w:sz w:val="20"/>
        </w:rPr>
        <w:t>1.            I have reviewed this Quarterly Report on Form 10-Q of Iovance Biotherapeutics, Inc.;</w:t>
      </w:r>
    </w:p>
    <w:p>
      <w:pPr>
        <w:pStyle w:val="TextBody"/>
        <w:pBdr/>
        <w:bidi w:val="0"/>
        <w:spacing w:before="0" w:after="0"/>
        <w:ind w:left="0" w:right="0" w:hanging="720"/>
        <w:jc w:val="left"/>
        <w:rPr/>
      </w:pPr>
      <w:r>
        <w:rPr/>
        <w:t>​</w:t>
      </w:r>
    </w:p>
    <w:p>
      <w:pPr>
        <w:pStyle w:val="TextBody"/>
        <w:pBdr/>
        <w:bidi w:val="0"/>
        <w:spacing w:before="0" w:after="0"/>
        <w:ind w:left="0" w:right="0" w:hanging="72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bidi w:val="0"/>
        <w:spacing w:before="0" w:after="0"/>
        <w:ind w:left="0" w:right="0" w:hanging="720"/>
        <w:jc w:val="left"/>
        <w:rPr/>
      </w:pPr>
      <w:r>
        <w:rPr/>
        <w:t>​</w:t>
      </w:r>
    </w:p>
    <w:p>
      <w:pPr>
        <w:pStyle w:val="TextBody"/>
        <w:pBdr/>
        <w:bidi w:val="0"/>
        <w:spacing w:before="0" w:after="0"/>
        <w:ind w:left="0" w:right="0" w:hanging="72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pBdr/>
        <w:bidi w:val="0"/>
        <w:spacing w:before="0" w:after="0"/>
        <w:ind w:left="0" w:right="0" w:hanging="720"/>
        <w:jc w:val="left"/>
        <w:rPr/>
      </w:pPr>
      <w:r>
        <w:rPr/>
        <w:t>​</w:t>
      </w:r>
    </w:p>
    <w:p>
      <w:pPr>
        <w:pStyle w:val="TextBody"/>
        <w:pBdr/>
        <w:bidi w:val="0"/>
        <w:spacing w:before="0" w:after="0"/>
        <w:ind w:left="0" w:right="0" w:hanging="720"/>
        <w:jc w:val="left"/>
        <w:rPr>
          <w:rFonts w:ascii="Times New Roman;Times;serif" w:hAnsi="Times New Roman;Times;serif"/>
          <w:sz w:val="20"/>
        </w:rPr>
      </w:pPr>
      <w:r>
        <w:rPr>
          <w:rFonts w:ascii="Times New Roman;Times;serif" w:hAnsi="Times New Roman;Times;serif"/>
          <w:sz w:val="20"/>
        </w:rPr>
        <w:t>4.            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left"/>
        <w:rPr/>
      </w:pPr>
      <w:r>
        <w:rPr/>
        <w:t>​</w:t>
      </w:r>
    </w:p>
    <w:p>
      <w:pPr>
        <w:pStyle w:val="TextBody"/>
        <w:pBdr/>
        <w:bidi w:val="0"/>
        <w:spacing w:before="0" w:after="0"/>
        <w:ind w:left="720" w:right="0" w:hanging="72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bidi w:val="0"/>
        <w:spacing w:before="0" w:after="0"/>
        <w:ind w:left="720" w:right="0" w:hanging="720"/>
        <w:jc w:val="left"/>
        <w:rPr/>
      </w:pPr>
      <w:r>
        <w:rPr/>
        <w:t>​</w:t>
      </w:r>
    </w:p>
    <w:p>
      <w:pPr>
        <w:pStyle w:val="TextBody"/>
        <w:pBdr/>
        <w:bidi w:val="0"/>
        <w:spacing w:before="0" w:after="0"/>
        <w:ind w:left="720" w:right="0" w:hanging="72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pStyle w:val="TextBody"/>
        <w:pBdr/>
        <w:bidi w:val="0"/>
        <w:spacing w:before="0" w:after="0"/>
        <w:ind w:left="720" w:right="0" w:hanging="720"/>
        <w:jc w:val="left"/>
        <w:rPr/>
      </w:pPr>
      <w:r>
        <w:rPr/>
        <w:t>​</w:t>
      </w:r>
    </w:p>
    <w:p>
      <w:pPr>
        <w:pStyle w:val="TextBody"/>
        <w:pBdr/>
        <w:bidi w:val="0"/>
        <w:spacing w:before="0" w:after="0"/>
        <w:ind w:left="720" w:right="0" w:hanging="72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pBdr/>
        <w:bidi w:val="0"/>
        <w:spacing w:before="0" w:after="0"/>
        <w:ind w:left="720" w:right="0" w:hanging="720"/>
        <w:jc w:val="left"/>
        <w:rPr/>
      </w:pPr>
      <w:r>
        <w:rPr/>
        <w:t>​</w:t>
      </w:r>
    </w:p>
    <w:p>
      <w:pPr>
        <w:pStyle w:val="TextBody"/>
        <w:pBdr/>
        <w:bidi w:val="0"/>
        <w:spacing w:before="0" w:after="0"/>
        <w:ind w:left="720" w:right="0" w:hanging="72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0" w:after="0"/>
        <w:ind w:left="0" w:right="0" w:firstLine="720"/>
        <w:jc w:val="left"/>
        <w:rPr/>
      </w:pPr>
      <w:r>
        <w:rPr/>
        <w:t>​</w:t>
      </w:r>
    </w:p>
    <w:p>
      <w:pPr>
        <w:pStyle w:val="TextBody"/>
        <w:pBdr/>
        <w:bidi w:val="0"/>
        <w:spacing w:before="0" w:after="0"/>
        <w:ind w:left="0" w:right="0" w:hanging="720"/>
        <w:jc w:val="left"/>
        <w:rPr>
          <w:rFonts w:ascii="Times New Roman;Times;serif" w:hAnsi="Times New Roman;Times;serif"/>
          <w:sz w:val="20"/>
        </w:rPr>
      </w:pPr>
      <w:r>
        <w:rPr>
          <w:rFonts w:ascii="Times New Roman;Times;serif" w:hAnsi="Times New Roman;Times;serif"/>
          <w:sz w:val="20"/>
        </w:rPr>
        <w:t>5.            I have disclosed, based on my most recent evaluation of internal control over financial reporting, to the registrant’s auditors and the audit committee of the registrant’s board of directors (or persons performing the equivalent functions):</w:t>
      </w:r>
    </w:p>
    <w:p>
      <w:pPr>
        <w:pStyle w:val="TextBody"/>
        <w:pBdr/>
        <w:bidi w:val="0"/>
        <w:spacing w:before="0" w:after="0"/>
        <w:ind w:left="0" w:right="0" w:hanging="720"/>
        <w:jc w:val="left"/>
        <w:rPr/>
      </w:pPr>
      <w:r>
        <w:rPr/>
        <w:t>​</w:t>
      </w:r>
    </w:p>
    <w:p>
      <w:pPr>
        <w:pStyle w:val="TextBody"/>
        <w:pBdr/>
        <w:bidi w:val="0"/>
        <w:spacing w:before="0" w:after="0"/>
        <w:ind w:left="720" w:right="0" w:hanging="72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before="0" w:after="0"/>
        <w:ind w:left="720" w:right="0" w:hanging="720"/>
        <w:jc w:val="left"/>
        <w:rPr/>
      </w:pPr>
      <w:r>
        <w:rPr/>
        <w:t>​</w:t>
      </w:r>
    </w:p>
    <w:p>
      <w:pPr>
        <w:pStyle w:val="TextBody"/>
        <w:pBdr/>
        <w:bidi w:val="0"/>
        <w:spacing w:before="0" w:after="0"/>
        <w:ind w:left="720" w:right="0" w:hanging="72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left"/>
        <w:rPr/>
      </w:pPr>
      <w:r>
        <w:rPr/>
        <w:t>​</w:t>
      </w:r>
    </w:p>
    <w:tbl>
      <w:tblPr>
        <w:tblW w:w="10205" w:type="dxa"/>
        <w:jc w:val="center"/>
        <w:tblInd w:w="0" w:type="dxa"/>
        <w:tblLayout w:type="fixed"/>
        <w:tblCellMar>
          <w:top w:w="0" w:type="dxa"/>
          <w:left w:w="0" w:type="dxa"/>
          <w:bottom w:w="0" w:type="dxa"/>
          <w:right w:w="0" w:type="dxa"/>
        </w:tblCellMar>
      </w:tblPr>
      <w:tblGrid>
        <w:gridCol w:w="1928"/>
        <w:gridCol w:w="404"/>
        <w:gridCol w:w="7873"/>
      </w:tblGrid>
      <w:tr>
        <w:trPr/>
        <w:tc>
          <w:tcPr>
            <w:tcW w:w="1928"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7873" w:type="dxa"/>
            <w:tcBorders/>
            <w:vAlign w:val="center"/>
          </w:tcPr>
          <w:p>
            <w:pPr>
              <w:pStyle w:val="TableContents"/>
              <w:bidi w:val="0"/>
              <w:spacing w:before="0" w:after="0"/>
              <w:ind w:left="0" w:right="0" w:hanging="0"/>
              <w:jc w:val="left"/>
              <w:rPr/>
            </w:pPr>
            <w:r>
              <w:rPr/>
              <w:t>​</w:t>
            </w:r>
          </w:p>
        </w:tc>
      </w:tr>
      <w:tr>
        <w:trPr/>
        <w:tc>
          <w:tcPr>
            <w:tcW w:w="19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8, 2023</w:t>
            </w:r>
          </w:p>
        </w:tc>
        <w:tc>
          <w:tcPr>
            <w:tcW w:w="4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787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Frederick G. Vogt, PhD., J.D.</w:t>
            </w:r>
          </w:p>
        </w:tc>
      </w:tr>
      <w:tr>
        <w:trPr/>
        <w:tc>
          <w:tcPr>
            <w:tcW w:w="1928"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7873"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Frederick G. Vogt, PhD., J.D.</w:t>
            </w:r>
          </w:p>
        </w:tc>
      </w:tr>
      <w:tr>
        <w:trPr/>
        <w:tc>
          <w:tcPr>
            <w:tcW w:w="1928"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78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Interim Chief Executive Officer and President, and General Counsel (Principal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626" w:name="iova-20230630xex31d2.htm"/>
      <w:bookmarkStart w:id="1627" w:name="ksiova20230630xex31d2"/>
      <w:bookmarkEnd w:id="1626"/>
      <w:bookmarkEnd w:id="1627"/>
      <w:r>
        <w:rPr>
          <w:rFonts w:ascii="Times New Roman;Times;serif" w:hAnsi="Times New Roman;Times;serif"/>
          <w:b/>
          <w:sz w:val="20"/>
        </w:rPr>
        <w:t>Exhibit 31.2</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 Jean-Marc Bellemin, Chief Financial Officer of Iovance Biotherapeutics, Inc., certify that:</w:t>
      </w:r>
    </w:p>
    <w:p>
      <w:pPr>
        <w:pStyle w:val="TextBody"/>
        <w:bidi w:val="0"/>
        <w:spacing w:before="0" w:after="0"/>
        <w:ind w:left="0" w:right="0" w:firstLine="720"/>
        <w:jc w:val="left"/>
        <w:rPr/>
      </w:pPr>
      <w:r>
        <w:rPr/>
        <w:t>​</w:t>
      </w:r>
    </w:p>
    <w:p>
      <w:pPr>
        <w:pStyle w:val="TextBody"/>
        <w:pBdr/>
        <w:bidi w:val="0"/>
        <w:spacing w:before="0" w:after="0"/>
        <w:ind w:left="0" w:right="0" w:hanging="720"/>
        <w:jc w:val="left"/>
        <w:rPr>
          <w:rFonts w:ascii="Times New Roman;Times;serif" w:hAnsi="Times New Roman;Times;serif"/>
          <w:sz w:val="20"/>
        </w:rPr>
      </w:pPr>
      <w:r>
        <w:rPr>
          <w:rFonts w:ascii="Times New Roman;Times;serif" w:hAnsi="Times New Roman;Times;serif"/>
          <w:sz w:val="20"/>
        </w:rPr>
        <w:t xml:space="preserve">1.            I have reviewed this Quarterly Report on Form 10-Q of Iovance Biotherapeutics, Inc.; </w:t>
      </w:r>
    </w:p>
    <w:p>
      <w:pPr>
        <w:pStyle w:val="TextBody"/>
        <w:pBdr/>
        <w:bidi w:val="0"/>
        <w:spacing w:before="0" w:after="0"/>
        <w:ind w:left="0" w:right="0" w:hanging="720"/>
        <w:jc w:val="left"/>
        <w:rPr/>
      </w:pPr>
      <w:r>
        <w:rPr/>
        <w:t>​</w:t>
      </w:r>
    </w:p>
    <w:p>
      <w:pPr>
        <w:pStyle w:val="TextBody"/>
        <w:pBdr/>
        <w:bidi w:val="0"/>
        <w:spacing w:before="0" w:after="0"/>
        <w:ind w:left="0" w:right="0" w:hanging="72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bidi w:val="0"/>
        <w:spacing w:before="0" w:after="0"/>
        <w:ind w:left="0" w:right="0" w:hanging="720"/>
        <w:jc w:val="left"/>
        <w:rPr/>
      </w:pPr>
      <w:r>
        <w:rPr/>
        <w:t>​</w:t>
      </w:r>
    </w:p>
    <w:p>
      <w:pPr>
        <w:pStyle w:val="TextBody"/>
        <w:pBdr/>
        <w:bidi w:val="0"/>
        <w:spacing w:before="0" w:after="0"/>
        <w:ind w:left="0" w:right="0" w:hanging="72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pBdr/>
        <w:bidi w:val="0"/>
        <w:spacing w:before="0" w:after="0"/>
        <w:ind w:left="0" w:right="0" w:hanging="720"/>
        <w:jc w:val="left"/>
        <w:rPr/>
      </w:pPr>
      <w:r>
        <w:rPr/>
        <w:t>​</w:t>
      </w:r>
    </w:p>
    <w:p>
      <w:pPr>
        <w:pStyle w:val="TextBody"/>
        <w:pBdr/>
        <w:bidi w:val="0"/>
        <w:spacing w:before="0" w:after="0"/>
        <w:ind w:left="0" w:right="0" w:hanging="720"/>
        <w:jc w:val="left"/>
        <w:rPr>
          <w:rFonts w:ascii="Times New Roman;Times;serif" w:hAnsi="Times New Roman;Times;serif"/>
          <w:sz w:val="20"/>
        </w:rPr>
      </w:pPr>
      <w:r>
        <w:rPr>
          <w:rFonts w:ascii="Times New Roman;Times;serif" w:hAnsi="Times New Roman;Times;serif"/>
          <w:sz w:val="20"/>
        </w:rPr>
        <w:t>4.            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left"/>
        <w:rPr/>
      </w:pPr>
      <w:r>
        <w:rPr/>
        <w:t>​</w:t>
      </w:r>
    </w:p>
    <w:p>
      <w:pPr>
        <w:pStyle w:val="TextBody"/>
        <w:pBdr/>
        <w:bidi w:val="0"/>
        <w:spacing w:before="0" w:after="0"/>
        <w:ind w:left="720" w:right="0" w:hanging="72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bidi w:val="0"/>
        <w:spacing w:before="0" w:after="0"/>
        <w:ind w:left="720" w:right="0" w:hanging="720"/>
        <w:jc w:val="left"/>
        <w:rPr/>
      </w:pPr>
      <w:r>
        <w:rPr/>
        <w:t>​</w:t>
      </w:r>
    </w:p>
    <w:p>
      <w:pPr>
        <w:pStyle w:val="TextBody"/>
        <w:pBdr/>
        <w:bidi w:val="0"/>
        <w:spacing w:before="0" w:after="0"/>
        <w:ind w:left="720" w:right="0" w:hanging="72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pStyle w:val="TextBody"/>
        <w:pBdr/>
        <w:bidi w:val="0"/>
        <w:spacing w:before="0" w:after="0"/>
        <w:ind w:left="720" w:right="0" w:hanging="720"/>
        <w:jc w:val="left"/>
        <w:rPr/>
      </w:pPr>
      <w:r>
        <w:rPr/>
        <w:t>​</w:t>
      </w:r>
    </w:p>
    <w:p>
      <w:pPr>
        <w:pStyle w:val="TextBody"/>
        <w:pBdr/>
        <w:bidi w:val="0"/>
        <w:spacing w:before="0" w:after="0"/>
        <w:ind w:left="720" w:right="0" w:hanging="72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pBdr/>
        <w:bidi w:val="0"/>
        <w:spacing w:before="0" w:after="0"/>
        <w:ind w:left="720" w:right="0" w:hanging="720"/>
        <w:jc w:val="left"/>
        <w:rPr/>
      </w:pPr>
      <w:r>
        <w:rPr/>
        <w:t>​</w:t>
      </w:r>
    </w:p>
    <w:p>
      <w:pPr>
        <w:pStyle w:val="TextBody"/>
        <w:pBdr/>
        <w:bidi w:val="0"/>
        <w:spacing w:before="0" w:after="0"/>
        <w:ind w:left="720" w:right="0" w:hanging="72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pBdr/>
        <w:bidi w:val="0"/>
        <w:spacing w:before="0" w:after="0"/>
        <w:ind w:left="0" w:right="0" w:hanging="720"/>
        <w:jc w:val="left"/>
        <w:rPr/>
      </w:pPr>
      <w:r>
        <w:rPr/>
        <w:t>​</w:t>
      </w:r>
    </w:p>
    <w:p>
      <w:pPr>
        <w:pStyle w:val="TextBody"/>
        <w:pBdr/>
        <w:bidi w:val="0"/>
        <w:spacing w:before="0" w:after="0"/>
        <w:ind w:left="0" w:right="0" w:hanging="720"/>
        <w:jc w:val="left"/>
        <w:rPr>
          <w:rFonts w:ascii="Times New Roman;Times;serif" w:hAnsi="Times New Roman;Times;serif"/>
          <w:sz w:val="20"/>
        </w:rPr>
      </w:pPr>
      <w:r>
        <w:rPr>
          <w:rFonts w:ascii="Times New Roman;Times;serif" w:hAnsi="Times New Roman;Times;serif"/>
          <w:sz w:val="20"/>
        </w:rPr>
        <w:t>5.            I have disclosed, based on my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720"/>
        <w:jc w:val="left"/>
        <w:rPr/>
      </w:pPr>
      <w:r>
        <w:rPr/>
        <w:t>​</w:t>
      </w:r>
    </w:p>
    <w:p>
      <w:pPr>
        <w:pStyle w:val="TextBody"/>
        <w:pBdr/>
        <w:bidi w:val="0"/>
        <w:spacing w:before="0" w:after="0"/>
        <w:ind w:left="720" w:right="0" w:hanging="72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before="0" w:after="0"/>
        <w:ind w:left="720" w:right="0" w:hanging="720"/>
        <w:jc w:val="left"/>
        <w:rPr/>
      </w:pPr>
      <w:r>
        <w:rPr/>
        <w:t>​</w:t>
      </w:r>
    </w:p>
    <w:p>
      <w:pPr>
        <w:pStyle w:val="TextBody"/>
        <w:pBdr/>
        <w:bidi w:val="0"/>
        <w:spacing w:before="0" w:after="0"/>
        <w:ind w:left="720" w:right="0" w:hanging="72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left"/>
        <w:rPr/>
      </w:pPr>
      <w:r>
        <w:rPr/>
        <w:t>​</w:t>
      </w:r>
    </w:p>
    <w:tbl>
      <w:tblPr>
        <w:tblW w:w="7353" w:type="dxa"/>
        <w:jc w:val="center"/>
        <w:tblInd w:w="0" w:type="dxa"/>
        <w:tblLayout w:type="fixed"/>
        <w:tblCellMar>
          <w:top w:w="0" w:type="dxa"/>
          <w:left w:w="0" w:type="dxa"/>
          <w:bottom w:w="0" w:type="dxa"/>
          <w:right w:w="0" w:type="dxa"/>
        </w:tblCellMar>
      </w:tblPr>
      <w:tblGrid>
        <w:gridCol w:w="1951"/>
        <w:gridCol w:w="406"/>
        <w:gridCol w:w="4996"/>
      </w:tblGrid>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996"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8, 2023</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9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Jean-Marc Bellemin</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99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Jean-Marc Bellemin</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br/>
              <w:t>(Principal Financial Officer &amp; Principal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628" w:name="iova-20230630xex32d1.htm"/>
      <w:bookmarkStart w:id="1629" w:name="ksiova20230630xex32d1"/>
      <w:bookmarkEnd w:id="1628"/>
      <w:bookmarkEnd w:id="1629"/>
      <w:r>
        <w:rPr>
          <w:rFonts w:ascii="Times New Roman;Times;serif" w:hAnsi="Times New Roman;Times;serif"/>
          <w:b/>
          <w:sz w:val="20"/>
        </w:rPr>
        <w:t>Exhibit 32.1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connection with the Quarterly Report on Form 10-Q of Iovance Biotherapeutics, Inc. (the “Company”) for the quarter ended June 30, 2023, as filed with the Securities and Exchange Commission on the date hereof (the “Report”), Frederick G. Vogt, PhD., J.D., Interim Chief Executive Officer and President, and General Counsel, hereby certifies, pursuant to 18 U.S.C. §1350, as adopted pursuant to §906 of the Sarbanes-Oxley Act of 2002, that: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0"/>
        <w:ind w:left="0" w:right="0" w:firstLine="720"/>
        <w:jc w:val="left"/>
        <w:rPr/>
      </w:pPr>
      <w:r>
        <w:rPr/>
        <w:t>​</w:t>
      </w:r>
    </w:p>
    <w:tbl>
      <w:tblPr>
        <w:tblW w:w="10205" w:type="dxa"/>
        <w:jc w:val="center"/>
        <w:tblInd w:w="0" w:type="dxa"/>
        <w:tblLayout w:type="fixed"/>
        <w:tblCellMar>
          <w:top w:w="0" w:type="dxa"/>
          <w:left w:w="0" w:type="dxa"/>
          <w:bottom w:w="0" w:type="dxa"/>
          <w:right w:w="0" w:type="dxa"/>
        </w:tblCellMar>
      </w:tblPr>
      <w:tblGrid>
        <w:gridCol w:w="1928"/>
        <w:gridCol w:w="404"/>
        <w:gridCol w:w="7873"/>
      </w:tblGrid>
      <w:tr>
        <w:trPr/>
        <w:tc>
          <w:tcPr>
            <w:tcW w:w="1928"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7873" w:type="dxa"/>
            <w:tcBorders/>
            <w:vAlign w:val="center"/>
          </w:tcPr>
          <w:p>
            <w:pPr>
              <w:pStyle w:val="TableContents"/>
              <w:bidi w:val="0"/>
              <w:spacing w:before="0" w:after="0"/>
              <w:ind w:left="0" w:right="0" w:hanging="0"/>
              <w:jc w:val="left"/>
              <w:rPr/>
            </w:pPr>
            <w:r>
              <w:rPr/>
              <w:t>​</w:t>
            </w:r>
          </w:p>
        </w:tc>
      </w:tr>
      <w:tr>
        <w:trPr/>
        <w:tc>
          <w:tcPr>
            <w:tcW w:w="19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8, 2023</w:t>
            </w:r>
          </w:p>
        </w:tc>
        <w:tc>
          <w:tcPr>
            <w:tcW w:w="4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787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Frederick G. Vogt, PhD., J.D.</w:t>
            </w:r>
          </w:p>
        </w:tc>
      </w:tr>
      <w:tr>
        <w:trPr/>
        <w:tc>
          <w:tcPr>
            <w:tcW w:w="1928"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7873"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Frederick G. Vogt, PhD., J.D.</w:t>
            </w:r>
          </w:p>
        </w:tc>
      </w:tr>
      <w:tr>
        <w:trPr/>
        <w:tc>
          <w:tcPr>
            <w:tcW w:w="1928"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78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Interim Chief Executive Officer and President, and General Counsel (Principal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signed original of this written statement required by Section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630" w:name="iova-20230630xex32d2.htm"/>
      <w:bookmarkStart w:id="1631" w:name="ksiova20230630xex32d2"/>
      <w:bookmarkEnd w:id="1630"/>
      <w:bookmarkEnd w:id="1631"/>
      <w:r>
        <w:rPr>
          <w:rFonts w:ascii="Times New Roman;Times;serif" w:hAnsi="Times New Roman;Times;serif"/>
          <w:b/>
          <w:sz w:val="20"/>
        </w:rPr>
        <w:t>Exhibit 32.2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connection with the Quarterly Report on Form 10-Q of Iovance Biotherapeutics, Inc. (the “Company”) for the quarter ended June 30, 2023, as filed with the Securities and Exchange Commission on the date hereof (the “Report”), Jean-Marc Bellemin, Chief Financial Officer, hereby certifies, pursuant to 18 U.S.C. §1350, as adopted pursuant to §906 of the Sarbanes-Oxley Act of 2002, that:</w:t>
      </w:r>
    </w:p>
    <w:p>
      <w:pPr>
        <w:pStyle w:val="TextBody"/>
        <w:bidi w:val="0"/>
        <w:spacing w:before="0" w:after="0"/>
        <w:ind w:left="0" w:right="0" w:firstLine="72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bidi w:val="0"/>
        <w:spacing w:before="0" w:after="0"/>
        <w:ind w:left="0" w:right="0" w:firstLine="72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0"/>
        <w:ind w:left="0" w:right="0" w:firstLine="720"/>
        <w:jc w:val="left"/>
        <w:rPr/>
      </w:pPr>
      <w:r>
        <w:rPr/>
        <w:t>​</w:t>
      </w:r>
    </w:p>
    <w:tbl>
      <w:tblPr>
        <w:tblW w:w="7503" w:type="dxa"/>
        <w:jc w:val="center"/>
        <w:tblInd w:w="0" w:type="dxa"/>
        <w:tblLayout w:type="fixed"/>
        <w:tblCellMar>
          <w:top w:w="0" w:type="dxa"/>
          <w:left w:w="0" w:type="dxa"/>
          <w:bottom w:w="0" w:type="dxa"/>
          <w:right w:w="0" w:type="dxa"/>
        </w:tblCellMar>
      </w:tblPr>
      <w:tblGrid>
        <w:gridCol w:w="1951"/>
        <w:gridCol w:w="406"/>
        <w:gridCol w:w="5146"/>
      </w:tblGrid>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8, 2023</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1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Jean-Marc Bellemin</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1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Jean-Marc Bellemin</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Financial Officer </w:t>
              <w:br/>
              <w:t>(Principal Financial Officer and Principal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signed original of this written statement required by Section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alibri">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68916</Words>
  <Characters>385861</Characters>
  <CharactersWithSpaces>455834</CharactersWithSpaces>
  <Paragraphs>6367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