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jc w:val="center"/>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285" w:lineRule="exact"/>
        <w:rPr>
          <w:sz w:val="24"/>
          <w:szCs w:val="24"/>
          <w:color w:val="auto"/>
        </w:rPr>
      </w:pPr>
    </w:p>
    <w:p>
      <w:pPr>
        <w:ind w:left="3460" w:right="3180" w:hanging="3452"/>
        <w:spacing w:after="0" w:line="429" w:lineRule="auto"/>
        <w:tabs>
          <w:tab w:leader="none" w:pos="665" w:val="left"/>
        </w:tabs>
        <w:numPr>
          <w:ilvl w:val="0"/>
          <w:numId w:val="2"/>
        </w:numPr>
        <w:rPr>
          <w:rFonts w:ascii="Arial" w:cs="Arial" w:eastAsia="Arial" w:hAnsi="Arial"/>
          <w:sz w:val="10"/>
          <w:szCs w:val="10"/>
          <w:color w:val="auto"/>
        </w:rPr>
      </w:pPr>
      <w:r>
        <w:rPr>
          <w:rFonts w:ascii="Arial" w:cs="Arial" w:eastAsia="Arial" w:hAnsi="Arial"/>
          <w:sz w:val="10"/>
          <w:szCs w:val="10"/>
          <w:color w:val="auto"/>
        </w:rPr>
        <w:t>TRANSITION REPORT PURSUANT TO SECTION 13 OR 15(d) OF THE SECURITIES EXCHANGE ACT OF 1934 For the transaction period from __________ to __________</w:t>
      </w:r>
    </w:p>
    <w:p>
      <w:pPr>
        <w:ind w:left="4040"/>
        <w:spacing w:after="0"/>
        <w:rPr>
          <w:rFonts w:ascii="Arial" w:cs="Arial" w:eastAsia="Arial" w:hAnsi="Arial"/>
          <w:sz w:val="10"/>
          <w:szCs w:val="10"/>
          <w:color w:val="auto"/>
        </w:rPr>
      </w:pPr>
      <w:r>
        <w:rPr>
          <w:rFonts w:ascii="Arial" w:cs="Arial" w:eastAsia="Arial" w:hAnsi="Arial"/>
          <w:sz w:val="13"/>
          <w:szCs w:val="13"/>
          <w:color w:val="auto"/>
        </w:rPr>
        <w:t>Commission file number: 001-36860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IOVANCE BIOTHERAPEUTICS,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b w:val="1"/>
                <w:bCs w:val="1"/>
                <w:color w:val="auto"/>
                <w:w w:val="87"/>
              </w:rPr>
              <w:t>Delaware</w:t>
            </w:r>
          </w:p>
        </w:tc>
        <w:tc>
          <w:tcPr>
            <w:tcW w:w="3040" w:type="dxa"/>
            <w:vAlign w:val="bottom"/>
          </w:tcPr>
          <w:p>
            <w:pPr>
              <w:spacing w:after="0"/>
              <w:rPr>
                <w:sz w:val="13"/>
                <w:szCs w:val="13"/>
                <w:color w:val="auto"/>
              </w:rPr>
            </w:pPr>
          </w:p>
        </w:tc>
        <w:tc>
          <w:tcPr>
            <w:tcW w:w="3360" w:type="dxa"/>
            <w:vAlign w:val="bottom"/>
            <w:gridSpan w:val="2"/>
          </w:tcPr>
          <w:p>
            <w:pPr>
              <w:jc w:val="right"/>
              <w:ind w:right="2117"/>
              <w:spacing w:after="0"/>
              <w:rPr>
                <w:sz w:val="20"/>
                <w:szCs w:val="20"/>
                <w:color w:val="auto"/>
              </w:rPr>
            </w:pPr>
            <w:r>
              <w:rPr>
                <w:rFonts w:ascii="Arial" w:cs="Arial" w:eastAsia="Arial" w:hAnsi="Arial"/>
                <w:sz w:val="13"/>
                <w:szCs w:val="13"/>
                <w:b w:val="1"/>
                <w:bCs w:val="1"/>
                <w:color w:val="auto"/>
              </w:rPr>
              <w:t>75-3254381</w:t>
            </w: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77"/>
              <w:spacing w:after="0" w:line="135" w:lineRule="exact"/>
              <w:rPr>
                <w:sz w:val="20"/>
                <w:szCs w:val="20"/>
                <w:color w:val="auto"/>
              </w:rPr>
            </w:pPr>
            <w:r>
              <w:rPr>
                <w:rFonts w:ascii="Arial" w:cs="Arial" w:eastAsia="Arial" w:hAnsi="Arial"/>
                <w:sz w:val="13"/>
                <w:szCs w:val="13"/>
                <w:color w:val="auto"/>
                <w:w w:val="88"/>
              </w:rPr>
              <w:t>(State or Other Jurisdiction of</w:t>
            </w: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737"/>
              <w:spacing w:after="0" w:line="135" w:lineRule="exact"/>
              <w:rPr>
                <w:sz w:val="20"/>
                <w:szCs w:val="20"/>
                <w:color w:val="auto"/>
              </w:rPr>
            </w:pPr>
            <w:r>
              <w:rPr>
                <w:rFonts w:ascii="Arial" w:cs="Arial" w:eastAsia="Arial" w:hAnsi="Arial"/>
                <w:sz w:val="13"/>
                <w:szCs w:val="13"/>
                <w:color w:val="auto"/>
                <w:w w:val="92"/>
              </w:rPr>
              <w:t>(I.R.S. Employer</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89"/>
              </w:rPr>
              <w:t>Incorporation or Organization)</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0"/>
              </w:rPr>
              <w:t>Identification No.)</w:t>
            </w:r>
          </w:p>
        </w:tc>
      </w:tr>
      <w:tr>
        <w:trPr>
          <w:trHeight w:val="218"/>
        </w:trPr>
        <w:tc>
          <w:tcPr>
            <w:tcW w:w="20" w:type="dxa"/>
            <w:vAlign w:val="bottom"/>
          </w:tcPr>
          <w:p>
            <w:pPr>
              <w:spacing w:after="0"/>
              <w:rPr>
                <w:sz w:val="18"/>
                <w:szCs w:val="18"/>
                <w:color w:val="auto"/>
              </w:rPr>
            </w:pPr>
          </w:p>
        </w:tc>
        <w:tc>
          <w:tcPr>
            <w:tcW w:w="6540" w:type="dxa"/>
            <w:vAlign w:val="bottom"/>
            <w:gridSpan w:val="4"/>
          </w:tcPr>
          <w:p>
            <w:pPr>
              <w:jc w:val="center"/>
              <w:ind w:right="1537"/>
              <w:spacing w:after="0"/>
              <w:rPr>
                <w:sz w:val="20"/>
                <w:szCs w:val="20"/>
                <w:color w:val="auto"/>
              </w:rPr>
            </w:pPr>
            <w:r>
              <w:rPr>
                <w:rFonts w:ascii="Arial" w:cs="Arial" w:eastAsia="Arial" w:hAnsi="Arial"/>
                <w:sz w:val="13"/>
                <w:szCs w:val="13"/>
                <w:b w:val="1"/>
                <w:bCs w:val="1"/>
                <w:color w:val="auto"/>
                <w:w w:val="88"/>
              </w:rPr>
              <w:t>999 Skyway Road, Suite 150, San Carlos, California</w:t>
            </w:r>
          </w:p>
        </w:tc>
        <w:tc>
          <w:tcPr>
            <w:tcW w:w="3360" w:type="dxa"/>
            <w:vAlign w:val="bottom"/>
            <w:gridSpan w:val="2"/>
          </w:tcPr>
          <w:p>
            <w:pPr>
              <w:jc w:val="right"/>
              <w:ind w:right="2257"/>
              <w:spacing w:after="0"/>
              <w:rPr>
                <w:sz w:val="20"/>
                <w:szCs w:val="20"/>
                <w:color w:val="auto"/>
              </w:rPr>
            </w:pPr>
            <w:r>
              <w:rPr>
                <w:rFonts w:ascii="Arial" w:cs="Arial" w:eastAsia="Arial" w:hAnsi="Arial"/>
                <w:sz w:val="13"/>
                <w:szCs w:val="13"/>
                <w:b w:val="1"/>
                <w:bCs w:val="1"/>
                <w:color w:val="auto"/>
              </w:rPr>
              <w:t>94070</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90"/>
              </w:rPr>
              <w:t>(Address of Principal Executive Offices)</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1"/>
              </w:rPr>
              <w:t>(Zip Code)</w:t>
            </w: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(650) 260-7120</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color w:val="auto"/>
                <w:w w:val="88"/>
              </w:rPr>
              <w:t>(Registrant’s Telephone Number, Including Area Code)</w:t>
            </w:r>
          </w:p>
        </w:tc>
        <w:tc>
          <w:tcPr>
            <w:tcW w:w="20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w:t>
            </w:r>
          </w:p>
        </w:tc>
      </w:tr>
      <w:tr>
        <w:trPr>
          <w:trHeight w:val="153"/>
        </w:trPr>
        <w:tc>
          <w:tcPr>
            <w:tcW w:w="20" w:type="dxa"/>
            <w:vAlign w:val="bottom"/>
          </w:tcPr>
          <w:p>
            <w:pPr>
              <w:spacing w:after="0"/>
              <w:rPr>
                <w:sz w:val="13"/>
                <w:szCs w:val="13"/>
                <w:color w:val="auto"/>
              </w:rPr>
            </w:pPr>
          </w:p>
        </w:tc>
        <w:tc>
          <w:tcPr>
            <w:tcW w:w="35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Title of Each Class</w:t>
            </w: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Trading Symbol(s)</w:t>
            </w: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On Which Registered</w:t>
            </w:r>
          </w:p>
        </w:tc>
      </w:tr>
      <w:tr>
        <w:trPr>
          <w:trHeight w:val="154"/>
        </w:trPr>
        <w:tc>
          <w:tcPr>
            <w:tcW w:w="2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$ 0.000041666 Par Value per Share</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color w:val="auto"/>
                <w:w w:val="96"/>
              </w:rPr>
              <w:t>IOVA</w:t>
            </w:r>
          </w:p>
        </w:tc>
        <w:tc>
          <w:tcPr>
            <w:tcW w:w="20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The Nasdaq Global Market</w:t>
            </w: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12(g) of the Act:</w:t>
            </w: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None</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43"/>
        </w:trPr>
        <w:tc>
          <w:tcPr>
            <w:tcW w:w="6560" w:type="dxa"/>
            <w:vAlign w:val="bottom"/>
            <w:gridSpan w:val="5"/>
          </w:tcPr>
          <w:p>
            <w:pPr>
              <w:spacing w:after="0" w:line="175" w:lineRule="exact"/>
              <w:rPr>
                <w:sz w:val="20"/>
                <w:szCs w:val="20"/>
                <w:color w:val="auto"/>
              </w:rPr>
            </w:pPr>
            <w:r>
              <w:rPr>
                <w:rFonts w:ascii="Arial" w:cs="Arial" w:eastAsia="Arial" w:hAnsi="Arial"/>
                <w:sz w:val="13"/>
                <w:szCs w:val="13"/>
                <w:color w:val="auto"/>
                <w:w w:val="89"/>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w w:val="89"/>
              </w:rPr>
              <w:t>☐</w:t>
            </w:r>
            <w:r>
              <w:rPr>
                <w:rFonts w:ascii="Arial" w:cs="Arial" w:eastAsia="Arial" w:hAnsi="Arial"/>
                <w:sz w:val="13"/>
                <w:szCs w:val="13"/>
                <w:color w:val="auto"/>
                <w:w w:val="89"/>
              </w:rPr>
              <w:t xml:space="preserve"> No</w:t>
            </w:r>
          </w:p>
        </w:tc>
        <w:tc>
          <w:tcPr>
            <w:tcW w:w="3360" w:type="dxa"/>
            <w:vAlign w:val="bottom"/>
            <w:gridSpan w:val="2"/>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jc w:val="both"/>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42" w:lineRule="exact"/>
        <w:rPr>
          <w:sz w:val="24"/>
          <w:szCs w:val="24"/>
          <w:color w:val="auto"/>
        </w:rPr>
      </w:pPr>
    </w:p>
    <w:p>
      <w:pPr>
        <w:ind w:right="3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ind w:right="460"/>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51" w:lineRule="exact"/>
        <w:rPr>
          <w:sz w:val="24"/>
          <w:szCs w:val="24"/>
          <w:color w:val="auto"/>
        </w:rPr>
      </w:pPr>
    </w:p>
    <w:p>
      <w:pPr>
        <w:spacing w:after="0" w:line="404" w:lineRule="auto"/>
        <w:rPr>
          <w:sz w:val="20"/>
          <w:szCs w:val="20"/>
          <w:color w:val="auto"/>
        </w:rPr>
      </w:pPr>
      <w:r>
        <w:rPr>
          <w:rFonts w:ascii="Arial" w:cs="Arial" w:eastAsia="Arial" w:hAnsi="Arial"/>
          <w:sz w:val="10"/>
          <w:szCs w:val="10"/>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72" w:lineRule="exact"/>
        <w:rPr>
          <w:sz w:val="24"/>
          <w:szCs w:val="24"/>
          <w:color w:val="auto"/>
        </w:rPr>
      </w:pPr>
    </w:p>
    <w:p>
      <w:pPr>
        <w:sectPr>
          <w:pgSz w:w="11900" w:h="16838" w:orient="portrait"/>
          <w:cols w:equalWidth="0" w:num="3">
            <w:col w:w="1140" w:space="100"/>
            <w:col w:w="3000" w:space="720"/>
            <w:col w:w="4960"/>
          </w:cols>
          <w:pgMar w:left="980" w:top="665" w:right="999" w:bottom="1440" w:gutter="0" w:footer="0" w:header="0"/>
          <w:type w:val="continuous"/>
        </w:sect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6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ind w:left="6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800" w:type="dxa"/>
            <w:vAlign w:val="bottom"/>
            <w:gridSpan w:val="3"/>
          </w:tcPr>
          <w:p>
            <w:pPr>
              <w:ind w:left="140"/>
              <w:spacing w:after="0"/>
              <w:rPr>
                <w:sz w:val="20"/>
                <w:szCs w:val="20"/>
                <w:color w:val="auto"/>
              </w:rPr>
            </w:pPr>
            <w:r>
              <w:rPr>
                <w:rFonts w:ascii="Arial" w:cs="Arial" w:eastAsia="Arial" w:hAnsi="Arial"/>
                <w:sz w:val="13"/>
                <w:szCs w:val="13"/>
                <w:b w:val="1"/>
                <w:bCs w:val="1"/>
                <w:color w:val="auto"/>
              </w:rPr>
              <w:t>Trading Symbol(s)</w:t>
            </w:r>
          </w:p>
        </w:tc>
        <w:tc>
          <w:tcPr>
            <w:tcW w:w="3420" w:type="dxa"/>
            <w:vAlign w:val="bottom"/>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4"/>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 par value $0.000041666 per value</w:t>
            </w:r>
          </w:p>
        </w:tc>
        <w:tc>
          <w:tcPr>
            <w:tcW w:w="140" w:type="dxa"/>
            <w:vAlign w:val="bottom"/>
          </w:tcPr>
          <w:p>
            <w:pPr>
              <w:spacing w:after="0"/>
              <w:rPr>
                <w:sz w:val="13"/>
                <w:szCs w:val="13"/>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IOVA</w:t>
            </w:r>
          </w:p>
        </w:tc>
        <w:tc>
          <w:tcPr>
            <w:tcW w:w="140" w:type="dxa"/>
            <w:vAlign w:val="bottom"/>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The Nasdaq Stock Market, LLC</w:t>
            </w:r>
          </w:p>
        </w:tc>
      </w:tr>
    </w:tbl>
    <w:p>
      <w:pPr>
        <w:spacing w:after="0" w:line="42" w:lineRule="exact"/>
        <w:rPr>
          <w:sz w:val="24"/>
          <w:szCs w:val="24"/>
          <w:color w:val="auto"/>
        </w:rPr>
      </w:pPr>
    </w:p>
    <w:p>
      <w:pPr>
        <w:ind w:right="40"/>
        <w:spacing w:after="0" w:line="226" w:lineRule="auto"/>
        <w:rPr>
          <w:sz w:val="20"/>
          <w:szCs w:val="20"/>
          <w:color w:val="auto"/>
        </w:rPr>
      </w:pPr>
      <w:r>
        <w:rPr>
          <w:rFonts w:ascii="Arial" w:cs="Arial" w:eastAsia="Arial" w:hAnsi="Arial"/>
          <w:sz w:val="13"/>
          <w:szCs w:val="13"/>
          <w:color w:val="auto"/>
        </w:rPr>
        <w:t>The aggregate market value of the registrant’s common stock held by non-affiliates on June 30, 2020, the last business day of the registrant’s most recently completed second fiscal quarter, was approximately $3.7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17, 2021, there were 146,979,253 shares of the registrant’s common stock outstanding.</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jc w:val="both"/>
        <w:ind w:right="120" w:firstLine="492"/>
        <w:spacing w:after="0" w:line="318" w:lineRule="auto"/>
        <w:rPr>
          <w:sz w:val="20"/>
          <w:szCs w:val="20"/>
          <w:color w:val="auto"/>
        </w:rPr>
      </w:pPr>
      <w:r>
        <w:rPr>
          <w:rFonts w:ascii="Arial" w:cs="Arial" w:eastAsia="Arial" w:hAnsi="Arial"/>
          <w:sz w:val="10"/>
          <w:szCs w:val="10"/>
          <w:color w:val="auto"/>
        </w:rPr>
        <w:t>Portions of registrant’s proxy statement relating to registrant’s 2021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527050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94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0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10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1B.</w:t>
              </w:r>
            </w:hyperlink>
          </w:p>
        </w:tc>
        <w:tc>
          <w:tcPr>
            <w:tcW w:w="8100" w:type="dxa"/>
            <w:vAlign w:val="bottom"/>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Unresolved Staff Comments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2.</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Properties</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3.</w:t>
              </w:r>
            </w:hyperlink>
          </w:p>
        </w:tc>
        <w:tc>
          <w:tcPr>
            <w:tcW w:w="8100" w:type="dxa"/>
            <w:vAlign w:val="bottom"/>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4.</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Disclosures</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PART II</w:t>
              </w:r>
            </w:hyperlink>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5.</w:t>
              </w:r>
            </w:hyperlink>
          </w:p>
        </w:tc>
        <w:tc>
          <w:tcPr>
            <w:tcW w:w="8100" w:type="dxa"/>
            <w:vAlign w:val="bottom"/>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Market for Common Equity, Related Stockholder Matters and Issuer Purchases of Equity Securities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Item 6.</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Selected Financial Data</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Item 7.</w:t>
              </w:r>
            </w:hyperlink>
          </w:p>
        </w:tc>
        <w:tc>
          <w:tcPr>
            <w:tcW w:w="8100" w:type="dxa"/>
            <w:vAlign w:val="bottom"/>
          </w:tcPr>
          <w:p>
            <w:pPr>
              <w:ind w:left="1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Quantitative and Qualitative Disclosures About Market Risk</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8.</w:t>
              </w:r>
            </w:hyperlink>
          </w:p>
        </w:tc>
        <w:tc>
          <w:tcPr>
            <w:tcW w:w="8100" w:type="dxa"/>
            <w:vAlign w:val="bottom"/>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Financial Statements and Supplementary Data</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9.</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Changes in and Disagreements with Accountants on Accounting and Financial Disclosure</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8100" w:type="dxa"/>
            <w:vAlign w:val="bottom"/>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9B.</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Other Information</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PART III</w:t>
              </w:r>
            </w:hyperlink>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10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Directors, Executive Officers and Corporate Governance</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11.</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Executive Compensation</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100" w:type="dxa"/>
            <w:vAlign w:val="bottom"/>
          </w:tcPr>
          <w:p>
            <w:pPr>
              <w:ind w:left="160"/>
              <w:spacing w:after="0"/>
              <w:rPr>
                <w:rFonts w:ascii="Arial" w:cs="Arial" w:eastAsia="Arial" w:hAnsi="Arial"/>
                <w:sz w:val="18"/>
                <w:szCs w:val="18"/>
                <w:u w:val="single" w:color="auto"/>
                <w:color w:val="0000EE"/>
                <w:w w:val="98"/>
              </w:rPr>
            </w:pPr>
            <w:hyperlink w:anchor="page96">
              <w:r>
                <w:rPr>
                  <w:rFonts w:ascii="Arial" w:cs="Arial" w:eastAsia="Arial" w:hAnsi="Arial"/>
                  <w:sz w:val="18"/>
                  <w:szCs w:val="18"/>
                  <w:u w:val="single" w:color="auto"/>
                  <w:color w:val="0000EE"/>
                  <w:w w:val="98"/>
                </w:rPr>
                <w:t>Security Ownership of Certain Beneficial Owners and Management and Related Stockholder Matters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Certain Relationships and Related Transactions, and Director Independence</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10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Principal Accounting Fees and Services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PART IV</w:t>
              </w:r>
            </w:hyperlink>
          </w:p>
        </w:tc>
        <w:tc>
          <w:tcPr>
            <w:tcW w:w="8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Exhibits, Financial Statements Schedules</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rFonts w:ascii="Arial" w:cs="Arial" w:eastAsia="Arial" w:hAnsi="Arial"/>
                <w:sz w:val="18"/>
                <w:szCs w:val="18"/>
                <w:color w:val="0000EE"/>
              </w:rPr>
            </w:pPr>
            <w:hyperlink w:anchor="page100">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8100" w:type="dxa"/>
            <w:vAlign w:val="bottom"/>
          </w:tcPr>
          <w:p>
            <w:pPr>
              <w:ind w:left="16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10-K Summary</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100" w:type="dxa"/>
            <w:vAlign w:val="bottom"/>
            <w:shd w:val="clear" w:color="auto" w:fill="CCEEFF"/>
          </w:tcPr>
          <w:p>
            <w:pPr>
              <w:ind w:left="16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Signatures</w:t>
              </w:r>
            </w:hyperlink>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6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design, construct and staff our own manufacturing facility on a timely basis and within the estimated expenses;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or U.S., and foreign countries;</w:t>
      </w:r>
    </w:p>
    <w:p>
      <w:pPr>
        <w:spacing w:after="0" w:line="9" w:lineRule="exact"/>
        <w:rPr>
          <w:rFonts w:ascii="Arial" w:cs="Arial" w:eastAsia="Arial" w:hAnsi="Arial"/>
          <w:sz w:val="18"/>
          <w:szCs w:val="18"/>
          <w:color w:val="auto"/>
        </w:rPr>
      </w:pPr>
    </w:p>
    <w:p>
      <w:pPr>
        <w:ind w:left="680" w:right="14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FDA, or other regulatory authority approval of, or other action with respect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0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Actual results may differ from those set forth in this Annual Report on Form 10-K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may not be reflected in the final analyses of these trials including new cohorts within these trials; the results obtained in our ongoing clinical trials, such as the studies and trials referred to in this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6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of this therapy in diseases such as metastatic melanoma and cervical cancer. We have developed a new, shorter manufacturing process for TIL known as Generation 2, or Gen 2, which yields a cryopreserved TIL product. This proprietary and scalable manufacturing method is being investigated in multiple indications. Our lead product candidates include lifileucel for metastatic melanoma and metastatic cervical cancer. In addition to metastatic melanoma and metastatic cervical cancer, we are investigating the effectiveness and safety of TIL for the treatment of head and neck squamous cell carcinoma, or HNSCC, and non-small cell lung cancer, or NSCLC, as well as in other solid tumor oncology indications through collaborations. We are also investigating peripheral blood lymphocyte, or PBL, therapy for patients with relapsed or refractory chronic lymphocytic leukemia, or CLL, and small lymphocytic lymphoma, or SLL.</w:t>
      </w:r>
    </w:p>
    <w:p>
      <w:pPr>
        <w:spacing w:after="0" w:line="18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conducting a Phase 2 clinical trial, C-144-01, of our lead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ASCO annual meeting on May 29, 2020. In 66 patients with metastatic melanoma, treatment with lifileucel resulted in an objective response rate, or ORR, of 36%, as assessed by investigator, with 2 complete responses and 22 partial responses. The disease control rate, or DCR, was 80.3%. Patients were heavily pretreated and had a mean of 3.3 prior therapies. We have reported durable responses across a wide age range of metastatic melanoma patients, and among those who have received prior anti-CTLA-4 and BRAF targeted treatments, regardless of BRAF mutation status, and equally in patients with PD-L1 high and low status. We have provided several updates on the median duration of response, or DOR, for Cohort 2 and most recently, in January 2021, we announced that median DOR in Cohort 2 had still not been reached after 28.1 months of median study follow up, as assessed by investigator. The adverse event profile was generally consistent with the underlying advanced disease and the profile of the lymphodepletion and IL-2 regimens.</w:t>
      </w:r>
    </w:p>
    <w:p>
      <w:pPr>
        <w:spacing w:after="0" w:line="167"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Pivotal Cohort 4 of the C-144-01 trial was enrolled to evaluate ORR as read out by an Independent Review Committee, or IRC,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 Advanced Therapy, or RMAT, designation from the FDA. Enrollment in Cohort 4 of the C-144-01 trial commenced in March 2019 and patient dosing was completed in January 2020. A total of 87 patients were dosed in Cohort 4. Initial results from Cohort 4 are available for 68 patients with two radiological assessments, as determined by investigator. Lifileucel showed a 32.4% ORR, including one complete response and 21 partial responses, two of which were yet to be confirmed with follow up visits at the time of the data cut, and a DCR of 72.1% as of the data cut off of March 16, 2020, corresponding to 5.3 months of median study follow up. This data is consistent with the Cohort 2 data read out at a similar median duration of study follow up. The ORR of Cohort 2 at a median study follow up of 6 months was 33%. In October 2020, after a Type B meeting with the FDA, we announced that we had delayed our BLA submission for lifileucel in metastatic melanoma as a result of FDA feedback, in order to allow us to simultaneously refine existing and develop new potency assays, and we anticipate submitting</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BLA in 2021. At the same time, we also announced that we had reached agreement with the FDA on the minimum duration of follow up for Cohort 4 to support our BLA submission for lifileucel in the treatment of metastatic melanoma.</w:t>
      </w:r>
    </w:p>
    <w:p>
      <w:pPr>
        <w:spacing w:after="0" w:line="170" w:lineRule="exact"/>
        <w:rPr>
          <w:sz w:val="20"/>
          <w:szCs w:val="20"/>
          <w:color w:val="auto"/>
        </w:rPr>
      </w:pPr>
    </w:p>
    <w:p>
      <w:pPr>
        <w:ind w:right="20" w:firstLine="492"/>
        <w:spacing w:after="0" w:line="284"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Updated results from the C-145-04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Based on an EOP2 meeting held with the FDA in June 2019, we believe that results from the C-145-04 clinical trial may be sufficient to support registration of lifileucel for the treatment of patients with metastatic cervical cancer. In accordance with the FDA’s recommendations, the protocol was amended to further define the patient population. In November 2019, in order to evaluate lifileucel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after completion of the enrollment in the registrational cohorts. A more detailed description of these and other cohorts in the C-145-04 trial is provided in the section entitled “Lifileucel for Cervical Cancer” in this Annual Report on Form 10-K. In January 2021, we announced that Cohort 2 of the C-145-04 trial had completed enrollment and that data from this cohort may be supportive of registration because of the expected changing landscape of care for cervical patients. We intend to initiate a dialog with the FDA in 2021 to discuss BLA submission plans for lifileucel in cervical cancer.</w:t>
      </w:r>
    </w:p>
    <w:p>
      <w:pPr>
        <w:spacing w:after="0" w:line="182"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In November 2020, we announced that we had finalized the protocol for our potential registrational clinical trial in NSCLC, IOV-LUN-202, to investigate LN-145 in patients with recurrent or metastatic NSCLC, without driver mutations, who previously received a single line of approved systemic therapy of combined checkpoint inhibitor and chemotherapy. The IOV-LUN-202 clinical trial includes three cohorts. Cohorts 1 and 3 of the IOV-LUN-202 clinical trial will enroll patients with a PD-L1 tumor proportion score, or TPS, of less than one percent, and Cohort 2 will enroll patients with a PD-L1 TPS of greater than or equal to one percent. We intend to enroll patients in the IOV-LUN-202 clinical trial throughout 2021.</w:t>
      </w:r>
    </w:p>
    <w:p>
      <w:pPr>
        <w:spacing w:after="0" w:line="192"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C-145-03 is our Phase 2, multicenter trial to assess the safety and efficacy of our product candidate LN-145 for the treatment of patients with recurrent metastatic HNSCC. In October 2018, we reported that, to date,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Generation 3, or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92"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are also investigating the potential of our TIL therapies in earlier lines of treatment and in combination with pembrolizumab, and are studying LN-145 as a monotherapy in relapsed refractory non-small cell lung cancer, or NSCLC, patients. IOV-COM-202 is a Phase 2, multicenter trial that is composed of seven cohorts that can enroll up to a total of 135 patients. In May 2019, we reported that the first patient was dosed in the IOV-COM-202 trial. In addition to its ongoing enrollment in the U.S., the IOV-COM-202 trial has also received regulatory approval in Canada and in certain European countries. A more detailed description of these and other cohorts in the C-145-04 trial is provided in the section entitled “Lifileucel and LN-145 in Combination with Pembrolizumab and Other Immunotherapies” in this Annual Report on Form 10-K. 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Society for Immunotherapy in Cancer, or SITC, meeting in November 2020, as follows. As of October 16, 2020, nine HNSCC patients received LN-145 plus pembrolizumab with a median duration of follow up of 8.6 months. Nine and eight patients were evaluable for safety and efficacy, respectively. Four patients had a confirmed, objective response with an ORR of 44% including one complete response and three partial responses. Median DOR was not reached. The disease control rate at data cutoff was 89% in nine patients. Seven of the eight evaluable patients, or 87.5%, had a reduction in target lesions. The median number of prior therapies was 1.0 with 89% of the patients having received prior chemotherapy. Four patients were human papilloma virus, or HPV,</w:t>
      </w:r>
    </w:p>
    <w:p>
      <w:pPr>
        <w:sectPr>
          <w:pgSz w:w="11900" w:h="16838" w:orient="portrait"/>
          <w:cols w:equalWidth="0" w:num="1">
            <w:col w:w="9920"/>
          </w:cols>
          <w:pgMar w:left="980" w:top="665" w:right="99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positive, three patients were HPV negative, and two patients had unknown HPV status. The treatment emergent adverse events, or TEAEs, observed were consistent with the underlying advanced disease and the known adverse event profiles of pembrolizumab, lymphodepletion, and IL-2 regimens. The most common TEAEs, occurring in more than 50% of evaluable subjects, were chills, anemia, hypotension, nausea, pyrexia, and thrombocytopenia.</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November 2019, we announced that our investigational new drug application, or IND,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8"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As part of our collaboration program with the MD Anderson Cancer Center, or MDACC, two Phase 2 trials were initiated in 2018. Both trials are sponsored by MDACC. The first trial, NCT03449108, is intended to allow for investigation of LN-145 manufactured by us using our manufacturing processes to treat patients with soft tissue sarcoma, osteosarcoma, platinum resistant ovarian cancer, and thyroid cancer. A second trial under the collaboration with MDACC, NCT03610490, is active as well. This trial is treating patients with platinum resistant ovarian cancer, pancreatic cancer,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77" w:lineRule="exact"/>
        <w:rPr>
          <w:sz w:val="20"/>
          <w:szCs w:val="20"/>
          <w:color w:val="auto"/>
        </w:rPr>
      </w:pPr>
    </w:p>
    <w:p>
      <w:pPr>
        <w:ind w:right="260" w:firstLine="492"/>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figure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142875</wp:posOffset>
            </wp:positionV>
            <wp:extent cx="600075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We have developed a third-generation manufacturing process known as Gen 3. Gen 3 is a shorter process than Gen 2. We are using Gen 3 manufacturing in Cohort 1C of the IOV-COM-202 trial in melanoma and in Cohort 3 of the IOV-LUN-202 trial in NSCLC and have previously used it in the C-145-03 trial in HNSCC.</w:t>
      </w:r>
    </w:p>
    <w:p>
      <w:pPr>
        <w:spacing w:after="0" w:line="184" w:lineRule="exact"/>
        <w:rPr>
          <w:sz w:val="20"/>
          <w:szCs w:val="20"/>
          <w:color w:val="auto"/>
        </w:rPr>
      </w:pPr>
    </w:p>
    <w:p>
      <w:pPr>
        <w:ind w:right="100" w:firstLine="492"/>
        <w:spacing w:after="0" w:line="342" w:lineRule="auto"/>
        <w:rPr>
          <w:sz w:val="20"/>
          <w:szCs w:val="20"/>
          <w:color w:val="auto"/>
        </w:rPr>
      </w:pPr>
      <w:r>
        <w:rPr>
          <w:rFonts w:ascii="Arial" w:cs="Arial" w:eastAsia="Arial" w:hAnsi="Arial"/>
          <w:sz w:val="16"/>
          <w:szCs w:val="16"/>
          <w:color w:val="auto"/>
        </w:rPr>
        <w:t>We currently own more than twenty granted or allowed U.S. and international patents for compositions and methods of treatment in a broad range of cancers relating to our Gen 2 manufacturing process, including U.S. Patent Nos. 10,130,659, 10,166,257,</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10,272,113, 10,363,273, 10,398,734, 10,420,799, 10,463,697, 10,537,595, 10,646,517, 10,653,723, 10,693,330, 10,695,372, 10,894,063, and 10,905,718. We anticipate that the terms of these patents related to Gen 2 manufacturing processes will extend to January 2038, not including any patent term extensions or adjustments that may be available. Our owned and licensed intellectual property portfolio also includes patent applications relating to TIL, marrow infiltrating lymphocyte, or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78"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color w:val="auto"/>
        </w:rPr>
        <w:t>In January 2020, we obtained a license from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Novartis is also entitled to low-to-mid single digit percentage royalties from commercial sales of IOV-3001. In addition, 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whereby we licensed certain transcription activator-like effector nuclease, or TALEN, technology from Cellectis in order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 development, regulatory and sales milestone payments from us to Cellectis, as well as royalty payments based on net sales of TALEN-modified TIL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Our goal is to be a leader in the development, and commercialization of TIL-based immunotherapies to treat solid tumors. We are developing a portfolio of product candidates with the potential to meaningfully improve survival and quality of life for cancer patients. Key elements of our strategy include:</w:t>
      </w:r>
    </w:p>
    <w:p>
      <w:pPr>
        <w:spacing w:after="0" w:line="184"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Expedite clinical development, regulatory approval, and commercialization of our lead product candidate lifileucel for the treatment of metastatic melanoma.</w:t>
      </w:r>
    </w:p>
    <w:p>
      <w:pPr>
        <w:spacing w:after="0" w:line="170"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Based on results of TIL therapy from trials sponsored by the NCI and our own clinical trials in metastatic melanoma, we are focused on expediting the development, regulatory approval and commercialization of our lead product candidate, lifileucel, for the treatment of patients with metastatic melanoma. We filed an investigational new drug application, or IND, with the FDA in December 2014 to initiate a company-sponsored Phase 2 single-arm, multicenter clinical trial of lifileucel in patients with metastatic melanoma. We began enrollment of this trial in the second half of 2015 and expanded it into three cohorts in 2017. In 2019 we expanded into an additional cohort, Cohort 4, which serves as the basis for registration. We held an end of Phase 2 meeting with the FDA in September 2018. Based on the meeting and subsequent dialog with the FDA, we amended the protocol for the C-144-01 trial to include 75 patients in Cohort 4. The primary endpoint is ORR as determined by IRC. We have completed dosing of patients in Cohort 4, have reported preliminary results, and intend to file a BLA for lifileucel in metastatic melanoma in 2021.</w:t>
      </w:r>
    </w:p>
    <w:p>
      <w:pPr>
        <w:spacing w:after="0" w:line="181"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b w:val="1"/>
          <w:bCs w:val="1"/>
          <w:i w:val="1"/>
          <w:iCs w:val="1"/>
          <w:color w:val="auto"/>
        </w:rPr>
        <w:t>Continue to improve our TIL manufacturing process and develop new TIL manufacturing technology to become the preferred provider of TIL therapy in the U.S. and the rest of the world.</w:t>
      </w:r>
    </w:p>
    <w:p>
      <w:pPr>
        <w:spacing w:after="0" w:line="170"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We believe that we are the only company in the U.S. to have a centralized, demonstrated, and commercially viable TIL manufacturing process. In 2018, we first utilized our Gen 2 TIL manufacturing process, which reduced TIL manufacturing time from 5-6 weeks to 22 days, allowing for a commercially viable product candidate. The Gen 2 process also produces a cryopreserved TIL product for ease of administration and handling. The Gen 2 manufacturing process was utilized in Cohort 2 and Cohort 4 of our C-144-01 trial and has also been selected for use in most of our ongoing TIL clinical development program. We have included Gen 2 as the manufacturing process for registration for our discussions with the FDA and eventually the anticipated BLA filing for lifileucel. Our strategy is to establish our Gen 2 process as a commercial manufacturing process for TIL therapies, including lifileucel. We also continue to develop and evaluate potential future TIL manufacturing processes, including our Gen 3 process and our LN-145-S1 process.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b w:val="1"/>
          <w:bCs w:val="1"/>
          <w:i w:val="1"/>
          <w:iCs w:val="1"/>
          <w:color w:val="auto"/>
        </w:rPr>
        <w:t>Collaborate with governmental, academic and corporate partners to improve and develop TIL and PBL therapies for new indications or for use in combination with other therapies, and to evaluate new manufacturing methods.</w:t>
      </w:r>
    </w:p>
    <w:p>
      <w:pPr>
        <w:spacing w:after="0" w:line="124"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For example, we have ongoing licensing agreements and collaborations with Moffitt, MDACC, Yale University, Cellectis, and Novartis to evaluate several new solid tumor and hematologic indications for TIL and PBL therapy in clinical and preclinical studies as well as, in some cases, new TIL manufacturing approaches. In August 2016, we expanded our Cooperative Research and Development Agreement, or CRADA, with the NCI for another 5-year term. This collaboration with the NCI is directed at research on unmodified TIL therapy and also addresses human papilloma virus, or HPV-associated cancers (cervical and head and neck), lung, bladder, and breast cancer. A description of certain of these collaborations and related agreements is provided in the following sections of this Annual Report on Form 10-K.</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Continue to establish manufacturing capacity for TIL products.</w:t>
      </w:r>
    </w:p>
    <w:p>
      <w:pPr>
        <w:spacing w:after="0" w:line="225"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continue to invest in improving the process and efficiency of manufacturing our product candidates in the U.S. and Europe for TIL manufacturing. Currently we use several contract manufacturing organizations, or CMOs, to supply our TIL-based products for our clinical trials under various manufacturing services agreements, or MSAs. CMOs limit the amount of upfront capital investment as they have existing manufacturing facilities that we can utilize in TIL production.</w:t>
      </w:r>
    </w:p>
    <w:p>
      <w:pPr>
        <w:spacing w:after="0" w:line="187"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We began construction of our own manufacturing facility in 2019, in Philadelphia, Pennsylvania, in order to provide for better margins and rapid implementation of innovative changes for TIL therapies that we may develop or commercialize. We intend to carefully manage our cost structure, and reduce the long-term cost of manufacturing our products, although there can be no assurance that we will be able to reduce our manufacturing costs to commercially attractive levels. As of the start of 2021, we have completed most construction and commissioning activities and expect that our manufacturing facility will begin clinical manufacturing in 2021.</w:t>
      </w:r>
    </w:p>
    <w:p>
      <w:pPr>
        <w:spacing w:after="0" w:line="16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In 2016, we entered into a three-year MSA and related statements of work with WuXi AppTec, Inc., or WuXi, in order to increase our TIL manufacturing capacity in facilities with both clinical and commercial capability for two suites. We have since extended our MSA with WuXi until November 2021.</w:t>
      </w:r>
    </w:p>
    <w:p>
      <w:pPr>
        <w:spacing w:after="0" w:line="184"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In October 2018, we entered into a three-year MSA and related statement of work with MaSTherCell S.A., or MaSTherCell, a cell therapy CMO that is a subsidiary of Orgenesis Inc., which was acquired by Catalent, Inc. Pursuant to the MSA, MaSTherCell agreed to provide manufacturing and other services for use in our European clinical trials. In December 2019, we provided MaSTherCell with a notice of termination for the statement of work for cell therapy manufacturing. We ceased manufacturing at MaSTherCell in 2020.</w:t>
      </w:r>
    </w:p>
    <w:p>
      <w:pPr>
        <w:spacing w:after="0" w:line="157"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In 2017, we entered into a three-year MSA and related statements of work with PharmaCell B.V., or PharmaCell, a contract manufacturing services company based in the Netherlands, to manufacture our autologous cell therapy products for use in our European clinical trials. PharmaCell was subsequently acquired by Lonza Group Ltd., or Lonza. Lonza continues to manufacture TIL products for our European clinical trials in its clinical and commercial facility in Geleen, the Netherlands. We have since extended our agreements with Lonza until April 2022.</w:t>
      </w:r>
    </w:p>
    <w:p>
      <w:pPr>
        <w:spacing w:after="0" w:line="188"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Also in 2017, we entered into a two-year MSA and related statements of work with Moffitt, to manufacture our autologous cell therapy products for use in clinical trials, which has since been extended until March 2025. Moffitt continues to manufacture TIL products for our clinical trials in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Iovance-Sponsored Clinical Trials</w:t>
      </w:r>
    </w:p>
    <w:p>
      <w:pPr>
        <w:spacing w:after="0" w:line="22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We currently have six ongoing Phase 2 clinical studies. The ongoing studies include C-144-01, of our lead product candidate, lifileucel, for the treatment of metastatic melanoma; C-145-04, of our product candidate lifileucel for recurrent, metastatic or persistent cervical cancer; and C-145-03, of our product candidate LN-145, for recurrent and/or metastatic HNSCC, which we are closing because the trial has reached the protocol’s defined enrollment. During 2018, we initiated a Phase 2 clinical trial, IOV-COM-202, a basket trial that will treat checkpoint naïve patients with TIL in combination with pembrolizumab for metastatic melanoma, head and neck cancer and non-small cell lung cancer. The trial also includes a cohort that will treat relapsed and refractory NSCLC patients with TIL alone as well as a cohort for NSCLC for TIL in combination with ipilimumab and nivolumab. Additional melanoma cohorts</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are offered in this trial as well. In 2019, we announced that the FDA had cleared our Phase 1/2 clinical trial, IOV-CLL-01, using our PBL therapy, IOV-2001, to proceed. In 2020, we initiated a clinical trial, IOV-LUN-202, in NSCLC, which is now recruiting. Additional information about our clinical trials is presented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for Metastatic Melanoma</w:t>
      </w:r>
    </w:p>
    <w:p>
      <w:pPr>
        <w:spacing w:after="0" w:line="225"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We are developing lifileucel to treat metastatic melanoma. Melanoma is a common type of skin cancer, accounting for approximately 100,350 patients diagnosed and 6,850 deaths each year in the U.S. according to the NCI’s Surveillance, Epidemiology and End Results program, or SEER program, as of 2020. Our Phase 2 trial, C-144-01, is a prospective, registrational, four-cohort interventional study evaluating lifileucel in metastatic melanoma patients who have progressed after prior anti-PD-1 therapy and if BRAF mutant, after BRAF or BRAF/MEK inhibitor therapy. Patients enrolled in this trial to date have failed several prior treatment regimens. Lifileucel has received a Regenerative Medicine Advanced Therapy, or RMAT, designation from the FDA in metastatic melanoma.</w:t>
      </w:r>
    </w:p>
    <w:p>
      <w:pPr>
        <w:spacing w:after="0" w:line="195"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Patients with metastatic melanoma who have failed at least one treatment under the current standards of care have an unfavorable prognosis with very few curative treatment options. The National Comprehensive Cancer Network, or NCCN, makes recommendations for the treatment of patients with unresectable or metastatic melanoma. Initial therapy can include checkpoint inhibitors either alone or in combination (ipilimumab, nivolumab, pembrolizumab), targeted therapies for patients with BRAF mutations (dabrafenib/trametinib, vemurafenib/cobimetinib combinations or single agents) or participating in a clinical trial. For patients not responding or progressing and who have an adequate clinical status, agents selected from the previous list or of a different therapeutic class can be used as well as high dose IL-2. NCCN experts also recommend participating in a clinical trial at any stage of disease. Patients who do not respond to the current second-line therapies have very few treatment options and typically have a very poor prognosis, with limited median survival measured in months. According to estimates from SEER in the U.S. in 2019, approximately there were 7,230 deaths due to melanoma. If approved, we believe lifileucel may be able to treat a portion of the patients that have received all other approved treatment options.</w:t>
      </w:r>
    </w:p>
    <w:p>
      <w:pPr>
        <w:spacing w:after="0" w:line="168" w:lineRule="exact"/>
        <w:rPr>
          <w:sz w:val="20"/>
          <w:szCs w:val="20"/>
          <w:color w:val="auto"/>
        </w:rPr>
      </w:pPr>
    </w:p>
    <w:p>
      <w:pPr>
        <w:jc w:val="both"/>
        <w:ind w:right="20" w:firstLine="492"/>
        <w:spacing w:after="0" w:line="259" w:lineRule="auto"/>
        <w:rPr>
          <w:sz w:val="20"/>
          <w:szCs w:val="20"/>
          <w:color w:val="auto"/>
        </w:rPr>
      </w:pPr>
      <w:r>
        <w:rPr>
          <w:rFonts w:ascii="Arial" w:cs="Arial" w:eastAsia="Arial" w:hAnsi="Arial"/>
          <w:sz w:val="18"/>
          <w:szCs w:val="18"/>
          <w:color w:val="auto"/>
        </w:rPr>
        <w:t>We are using our Gen 2 manufacturing process for most of our ongoing Phase 2 trials, and as a result, Cohort 1 of C-144-01, using our Generation 1, or Gen 1, manufacturing process, was closed to enrollment in 2017 and subsequent patients were enrolled in Cohort 2. The planned enrollment in C-144-01 was reached in late 2018 and Cohort 2 is closed to enrollment. Cohort 3 is a retreatment cohort. Cohort 4, a pivotal cohort, was added in 2019 and has completed dosing.</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Updated results from Cohort 2 of the C-144-01 clinical trial were initially reported at the ASCO annual meeting in June 2019 and subsequently updated at the SITC annual meeting in November 2019. In 66 patients with metastatic melanoma, treatment with lifileucel resulted in an ORR of 36%, with 2 complete responses and 22 partial responses. The DCR was 80%. Patients were heavily pretreated and had a mean of 3.3 prior therapies. In January 2021, we announced that median DOR in Cohort 2 had still not been reached after 28.1 months of median study follow up, as assessed by investigator. The adverse event profile was generally consistent with the underlying advanced disease and the profile of the lymphodepletion and IL-2 regimens.</w:t>
      </w:r>
    </w:p>
    <w:p>
      <w:pPr>
        <w:spacing w:after="0" w:line="178" w:lineRule="exact"/>
        <w:rPr>
          <w:sz w:val="20"/>
          <w:szCs w:val="20"/>
          <w:color w:val="auto"/>
        </w:rPr>
      </w:pPr>
    </w:p>
    <w:p>
      <w:pPr>
        <w:ind w:right="60" w:firstLine="492"/>
        <w:spacing w:after="0" w:line="267" w:lineRule="auto"/>
        <w:rPr>
          <w:sz w:val="20"/>
          <w:szCs w:val="20"/>
          <w:color w:val="auto"/>
        </w:rPr>
      </w:pPr>
      <w:r>
        <w:rPr>
          <w:rFonts w:ascii="Arial" w:cs="Arial" w:eastAsia="Arial" w:hAnsi="Arial"/>
          <w:sz w:val="17"/>
          <w:szCs w:val="17"/>
          <w:color w:val="auto"/>
        </w:rPr>
        <w:t>We held an End of Phase 2 meeting with the FDA in September 2018 to discuss the C-144-01 study. In its written minutes to the meeting, the FDA acknowledged that conduct of a randomized Phase 3 study may not be feasible in its intended population of advanced melanoma patients, who have been treated with at least one systemic therapy including an anti-PD-1 antibody and if BRAF mutation positive, a BRAF inhibitor or BRAF inhibitor with MEK inhibitor, and that a randomized study is not required for the registration of lifileucel. The FDA further acknowledged that a single-arm cohort of the C-144-01 trial may be acceptable for registration in this indication. A new cohort, Cohort 4, of 75 patients was enrolled in C-144-01 with a prospective definition of the primary endpoint of ORR to be determined by IRC, to support registration of lifileucel. The FDA recommended that we validate a potency assay prior to starting Cohort 4, which we have done. We initiated Cohort 4 in early 2019 in the U.S. and in Europe and completed dosing in January 2020. A total of 87 patients were dosed in Cohort 4. Initial results from Cohort 4 are available for 68 patients with two radiological assessments, as determined by investigator. In Cohort 4, lifileucel showed a 32.4% ORR, including one complete response and 21 partial responses, two of which are yet to be confirmed with follow up visits, and a DCR of 72.1% as of the data cut off of March 16, 2020, corresponding to 5.3 months of median study follow up. This data is consistent with the Cohort 2 data read out at a similar median duration of study follow up. In October 2020, after a Type B meeting with the FDA, we announced that we had delayed our BLA submission for lifileucel in metastatic melanoma until a date expected to occur in 2021 as a result of FDA feedback, in order to allow us to simultaneously refine existing and develop new potency assays. At the same time, we also announced that we had reached agreement with the FDA on the minimum duration of follow up for Cohort 4 to support our BLA submission for lifileucel in the treatment of metastatic melanoma.</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for Cervical Cancer</w:t>
      </w:r>
    </w:p>
    <w:p>
      <w:pPr>
        <w:spacing w:after="0" w:line="22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We are also developing lifileucel, for the treatment of cervical cancer. Lifileucel for metastatic cervical cancer was formerly known as LN-145. According to estimates from the SEER program, approximately 13,800 women were diagnosed with cervical cancer, and approximately 4,290 cervical cancer-related deaths occurred in the U.S. in 2020.</w:t>
      </w:r>
    </w:p>
    <w:p>
      <w:pPr>
        <w:spacing w:after="0" w:line="184"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C-145-04 is an ongoing Phase 2,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BTD from the FDA for development in the treatment of cervical cancer. Updated results from the C-145-04 clinical trial were reported at the ASCO annual meeting on June 1, 2019. In 27 patients with metastatic cervical cancer, treatment with lifileucel resulted in an ORR of 44%. In the study there were 3 complete responses and 9 partial responses. The DCR was 85%. Patients were heavily pretreated and had a mean of 2.4 prior therapies. The median DOR had not been reached. The median follow-up was 7.4 months. The adverse event profile was generally consistent with the underlying advanced disease and the profile of the lymphodepletion and IL-2 regimens.</w:t>
      </w:r>
    </w:p>
    <w:p>
      <w:pPr>
        <w:spacing w:after="0" w:line="16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Based on an End of Phase 2 meeting held with the FDA in June 2019, the FDA has acknowledged that results from the C-145-04 clinical trial may be sufficient to support registration of lifileucel in the treatment of patients with metastatic cervical cancer. In accordance with the FDA’s recommendations, the protocol was amended, to further define the patient population. In November 2019, in order to evaluate lifileucel in broader lines of therapy in cervical cancer, we have amended the C-145-04 trial to collect additional data on early-line patients as well as late-line patients. These additional cohorts also allow access to TIL therapy when the pivotal Cohort 1 is completed and also may support a request from FDA to provide expanded access to lifileucel. Enrollment in these additional cohorts will not impact the timing of the completion of the pivotal cohort nor the size of the registrational program. The C-145-04 trial currently consists of the following cohorts of cervical cancer patients with recurrent, persistent, or metastatic disease:</w:t>
      </w:r>
    </w:p>
    <w:p>
      <w:pPr>
        <w:spacing w:after="0" w:line="165" w:lineRule="exact"/>
        <w:rPr>
          <w:sz w:val="20"/>
          <w:szCs w:val="20"/>
          <w:color w:val="auto"/>
        </w:rPr>
      </w:pPr>
    </w:p>
    <w:p>
      <w:pPr>
        <w:ind w:left="840" w:hanging="319"/>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1 has completed enrollment in patients who have progressed during or after chemotherapy;</w:t>
      </w:r>
    </w:p>
    <w:p>
      <w:pPr>
        <w:spacing w:after="0" w:line="23" w:lineRule="exact"/>
        <w:rPr>
          <w:rFonts w:ascii="Arial" w:cs="Arial" w:eastAsia="Arial" w:hAnsi="Arial"/>
          <w:sz w:val="18"/>
          <w:szCs w:val="18"/>
          <w:color w:val="auto"/>
        </w:rPr>
      </w:pPr>
    </w:p>
    <w:p>
      <w:pPr>
        <w:ind w:left="840" w:right="260" w:hanging="319"/>
        <w:spacing w:after="0" w:line="25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2 has closed enrollment to patients for treatment with lifileucel who have progressed during or after treatment with anti-PD-1/anti-PD-L1 checkpoint inhibitor;</w:t>
      </w:r>
    </w:p>
    <w:p>
      <w:pPr>
        <w:ind w:left="840" w:right="280" w:hanging="319"/>
        <w:spacing w:after="0" w:line="265"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Cohort 3 is enrolling patients who have not received prior systemic therapy for recurrent, metastatic, or persistent disease, and will explore safety and efficacy of the combination of the lifileucel regimen with pembrolizumab;</w:t>
      </w:r>
    </w:p>
    <w:p>
      <w:pPr>
        <w:ind w:left="840" w:right="340" w:hanging="319"/>
        <w:spacing w:after="0" w:line="25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4 includes patients who have been previously enrolled but are not considered within the registrational population, including patients dosed with product produced by our Gen 1 TIL manufacturing process; and</w:t>
      </w:r>
    </w:p>
    <w:p>
      <w:pPr>
        <w:ind w:left="840" w:right="580" w:hanging="319"/>
        <w:spacing w:after="0" w:line="26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5 will enroll patients for retreatment with LN-145 for patients who have progressed after initial treatment with lifileucel.</w:t>
      </w:r>
    </w:p>
    <w:p>
      <w:pPr>
        <w:spacing w:after="0" w:line="185"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The sample size of the C-145-04 clinical trial is expected to include 138 patients from the appropriate patient populations across these five cohorts. As we continue our work to refine existing and develop new potency assays to support our BLA submission for lifileucel in the treatment of metastatic melanoma, Cohort 2 may be supportive for an expected BLA submission for lifileucel in cervical cancer to further address the emerging treatment landscape for this disease.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LN-145 for NSCLC</w:t>
      </w:r>
    </w:p>
    <w:p>
      <w:pPr>
        <w:spacing w:after="0" w:line="225" w:lineRule="exact"/>
        <w:rPr>
          <w:sz w:val="20"/>
          <w:szCs w:val="20"/>
          <w:color w:val="auto"/>
        </w:rPr>
      </w:pPr>
    </w:p>
    <w:p>
      <w:pPr>
        <w:ind w:right="40" w:firstLine="492"/>
        <w:spacing w:after="0" w:line="342" w:lineRule="auto"/>
        <w:rPr>
          <w:sz w:val="20"/>
          <w:szCs w:val="20"/>
          <w:color w:val="auto"/>
        </w:rPr>
      </w:pPr>
      <w:r>
        <w:rPr>
          <w:rFonts w:ascii="Arial" w:cs="Arial" w:eastAsia="Arial" w:hAnsi="Arial"/>
          <w:sz w:val="16"/>
          <w:szCs w:val="16"/>
          <w:color w:val="auto"/>
        </w:rPr>
        <w:t>We are developing LN-145 to treat NSCLC. According to estimates from the SEER program, approximately 228,820 people were diagnosed with lung and bronchus cancers, and approximately 136,000 deaths occurred related to these cancers in the U.S. in 2020.</w:t>
      </w:r>
    </w:p>
    <w:p>
      <w:pPr>
        <w:spacing w:after="0" w:line="12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November 2020, we announced that we had finalized the protocol for our potential registrational clinical trial in NSCLC, IOV-LUN-202, to investigate LN-145 in patients with recurrent or metastatic NSCLC, without driver mutations, who previously received a single line of approved systemic therapy of combined checkpoint inhibitor and chemotherapy. The IOV-LUN-202 clinical trial, which is open to recruitment as of January 2021, includes three cohorts. Cohorts 1 and 3 of the IOV-LUN-202 clinical trial will enroll patients with a PD-L1 tumor proportion score, or TPS, of less than one percent, and Cohort 2 will enroll patients with a PD-L1 TPS of greater than or equal to one percent. We intend to enroll patients in the IOV-LUN-202 clinical trial throughout 2021.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LN-145 for Head and Neck Cancer</w:t>
      </w:r>
    </w:p>
    <w:p>
      <w:pPr>
        <w:spacing w:after="0" w:line="225" w:lineRule="exact"/>
        <w:rPr>
          <w:sz w:val="20"/>
          <w:szCs w:val="20"/>
          <w:color w:val="auto"/>
        </w:rPr>
      </w:pPr>
    </w:p>
    <w:p>
      <w:pPr>
        <w:jc w:val="both"/>
        <w:ind w:right="240" w:firstLine="492"/>
        <w:spacing w:after="0" w:line="311" w:lineRule="auto"/>
        <w:rPr>
          <w:sz w:val="20"/>
          <w:szCs w:val="20"/>
          <w:color w:val="auto"/>
        </w:rPr>
      </w:pPr>
      <w:r>
        <w:rPr>
          <w:rFonts w:ascii="Arial" w:cs="Arial" w:eastAsia="Arial" w:hAnsi="Arial"/>
          <w:sz w:val="16"/>
          <w:szCs w:val="16"/>
          <w:color w:val="auto"/>
        </w:rPr>
        <w:t>We are also developing LN-145 to treat head and neck cancer. According to estimates from the SEER program, approximately 65,630 people were diagnosed with head and neck-related cancers, which are referred to by the SEER program as oral cavity, pharynx and larynx cancers, and approximately 14,500 head and neck-related cancer deaths occurred in the U.S. in 2020.</w:t>
      </w:r>
    </w:p>
    <w:p>
      <w:pPr>
        <w:spacing w:after="0" w:line="149"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June 2017, we enrolled our first patient in our ongoing Phase 2 trial, C-145-03, for the treatment of patients with recurrent and/or metastatic squamous cell carcinoma of the head and neck, who have failed one prior therapy. In 2018, preliminary data for 13 patients who were administered a mix of Gen 1 and Gen 2 products, was released showing an ORR of 31%, with 4 partial responses, with the DOR ranging from 2.8 to 7.6 months. Patients in the study had a median of three prior therapies. The safety findings from this study were also consistent with previous reports. The most common treatment emergent adverse events observed at the time of that data cut included chills, hypotension, pyrexia, hyponatremia, and anemia. As additional results are reported for the C-145-03 study, the safety profile of LN-145 may change. We changed the design of our C-145-03 trial so that enrolled patients would also be treated using either LN-145 produced from the Gen 3 manufacturing process or PD-1 selected TIL, or LN-145-S1, from the PD-1 selected TIL manufacturing process in two separate cohorts. In January 2021, we announced that we are closing the C-145-03 clinical trial after the trial reached its pre-specified enrollment target.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and LN-145 in Combination with Pembrolizumab and Other Immunotherapies</w:t>
      </w:r>
    </w:p>
    <w:p>
      <w:pPr>
        <w:spacing w:after="0" w:line="22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addition to the trials for lifileucel and LN-145 mentioned above, we are developing these products in alone or in combination with pembrolizumab or other immunotherapies for melanoma, head and neck and NSCLC in our clinical trial IOV-COM-202, a Phase 2, multicenter trial that is composed of seven cohorts. In May 2019, we reported that the first patient was dosed in the IOV-COM-202 trial. In addition to the U.S., the IOV-COM-202 trial has also received regulatory approval in Canada and in certain European countries. In January 2021, we announced that we were adding two additional cohorts to the IOV-COM-202 trial, Cohorts 1C and 3C, as described below. The IOV-COM-202 trial now consists of the following cohorts of patients:</w:t>
      </w:r>
    </w:p>
    <w:p>
      <w:pPr>
        <w:spacing w:after="0" w:line="178" w:lineRule="exact"/>
        <w:rPr>
          <w:sz w:val="20"/>
          <w:szCs w:val="20"/>
          <w:color w:val="auto"/>
        </w:rPr>
      </w:pPr>
    </w:p>
    <w:p>
      <w:pPr>
        <w:ind w:left="840" w:right="200" w:hanging="319"/>
        <w:spacing w:after="0" w:line="255"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1A is enrolling at least 12 patients with advanced unresectable or metastatic melanoma who have not received prior immunotherapy, including checkpoint inhibitors such as anti-PD-1/anti-PD-L1 therapy, for treatment with lifileucel in combination with pembrolizumab;</w:t>
      </w:r>
    </w:p>
    <w:p>
      <w:pPr>
        <w:spacing w:after="0" w:line="2" w:lineRule="exact"/>
        <w:rPr>
          <w:rFonts w:ascii="Arial" w:cs="Arial" w:eastAsia="Arial" w:hAnsi="Arial"/>
          <w:sz w:val="18"/>
          <w:szCs w:val="18"/>
          <w:color w:val="auto"/>
        </w:rPr>
      </w:pPr>
    </w:p>
    <w:p>
      <w:pPr>
        <w:ind w:left="840" w:right="40" w:hanging="319"/>
        <w:spacing w:after="0" w:line="28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Cohort 1B is enrolling up to 27 melanoma patients who have progressed during or after treatment with anti-PD-1/anti-PD-L1 checkpoint inhibitor and if BRAF mutant, after BRAF or BRAF/MEK inhibitor therapy for treatment with LN-145-S1;</w:t>
      </w:r>
    </w:p>
    <w:p>
      <w:pPr>
        <w:spacing w:after="0" w:line="1" w:lineRule="exact"/>
        <w:rPr>
          <w:rFonts w:ascii="Arial" w:cs="Arial" w:eastAsia="Arial" w:hAnsi="Arial"/>
          <w:sz w:val="16"/>
          <w:szCs w:val="16"/>
          <w:color w:val="auto"/>
        </w:rPr>
      </w:pPr>
    </w:p>
    <w:p>
      <w:pPr>
        <w:ind w:left="840" w:right="12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1C will enroll up to 27 melanoma patients who have progressed during or after treatment with anti-PD-1/anti-PD-L1 checkpoint inhibitor and if BRAF mutant, after BRAF or BRAF/MEK inhibitor therapy, for treatment with LN-145 manufactured using our Gen 3 process;</w:t>
      </w:r>
    </w:p>
    <w:p>
      <w:pPr>
        <w:spacing w:after="0" w:line="1" w:lineRule="exact"/>
        <w:rPr>
          <w:rFonts w:ascii="Arial" w:cs="Arial" w:eastAsia="Arial" w:hAnsi="Arial"/>
          <w:sz w:val="18"/>
          <w:szCs w:val="18"/>
          <w:color w:val="auto"/>
        </w:rPr>
      </w:pPr>
    </w:p>
    <w:p>
      <w:pPr>
        <w:ind w:left="840" w:right="280" w:hanging="319"/>
        <w:spacing w:after="0" w:line="28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Cohort 2A is enrolling at least 19 patients with advanced, recurrent, or metastatic HNSCC who are naïve to prior immunotherapy including anti-PD-1/anti-PD-L1 therapy, for treatment with LN-145 in combination with pembrolizumab;</w:t>
      </w:r>
    </w:p>
    <w:p>
      <w:pPr>
        <w:spacing w:after="0" w:line="1" w:lineRule="exact"/>
        <w:rPr>
          <w:rFonts w:ascii="Arial" w:cs="Arial" w:eastAsia="Arial" w:hAnsi="Arial"/>
          <w:sz w:val="16"/>
          <w:szCs w:val="16"/>
          <w:color w:val="auto"/>
        </w:rPr>
      </w:pPr>
    </w:p>
    <w:p>
      <w:pPr>
        <w:ind w:left="840" w:right="10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3A is enrolling at least 12 patients with NSCLC who are naïve to prior immunotherapy including anti-PD-1/anti-PD-L1 therapy, for treatment with LN-145 in combination with pembrolizumab;</w:t>
      </w:r>
    </w:p>
    <w:p>
      <w:pPr>
        <w:ind w:left="840" w:right="8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3B is enrolling at least 12 patients with NSCLC who have previously received systemic therapy, which could include checkpoint inhibitors or tyrosine kinase inhibitors, for treatment with LN-145 alone; and</w:t>
      </w: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3C will enroll up to 26 patients with NSCLC who have progressed after initial treatment with lifileucel.</w:t>
      </w:r>
    </w:p>
    <w:p>
      <w:pPr>
        <w:spacing w:after="0" w:line="21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sample size of the IOV-COM-202 clinical trial is expected to include up to 135 patients from the appropriate patient populations across these seven cohorts.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reported results from ongoing Cohort 2A of the IOV-COM-202 trial at the SITC meeting in November 2020 as follows. As of October 16, 2020, nine HNSCC patients have received LN-145 plus pembrolizumab with a median duration of follow up of 8.6 months. Nine and eight patients were evaluable for safety and efficacy, respectively. Four patients had a confirmed, objective response with an ORR of 44% including one complete response and three partial responses. Median DOR was not reached. The disease control rate at data cutoff was 89% in nine patients, and seven of the eight evaluable patients, 87.5%, had a reduction in target lesions. The median number of prior therapies was 1.0 with 89% of the patients having received prior chemotherapy. Four patients were human papilloma virus, or HPV, positive, three patients were HPV negative, and two patients had unknown HPV status. The treatment emergent adverse event, or TEAE, profile was consistent with the underlying advanced disease and the known adverse event profiles of pembrolizumab, lymphodepletion, and IL-2 regimens. The most common TEAEs, occurring in more than 50% of evaluable subjects, were chills, anemia, hypotension, nausea, pyrexia, and thrombocytopenia.</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IOV-2001 PBL for CLL or SLL</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November 2019, we announced that our investigational new drug application, or IND, for IOV-2001 was approved by the FDA and that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Clinical Trials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TIL in Other Solid Tumor Indications</w:t>
      </w:r>
    </w:p>
    <w:p>
      <w:pPr>
        <w:spacing w:after="0" w:line="225" w:lineRule="exact"/>
        <w:rPr>
          <w:sz w:val="20"/>
          <w:szCs w:val="20"/>
          <w:color w:val="auto"/>
        </w:rPr>
      </w:pPr>
    </w:p>
    <w:p>
      <w:pPr>
        <w:ind w:right="280" w:firstLine="492"/>
        <w:spacing w:after="0" w:line="286" w:lineRule="auto"/>
        <w:rPr>
          <w:sz w:val="20"/>
          <w:szCs w:val="20"/>
          <w:color w:val="auto"/>
        </w:rPr>
      </w:pPr>
      <w:r>
        <w:rPr>
          <w:rFonts w:ascii="Arial" w:cs="Arial" w:eastAsia="Arial" w:hAnsi="Arial"/>
          <w:sz w:val="17"/>
          <w:szCs w:val="17"/>
          <w:color w:val="auto"/>
        </w:rPr>
        <w:t>We are collaborating with MDACC on clinical trials to evaluate TIL therapy in sarcomas, ovarian, colorectal, thyroid, and pancreatic cancers. These trials, NCT03610490 and NCT03449108, began enrolling patients in 2018. Patients in these trials are being treated with LN-145 or LN-145-S1 manufactured by us and TIL manufactured by MDACC.</w:t>
      </w:r>
    </w:p>
    <w:p>
      <w:pPr>
        <w:spacing w:after="0" w:line="165"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We are also collaborating with Yale University on a clinical trial to evaluate TIL therapy in TNBC, which opened for enrollment in 2020. Patients in this trial will be treated with LN-145 manufactured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TIL in Combination with Other Immunotherapy Drugs</w:t>
      </w:r>
    </w:p>
    <w:p>
      <w:pPr>
        <w:spacing w:after="0" w:line="22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Checkpoint inhibitors are a class of immunotherapy drugs that seek to overcome one of cancer’s main defenses against an immune system attack. PD-1 is a checkpoint protein found on immune cells called T cells. It normally acts as a type of “off switch” that helps prevent T cells from attacking other cells in the body. It does this by attaching to PD-L1, a protein found on both normal and cancerous cells, which may then shut down an attack by a T cell. Some cancer cells have large amounts of PD-L1 expressed on their surfaces, which helps them evade T cell attack.</w:t>
      </w:r>
    </w:p>
    <w:p>
      <w:pPr>
        <w:spacing w:after="0" w:line="188"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We provide funding for a clinical trial, NCT03215810, conducted by Moffitt, which seeks to evaluate TIL therapy in combination with the checkpoint inhibitor nivolumab in NSCLC. This study is closed to enrollment. An additional clinical trial, NCT02652455, is being conducted by Moffitt to evaluate TIL therapy in combination with nivolumab in metastatic melanoma. We have also previously collaborated with Moffitt on a clinical trial, NCT01701674, to evaluate TIL therapy in combination with the CTLA-4 checkpoint inhibitor ipilimumab.</w:t>
      </w:r>
    </w:p>
    <w:p>
      <w:pPr>
        <w:spacing w:after="0" w:line="18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In 2019, we entered into a collaboration with Moffitt to fund a Phase 1 trial of lymphodepletion plus TIL therapy with high-dose IL-2 in adolescent and young adult patients with soft tissue sarcoma in clinical trial NCT04052334.</w:t>
      </w:r>
    </w:p>
    <w:p>
      <w:pPr>
        <w:spacing w:after="0" w:line="170"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Under our CRADA, we are collaborating with the NCI on a clinical trial, NCT02621021, to evaluate TIL therapy in combination with the checkpoint inhibitor pembrolizumab in a 170-patient clinical trial in patients with advanced melanoma. Enrollment in this trial is currently suspended.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 Therapy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 cells which mature in the bone marrow. T cells can be distinguished from other white blood cells by T cell receptors present on their cell surface. These receptors contribute to tumor surveillance by helping T cells recognize infected cells as well as cancerous cells. T cells are involved in both sensing and killing infected or cancerous cells, as well as coordinating the activation of other cells in an immune response.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immunotherapy</w:t>
      </w:r>
    </w:p>
    <w:p>
      <w:pPr>
        <w:spacing w:after="0" w:line="225" w:lineRule="exact"/>
        <w:rPr>
          <w:sz w:val="20"/>
          <w:szCs w:val="20"/>
          <w:color w:val="auto"/>
        </w:rPr>
      </w:pPr>
    </w:p>
    <w:p>
      <w:pPr>
        <w:ind w:right="340" w:firstLine="492"/>
        <w:spacing w:after="0" w:line="342" w:lineRule="auto"/>
        <w:rPr>
          <w:sz w:val="20"/>
          <w:szCs w:val="20"/>
          <w:color w:val="auto"/>
        </w:rPr>
      </w:pPr>
      <w:r>
        <w:rPr>
          <w:rFonts w:ascii="Arial" w:cs="Arial" w:eastAsia="Arial" w:hAnsi="Arial"/>
          <w:sz w:val="16"/>
          <w:szCs w:val="16"/>
          <w:color w:val="auto"/>
        </w:rPr>
        <w:t>Despite the progress that has been made over the past several decades, effective treatment of cancer, especially solid tumors, continues to be challenging. Some reasons solid tumors are so difficult to treat are: (i) in many solid tumors, multiple genes (as many</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hundreds or thousands of genes) are mutated, and solid tumors are heterogeneous, (ii) it is not always clear which particular mutations are critical, and (iii) tumors can adapt and find a way to evade treatments that target a single mutation. In addition, the tumor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pacing w:after="0" w:line="176"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believe that adoptive cell therapy, with the use of human cells as therapeutic entities to reengage the immune system, may be a significant advancement in the treatment of cancer. These one-time cellular therapies may avoid the long-term side effects associated with current treatments and have the potential to be effective. We believe TIL therapy, in particular, has the potential to treat solid tumors by increasing the effectiveness and number of a patient’s cancer-specific T cells. TIL therapy is polyclonal, and we believe that it is capable of targeting multiple tumor antigens on cancer cells. Furthermore, the non-myeloablative, or NMA, lymphodepleting chemotherapy administered prior to TIL infusion is capable of suppressing the hostile tumor microenvironment, which we believe will enhance the efficacy of TIL therapy.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Tumor-Infiltrating Lymphocytes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TIL therapy involves the following steps:</w:t>
      </w:r>
    </w:p>
    <w:p>
      <w:pPr>
        <w:spacing w:after="0" w:line="225" w:lineRule="exact"/>
        <w:rPr>
          <w:sz w:val="20"/>
          <w:szCs w:val="20"/>
          <w:color w:val="auto"/>
        </w:rPr>
      </w:pPr>
    </w:p>
    <w:p>
      <w:pPr>
        <w:ind w:left="920" w:hanging="31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Excision: A surgical biopsy is conducted to remove about 1.5 cm of the tumor</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Extraction: The tumor is fragmented and placed in media for TIL to leave the tumor</w:t>
      </w:r>
    </w:p>
    <w:p>
      <w:pPr>
        <w:spacing w:after="0" w:line="9" w:lineRule="exact"/>
        <w:rPr>
          <w:rFonts w:ascii="Arial" w:cs="Arial" w:eastAsia="Arial" w:hAnsi="Arial"/>
          <w:sz w:val="18"/>
          <w:szCs w:val="18"/>
          <w:color w:val="auto"/>
        </w:rPr>
      </w:pPr>
    </w:p>
    <w:p>
      <w:pPr>
        <w:ind w:left="920" w:hanging="318"/>
        <w:spacing w:after="0" w:line="181"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Expansion: TIL are expanded exponentially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yield 10</w:t>
      </w:r>
      <w:r>
        <w:rPr>
          <w:rFonts w:ascii="Arial" w:cs="Arial" w:eastAsia="Arial" w:hAnsi="Arial"/>
          <w:sz w:val="25"/>
          <w:szCs w:val="25"/>
          <w:color w:val="auto"/>
          <w:vertAlign w:val="superscript"/>
        </w:rPr>
        <w:t>9</w:t>
      </w:r>
      <w:r>
        <w:rPr>
          <w:rFonts w:ascii="Arial" w:cs="Arial" w:eastAsia="Arial" w:hAnsi="Arial"/>
          <w:sz w:val="17"/>
          <w:szCs w:val="17"/>
          <w:color w:val="auto"/>
        </w:rPr>
        <w:t xml:space="preserve"> – 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TIL</w:t>
      </w:r>
    </w:p>
    <w:p>
      <w:pPr>
        <w:ind w:left="920" w:right="620" w:hanging="318"/>
        <w:spacing w:after="0" w:line="301"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Preparation and Infusion: The patient receives NMA lymphodepletion to eliminate potentially suppressive tumor microenvironment and maximize engraftment and potential potency of TIL therapy; the patient is infused with their expanded TIL and up to 6 doses of IL-2 to promote activation, proliferation and anti-tumor cytolytic activity of 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107950</wp:posOffset>
            </wp:positionV>
            <wp:extent cx="2914650" cy="317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Currently, our Gen 2 manufacturing process takes 22 days from receipt of the patient’s tumor at the manufacturing facility until shipping of the final TIL product to the institution for infusion of the TIL back into the patient. We currently treat patients with a single infusion of TIL product, although our protocols allow for evaluation of more than one administration of TIL product. After infusion, TIL can potentially infiltrate the tumor microenvironment to eliminate large numbers of cancer cells. TIL can also further proliferate in the body. TIL therapy can potentially overcome several mechanisms of tumor escape to which endogenous T cells may</w:t>
      </w:r>
    </w:p>
    <w:p>
      <w:pPr>
        <w:sectPr>
          <w:pgSz w:w="11900" w:h="16838" w:orient="portrait"/>
          <w:cols w:equalWidth="0" w:num="1">
            <w:col w:w="9880"/>
          </w:cols>
          <w:pgMar w:left="980" w:top="665" w:right="103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 susceptible due to the hostile tumor microenvironment. In September 2020, we reported data at the European Society for Medical Oncology conference highlighting the reinvigoration of TIL during the Gen 2 manufacturing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Clinical Results with TIL in Metastatic Melanoma</w:t>
      </w:r>
    </w:p>
    <w:p>
      <w:pPr>
        <w:spacing w:after="0" w:line="225"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To date, hundreds of metastatic melanoma patients have already been treated with TIL therapy produced locally using different manufacturing methods at different academic institutions and hospitals in the U.S., Europe, Canada, and Israel. At NCI, clinical responses have been relatively consistent in several trials: over 50% of the melanoma patients treated with TIL have an objective response (i.e., tumor regression of 30% or more, as defined by RECIST criteria) and approximately 22-24% of patients have a complete response (tumor regression of 100%) with no evidence of disease remaining after only one administration. Most patients who have had a complete response remained in response in 3-7 years of follow up. Furthermore, patients can respond to TIL therapy regardless of their prior therapies.</w:t>
      </w:r>
    </w:p>
    <w:p>
      <w:pPr>
        <w:spacing w:after="0" w:line="195" w:lineRule="exact"/>
        <w:rPr>
          <w:sz w:val="20"/>
          <w:szCs w:val="20"/>
          <w:color w:val="auto"/>
        </w:rPr>
      </w:pPr>
    </w:p>
    <w:p>
      <w:pPr>
        <w:ind w:firstLine="492"/>
        <w:spacing w:after="0" w:line="283" w:lineRule="auto"/>
        <w:rPr>
          <w:sz w:val="20"/>
          <w:szCs w:val="20"/>
          <w:color w:val="auto"/>
        </w:rPr>
      </w:pPr>
      <w:r>
        <w:rPr>
          <w:rFonts w:ascii="Arial" w:cs="Arial" w:eastAsia="Arial" w:hAnsi="Arial"/>
          <w:sz w:val="16"/>
          <w:szCs w:val="16"/>
          <w:color w:val="auto"/>
        </w:rPr>
        <w:t>In September 2015, Dr. Steven Rosenberg, a recognized pioneer in immuno-oncology and adoptive cell therapy using TIL, presented updated findings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a standard TIL protocol using NMA chemotherapy, with the second group also receiving total body irradiation, or TBI. 54% of the patients treated with TIL therapy achieved an objective response. An objective response occurs when there is a complete remission or a partial remission of the tumor. Out of the 101 patients, 24, or 24%, had experienced a complete remission and 23 of the 24, or 96%, showed ongoing durability of this response at 30 to 47 months following treatment, at the time of publication. Median follow-up time was approximately 40.9 months. Overall survival, or OS, was approximately 80% at 12 months, and median OS had not yet been achieved. Median progression-free survival was approximately 8-10 months. This observation was also presented by</w:t>
      </w:r>
    </w:p>
    <w:p>
      <w:pPr>
        <w:spacing w:after="0" w:line="5"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Dr. Stephanie Goff at the 2016 ASCO meeting and published in the Journal of Clinical Oncology in June 2016. At the ASCO 2018 meeting, Dr. Goff presented updated findings from the trial. Patients that had prior anti PD-1 treatment had an ORR of 20-25%.</w:t>
      </w:r>
    </w:p>
    <w:p>
      <w:pPr>
        <w:spacing w:after="0" w:line="13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Overall Survival of patients in TIL ± TBI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154305</wp:posOffset>
            </wp:positionV>
            <wp:extent cx="4269105" cy="2931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91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i w:val="1"/>
          <w:iCs w:val="1"/>
          <w:color w:val="auto"/>
        </w:rPr>
        <w:t>Source: Goff, S.L. et al. Randomized, Prospective Evaluation Comparing Intensity of Lymphodepletion Before Adoptive Transfer of Tumor-Infiltrating Lymphocytes for Patients with Metastatic Melanoma. Journal of Clinical Oncology, 34(20), 2389-2397.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with TIL in Other Solid Tumor Indications</w:t>
      </w:r>
    </w:p>
    <w:p>
      <w:pPr>
        <w:spacing w:after="0" w:line="22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 xml:space="preserve">Under our CRADA with the NCI, we are providing research, development and clinical funding for the development of unmodified TIL therapy for a variety of solid tumor indications, including HPV-associated cancers (cervical, head and neck), bladder, breast, and lung cancers. The NCI has an ongoing clinical trial involving TIL therapy to treat advanced HPV-positive cervical cancer. Data from this trial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2015 and in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in April 2017 and was updated at the ASCO meeting in 2018. Out of 18 cervical cancer patients treated with HPV-TIL, two experienced complete remissions reported as ongoing at 53 and 67 months. Another three patients experienced a three-month partial response. Additionally, the NCI has ongoing trials to treat patients using TIL with colorectal cancer, gastric cancer, pancreatic cancer, hepatocellular carcinoma and cholangiocarcinoma and lung cancer. Depending on results from the research and development and clinical trials conducted at the NCI under our CRADA, we may pursue the development and regulatory approval of TIL therapy for additional indications.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 xml:space="preserve">We continue to enroll patients in our ongoing clinical programs and we closely monitor our studies to learn about all safety events occurring, as described elsewhere in this Annual Report on Form 10-K. Some of these events may be associated with TIL therapy. Historically, the largest set of data for TIL therapy was generated by the NCI as part of their multiple clinical studies. Per publications from the NCI, toxicities or adverse events during TIL therapy have been mostly associated with either the lymphodepletion regimen or the high-dose IL-2 therapy given after TIL infusion as described by Goff et al.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June 2016. The standard approach to the administration of high-dose IL-2 is to continue dosing until patients can no longer tolerate treatment. Our trials, however, have limited administration of IL-2 to up to 6 doses.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Generation TIL Product Strategies</w:t>
      </w:r>
    </w:p>
    <w:p>
      <w:pPr>
        <w:spacing w:after="0" w:line="229" w:lineRule="exact"/>
        <w:rPr>
          <w:sz w:val="20"/>
          <w:szCs w:val="20"/>
          <w:color w:val="auto"/>
        </w:rPr>
      </w:pPr>
    </w:p>
    <w:p>
      <w:pPr>
        <w:ind w:right="20" w:firstLine="492"/>
        <w:spacing w:after="0" w:line="311" w:lineRule="auto"/>
        <w:rPr>
          <w:sz w:val="20"/>
          <w:szCs w:val="20"/>
          <w:color w:val="auto"/>
        </w:rPr>
      </w:pPr>
      <w:r>
        <w:rPr>
          <w:rFonts w:ascii="Arial" w:cs="Arial" w:eastAsia="Arial" w:hAnsi="Arial"/>
          <w:sz w:val="16"/>
          <w:szCs w:val="16"/>
          <w:color w:val="auto"/>
        </w:rPr>
        <w:t>We are developing next generation TIL products using owned and licensed intellectual property rights, in some cases in combination with collaborators such as Cellectis and CHUM, as described elsewhere in this Annual Report on Form 10-K. These products include both genetically-modified TIL and PD-1 selected TIL therapies. We are also developing PBL therapy for CLL and SLL.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Manufacturing, and Manufacturing Agreements</w:t>
      </w:r>
    </w:p>
    <w:p>
      <w:pPr>
        <w:spacing w:after="0" w:line="22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Our first generation TIL manufacturing process was based on the NCI’s original manufacturing and processing of TIL, which we modified so that it could be reproduced in a cGMP environment. This first-generation process expanded the number of TIL over a 5 to 6 week period and produced a non-cryopreserved product for administration to the patient. Our Gen 2 TIL manufacturing process, which was developed by our internal research and process development team, shortens the manufacturing process to 22 days while allowing for a cryopreserved product. The Gen 2 process is currently in use in almost all of our trials in which we manufacture TIL products, including lifileucel and LN-145. We have selected Gen 2 for product registration and ongoing and future TIL clinical development, although we continue to develop new TIL manufacturing processes. We have developed a third-generation manufacturing process, known as Gen 3 which has a shorter manufacturing process than Gen 2. We are testing Gen 3 in multiple clinical trials, as described elsewhere in this Annual Report on Form 10-K. We have also developed a manufacturing process that specifically selects for TIL that are PD-1 positive. This product is known as LN-145-S1.</w:t>
      </w:r>
    </w:p>
    <w:p>
      <w:pPr>
        <w:spacing w:after="0" w:line="185"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color w:val="auto"/>
        </w:rPr>
        <w:t>The Gen 2 manufacturing process begins with the collection of the patient’s tumor, which is then sent to a central manufacturing facility, where the T cells are isolated. These cells are stimulated to proliferate, then propagated in cell culture flasks until sufficient cells are available for infusion back into the patient. The TIL is then washed and put in media suitable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cryopreservation and infusion. The final product is shipped back to the clinical center where it can be administered to the patient. The following diagram illustrates our Gen 2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117475</wp:posOffset>
            </wp:positionV>
            <wp:extent cx="5897880" cy="269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9788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We have completed most construction and commissioning activities for our own manufacturing facility to manufacture TIL product using the Gen 2 manufacturing process. In addition, we have entered into MSAs with WuXi, Moffitt, and PharmaCell, which was acquired by Lonza, pursuant to which they have agreed to manufacture, package, ship and handle quality assurance and quality control of certain clinical trials for our TIL products working closely with our employees. We have two suites for clinical manufacturing at WuXi, and one of two suites is also available to manufacture TIL for commercial use. Cell processing activities are conducted at all facilities under cGMP, using qualified equipment and materials. We believe that all materials and components utilized in the production of the final TIL product are readily available from qualified suppliers. We expect to rely on our own manufacturing facility and these CMOs to meet anticipated clinical trial and if approved, commercial demands. In the future, we may rely on them or other third parties, or our own manufacturing capabilities for the manufacturing and processing of TIL-based product candidates for our clinical trials.</w:t>
      </w:r>
    </w:p>
    <w:p>
      <w:pPr>
        <w:spacing w:after="0" w:line="166"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To meet projected needs for commercial quantities of TIL products, we have built our own commercial manufacturing facility, which is expected to begin clinical manufacturing of TIL products in 2021. Developing our own manufacturing capabilities may be costlier than we anticipate or result in significant delays. If we are unable to develop our own manufacturing capabilities, we may need to rely on CMOs, including both current and alternate suppliers, to ensure sufficient capacity is available for commercial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Designations</w:t>
      </w:r>
    </w:p>
    <w:p>
      <w:pPr>
        <w:spacing w:after="0" w:line="229"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During 2015, we received an Orphan Drug Designation, or ODD, for lifileucel in the U.S. to treat malignant melanoma stages IIB-IV. If approved, an ODD provides seven years of market exclusivity in the U.S., subject to certain limited exceptions. However, an ODD does not convey any advantage in, or shorten the duration of, the regulatory review or approval process. The benefits and limitations of ODD are described in more detail elsewhere in this Annual Report on Form 10-K.</w:t>
      </w:r>
    </w:p>
    <w:p>
      <w:pPr>
        <w:spacing w:after="0" w:line="171"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During 2018, we received an ODD from the FDA for lifileucel for the treatment of cervical cancer with a tumor size of greater than 2 cm in diameter.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Designations</w:t>
      </w:r>
    </w:p>
    <w:p>
      <w:pPr>
        <w:spacing w:after="0" w:line="229" w:lineRule="exact"/>
        <w:rPr>
          <w:sz w:val="20"/>
          <w:szCs w:val="20"/>
          <w:color w:val="auto"/>
        </w:rPr>
      </w:pPr>
    </w:p>
    <w:p>
      <w:pPr>
        <w:ind w:right="300" w:firstLine="492"/>
        <w:spacing w:after="0" w:line="311" w:lineRule="auto"/>
        <w:rPr>
          <w:sz w:val="20"/>
          <w:szCs w:val="20"/>
          <w:color w:val="auto"/>
        </w:rPr>
      </w:pPr>
      <w:r>
        <w:rPr>
          <w:rFonts w:ascii="Arial" w:cs="Arial" w:eastAsia="Arial" w:hAnsi="Arial"/>
          <w:sz w:val="16"/>
          <w:szCs w:val="16"/>
          <w:color w:val="auto"/>
        </w:rPr>
        <w:t>In August 2017, we announced that the FDA had granted Fast Track designation for lifileucel for the treatment of advanced melanoma. The FDA’s Fast Track process is designed to facilitate the development and expedite the review of drugs that treat serious conditions and fill an unmet medical need. Fast Track designation allows more frequent meetings and communications with the FDA</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 discuss the drug’s development plans and review process. The Fast Track designation also allows for the possibility for rolling review of a BLA by FDA, and also potential eligibility (if criteria are met) for accelerated approval. In 2019, we announced that the FDA had granted Fast Track designation for lifileucel in the treatment of metastatic cervical cancer.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 Advanced Therapy Designation</w:t>
      </w:r>
    </w:p>
    <w:p>
      <w:pPr>
        <w:spacing w:after="0" w:line="229"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In October 2018, we announced that the FDA had granted RMAT designation for lifileucel for the treatment of patients with metastatic melanoma. The RMAT designation is based on data provided to the FDA from our C-144-01 trial.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Breakthrough Therapy Designation</w:t>
      </w:r>
    </w:p>
    <w:p>
      <w:pPr>
        <w:spacing w:after="0" w:line="22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May 2019, we announced that the FDA had granted Breakthrough Therapy Designation, or BTD, for lifileucel for the treatment of patients with metastatic cervical cancer. The BTD was granted based on data provided to the FDA from our C-145-04 trial. Under a BTD, the FDA may take actions that help expedite the development and review of the application for a product candidate, including seeking to provide timely advice and interactive communications to the sponsor with intensive guidance during development, to help the sponsor design and conduct a more efficient development program. Product candidates with BTD may be suitable for alternative clinical trial designs when scientifically appropriate, which may result in smaller trials or more efficient trials that require less time to complete. BTD also allows the sponsor to file sections of the BLA on an ongoing basis for rolling review where the FDA may consider beginning review portions of a marketing application before the full submission is complete. In addition, BTD status allows for the potential to request priority review of our BLA at the time of BLA submission if supported by clinical data. The clinical evidence needed to support breakthrough designation is preliminary, and the FDA has authority to rescind a BTD if a product candidate no longer meets the qualifying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We currently have limited sales, marketing or commercial product distribution capabilities and as a company we have no experience in commercializing cell therapy products. We are continuing to build our U.S. commercial and medical affairs infrastructure and intend to build our own global commercialization capabilities over time in certain geographies for our TIL product candidates including lifileucel for metastatic melanoma and cervical cancer. If any of our TIL product candidates are approved, we expect to commercialize those products in the U.S. with an experienced sales, marketing, payer access and distribution organization including a national specialty oncology sales force. We have started and continue to build a dedicated team of medical affairs professionals to help educate health professionals about our TIL therapy and to assist in any training necessary for individual centers to administer our therapy. Outside the U.S., we are in the process of defining our regulatory and commercial strategy. As additional product candidates advance through our pipeline, our commercial plans will evolve as we consider elements such as the market potential.</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five primary areas of our pre-launch efforts include:</w:t>
      </w:r>
    </w:p>
    <w:p>
      <w:pPr>
        <w:spacing w:after="0" w:line="225" w:lineRule="exact"/>
        <w:rPr>
          <w:sz w:val="20"/>
          <w:szCs w:val="20"/>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center engagement for commercial launch;</w:t>
      </w:r>
    </w:p>
    <w:p>
      <w:pPr>
        <w:spacing w:after="0" w:line="23" w:lineRule="exact"/>
        <w:rPr>
          <w:rFonts w:ascii="Arial" w:cs="Arial" w:eastAsia="Arial" w:hAnsi="Arial"/>
          <w:sz w:val="18"/>
          <w:szCs w:val="18"/>
          <w:color w:val="auto"/>
        </w:rPr>
      </w:pPr>
    </w:p>
    <w:p>
      <w:pPr>
        <w:ind w:left="840" w:right="440" w:hanging="319"/>
        <w:spacing w:after="0" w:line="250"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a close collaboration with healthcare professionals, or HCPs, who will be handling or administering our product;</w:t>
      </w: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excellence by us in provision of our product;</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communication with payors;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 patient-centric organization</w:t>
      </w:r>
    </w:p>
    <w:p>
      <w:pPr>
        <w:spacing w:after="0" w:line="211" w:lineRule="exact"/>
        <w:rPr>
          <w:sz w:val="20"/>
          <w:szCs w:val="20"/>
          <w:color w:val="auto"/>
        </w:rPr>
      </w:pPr>
    </w:p>
    <w:p>
      <w:pPr>
        <w:ind w:right="120" w:firstLine="492"/>
        <w:spacing w:after="0" w:line="308" w:lineRule="auto"/>
        <w:rPr>
          <w:sz w:val="20"/>
          <w:szCs w:val="20"/>
          <w:color w:val="auto"/>
        </w:rPr>
      </w:pPr>
      <w:r>
        <w:rPr>
          <w:rFonts w:ascii="Arial" w:cs="Arial" w:eastAsia="Arial" w:hAnsi="Arial"/>
          <w:sz w:val="17"/>
          <w:szCs w:val="17"/>
          <w:color w:val="auto"/>
        </w:rPr>
        <w:t>To date, in the U.S., lifileucel has been administered in 20 centers for melanoma and 17 centers for cervical cancer. We anticipate that centers with prior TIL experience will be among the initial targets for launch upon approval, as well as other centers.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Intellectual property is of importance in our field and in biotechnology generally. We seek to protect and enhance proprietary technology, inventions, and improvements that are commercially important to the development of our business by seeking,</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maintaining, and defending patent rights, whether developed internally or licensed from third parties. We also plan to rely on regulatory protection afforded through ODDs, available regulatory exclusivities and patent term extensions where available. To achieve this objective, a strategic focus for us has been to develop our own intellectual property, while also identifying and licensing patents that provide protection and serve as an optimal platform to enhance our intellectual property and technology base. We expect to further develop our patent portfolio as a strategic focus in 2021.</w:t>
      </w:r>
    </w:p>
    <w:p>
      <w:pPr>
        <w:spacing w:after="0" w:line="188"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own more than twenty granted or allowed U.S. and international patents related to our Gen 2 TIL manufacturing process, including patents directed to compositions and methods of treatment in a broad range of cancers, such as U.S. Patent Nos. 10,130,659, 10,166,257, 10,272,113, 10,363,273, 10,398,734, 10,420,799, 10,463,697, 10,537,595, 10,646,517, 10,653,723, 10,693,330, 10,695,372, 10,894,063, and 10,905,718. We anticipate that the terms of these patents related to Gen 2 manufacturing processes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License Agreements</w:t>
      </w:r>
    </w:p>
    <w:p>
      <w:pPr>
        <w:spacing w:after="0" w:line="229"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Currently, preclinical research and development is conducted primarily at our own internal research and development laboratory in Tampa, Florida, and additionally with the NCI, Moffitt, and MDACC, as described below. We also have entered into preclinical collaborations with MDACC. We sponsor our own clinical trials and also collaborate on investigator-sponsored clinical trials with the NCI, Moffitt, and MDACC.</w:t>
      </w:r>
    </w:p>
    <w:p>
      <w:pPr>
        <w:spacing w:after="0" w:line="187"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color w:val="auto"/>
        </w:rPr>
        <w:t>In addition, we hold exclusive, co-exclusive, and non-exclusive licenses to certain patent and other intellectual property rights with the National Institutes of Health, or NIH, an agency of the U.S. Public Health Service within the Department of Health and Human Services, Moffitt, MDACC, Novartis, and Cellectis as described 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w:t>
      </w:r>
    </w:p>
    <w:p>
      <w:pPr>
        <w:spacing w:after="0" w:line="225" w:lineRule="exact"/>
        <w:rPr>
          <w:sz w:val="20"/>
          <w:szCs w:val="20"/>
          <w:color w:val="auto"/>
        </w:rPr>
      </w:pPr>
    </w:p>
    <w:p>
      <w:pPr>
        <w:ind w:right="400" w:firstLine="492"/>
        <w:spacing w:after="0" w:line="308" w:lineRule="auto"/>
        <w:rPr>
          <w:sz w:val="20"/>
          <w:szCs w:val="20"/>
          <w:color w:val="auto"/>
        </w:rPr>
      </w:pPr>
      <w:r>
        <w:rPr>
          <w:rFonts w:ascii="Arial" w:cs="Arial" w:eastAsia="Arial" w:hAnsi="Arial"/>
          <w:sz w:val="17"/>
          <w:szCs w:val="17"/>
          <w:color w:val="auto"/>
        </w:rPr>
        <w:t>In August 2011, we signed a five-year CRADA with the NCI to work with Dr. Steven Rosenberg on developing adoptive cell immunotherapies that are designed to destroy metastatic melanoma cells using a patient’s tumor infiltrating lymphocytes.</w:t>
      </w:r>
    </w:p>
    <w:p>
      <w:pPr>
        <w:spacing w:after="0" w:line="146" w:lineRule="exact"/>
        <w:rPr>
          <w:sz w:val="20"/>
          <w:szCs w:val="20"/>
          <w:color w:val="auto"/>
        </w:rPr>
      </w:pPr>
    </w:p>
    <w:p>
      <w:pPr>
        <w:ind w:right="480" w:firstLine="492"/>
        <w:spacing w:after="0" w:line="263" w:lineRule="auto"/>
        <w:rPr>
          <w:sz w:val="20"/>
          <w:szCs w:val="20"/>
          <w:color w:val="auto"/>
        </w:rPr>
      </w:pPr>
      <w:r>
        <w:rPr>
          <w:rFonts w:ascii="Arial" w:cs="Arial" w:eastAsia="Arial" w:hAnsi="Arial"/>
          <w:sz w:val="18"/>
          <w:szCs w:val="18"/>
          <w:color w:val="auto"/>
        </w:rPr>
        <w:t>In January 2015, we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84"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In August 2016, we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76"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Pursuant to the terms of the CRADA, as amended, we are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where we hold the investigational new drug application for such clinical trial. The extended CRADA has a five-year term expiring in August 2021. We or the NCI may unilaterally terminate the CRADA for any reason or for no reason at any time by providing written notice at least 60 days before the desired termination date.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Effective October 5, 2011, we entered into an Exclusive Patent License Agreement, or the Patent License Agreement, with the NIH, an agency of the U.S. Public Health Service within the Department of Health and Human Services, which was subsequently amended on February 9, 2015 and October 2,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us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We anticipate making a milestone payment in conjunction with the submission of a BLA for any of our product candidates covered by the Patent License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On February 10, 2015, we entered into an exclusive patent license Agreement, or the Exclusive Patent License Agreement, with the NIH under which we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we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In December 2016, we entered into a new three-year Sponsored Research Agreement with H. Lee Moffitt Cancer Center, or Moffitt, which expired in December 2019. In June 2020, we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Further, we entered into a clinical grant agreement with Moffitt in December 2016 under which we provide support for an ongoing clinical trial at Moffitt that combines TIL therapy with nivolumab for the treatment of patients with metastatic melanoma. In June 2017, we entered into a second clinical grant agreement with Moffitt to support a new clinical trial at Moffitt that combines TIL therapy with nivolumab for the treatment of patients with non-small cell lung cancer, under which we obtained a non-exclusive, royalty-free license to any new Moffitt inventions made in the performance of the agreement. Under both clinical grant agreements with Moffit, we have non-exclusive rights to clinical data arising from the respective clinical trials.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71"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Pursuant to the First Moffitt License, we paid an upfront licensing fee in the amount of $0.1 million. A patent issuance fee will also be payable under the First Moffitt License,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preparation, filing, maintenance and prosecution of the patent applications and patents covered by the First Moffitt License related to the treatment of any cancers in the U.S., Europe and Japan and in other countries designated by us in agreement with Moffitt.</w:t>
      </w:r>
    </w:p>
    <w:p>
      <w:pPr>
        <w:spacing w:after="0" w:line="146"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entered into a license agreement with Moffitt in May 2018, or the Second Moffitt License, under which we received a license to Moffitt’s rights to patent-pending technologies related to the use of 4-1BB agonists in conjunction with TIL manufacturing processes and therapies. We continue to develop TIL therapies using a 4-1BB agonist in manufacturing in conjunction with M.D. Anderson Cancer Center. Pursuant to the Second Moffitt License, we paid an upfront licensing fee in the amount of $0.1 million in 2018. An annual license maintenance fee will be also payable commencing on the first anniversary of the effective date. In addition, we agreed to pay an annual commercial use payment for each indication for which a first sale has occurred, which in the aggregate amounts to up to $0.4 million a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Cancer Center</w:t>
      </w:r>
    </w:p>
    <w:p>
      <w:pPr>
        <w:spacing w:after="0" w:line="225" w:lineRule="exact"/>
        <w:rPr>
          <w:sz w:val="20"/>
          <w:szCs w:val="20"/>
          <w:color w:val="auto"/>
        </w:rPr>
      </w:pPr>
    </w:p>
    <w:p>
      <w:pPr>
        <w:ind w:right="100" w:firstLine="492"/>
        <w:spacing w:after="0" w:line="268" w:lineRule="auto"/>
        <w:rPr>
          <w:sz w:val="20"/>
          <w:szCs w:val="20"/>
          <w:color w:val="auto"/>
        </w:rPr>
      </w:pPr>
      <w:r>
        <w:rPr>
          <w:rFonts w:ascii="Arial" w:cs="Arial" w:eastAsia="Arial" w:hAnsi="Arial"/>
          <w:sz w:val="17"/>
          <w:szCs w:val="17"/>
          <w:color w:val="auto"/>
        </w:rPr>
        <w:t>On April 2017, we entered into a Strategic Alliance Agreement, or the SAA, with MDACC under which we and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 In May 2017, we made a prepayment of $1.4 million under this agreement. In light of the disease caused by the novel coronavirus, SARS-CoV-2, which was declared a public health emergency on January 31, 2020, under section 319 of the Public Health Service Act (42 U.S.C. 247d) by the Secretary of Health and Human Services, and which we refer to herein as the COVID-19 pandemic, MDACC temporarily suspended their research programs and decommissioned their research labs, and as a result, enrollment in our MDACC-sponsored studies under the SAA was temporarily paused in the first half 2020, but has since been restarted.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WuXi</w:t>
      </w:r>
    </w:p>
    <w:p>
      <w:pPr>
        <w:spacing w:after="0" w:line="225"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In November 2016, we entered into a three-year manufacturing and services agreement, or MSA, with WuXi pursuant to which WuXi agreed to provide manufacturing and other services, which has since been amended and assigned to our subsidiary Iovance Biotherapeutics Manufacturing LLC. Under the agreement, we entered into two statements of work for two cGMP manufacturing suites to be established and operated by WuXi for us, and both of the suites are expected to be capable of being used for the commercial manufacturing of our products. The statements of work for the first suites were amended in 2019 and September 2020, and the second suite was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corresponding fixed quarterly fees upon written notice from us of 30 and 90 days for the first and second dedicated suites, respectively. The terms of the related statements of work for the first and second dedicated manufacturing suites currently extend to August 2022 and June 2021,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Cellectis</w:t>
      </w:r>
    </w:p>
    <w:p>
      <w:pPr>
        <w:spacing w:after="0" w:line="22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2018, we entered into a preclinical research collaboration with Cellectis S.A., or Cellectis, a clinical-stage biopharmaceutical company, to investigate TALEN for genetic editing in conjunction with TIL therapy. In January 2020, we entered into a research collaboration and exclusive worldwide license agreement whereby we licensed gene-editing technology from Cellectis, in order to develop TIL therapies that have been genetically edited. Financial terms of the license include development, regulatory and sales milestone payments from us to Cellectis, as well as royalty payments based on net sales of TALEN-modified TIL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In January 2020, we obtained a license from Novartis Pharma AG, or Novartis, to develop and commercialize an antibody cytokine engrafted protein, which we refer to as IOV-3001. Under the agreement, we have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biotechnology and pharmaceutical industries put significant resources in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University Hospital at Herlev, and the University of Manchester. While these universities and public and private research institutions primarily have educational objectives, they may develop proprietary technologies that lead to other FDA-approved therapies or that secure patent protection. We anticipate that we will face possibly increasing competition as new drugs and therapies enter the market and advanced technologies become available.</w:t>
      </w:r>
    </w:p>
    <w:p>
      <w:pPr>
        <w:spacing w:after="0" w:line="185"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Due to the promising clinical therapeutic effect of their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OncoSec Medical, Instil Bio, Achilles Therapeutics, WindMIL Therapeutics, Seagen,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Ziopharm Therapeutics, Marker Therapeutics, and others. To date, these technologies have been primarily applicable to hematologic malignancies, but their application in solid tumor indications may create competition with us.</w:t>
      </w:r>
    </w:p>
    <w:p>
      <w:pPr>
        <w:spacing w:after="0" w:line="181"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Competition for late-stage melanoma patients may come, if approved, from several therapies currently under development. In 2020, Idera Pharmaceuticals reported results from an ongoing Phase 1/2 clinical trial of the TLR9 agonist tilsotolimod in combination with ipilimumab indicating an ORR of 22% in 53 melanoma patients who had previously received anti-PD-1 therapy. Idera Pharmaceuticals is currently conducting a Phase 3 trial of tilsotolimod in combination with ipilimumab in melanoma patients refractory to anti-PD-1 therapy. In 2020, OncoSec Medical announced preliminary results from an ongoing Phase 2 trial of intratumoral electroporation of plasmid IL-12, or tavokinogene telseplasmid, in combination with pembrolizumab, reporting an ORR of 30% in 54 melanoma patients. Checkmate Pharmaceuticals reported preliminary results from an ongoing Phase 1b clinical trial of the TLR9 agonist CMP-001 in combination with pembrolizumab indicating an ORR of 25% in 82 patients who had received prior anti-PD-1 therapy. Competition for late-stage cervical cancer patients also may arise from therapies under development by companies such as Seagen, which reported an ORR of 24% in 2020 from an ongoing trial of cervical cancer patients who progressed on standard therapy. We may also face competition for NSCLC patients from a large number of therapies that target specific, emerging driver mutations in populations that overlap with our patient populations of interest.</w:t>
      </w:r>
    </w:p>
    <w:p>
      <w:pPr>
        <w:spacing w:after="0" w:line="179"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While other types of cancer immunotherapies may potentially be used in combination with TIL, such as checkpoint inhibitors, to enhance efficacy, we also expect substantial direct competition from other types of immunotherapies. We face competition from immunotherapy treatments offered by companies such as Amgen, AstraZeneca, Bristol-Myers Squibb, Merck, Pfizer, Regeneron, and Roche. Immunotherapies are also being pursued by several biotechnology companies as well as by large pharmaceutical companies. We cannot predict whether other types of immunotherapies may be enhanced and show greater efficacy. As a result, we may have direct and substantial competition from such immunotherapies in the future.</w:t>
      </w:r>
    </w:p>
    <w:p>
      <w:pPr>
        <w:spacing w:after="0" w:line="178" w:lineRule="exact"/>
        <w:rPr>
          <w:sz w:val="20"/>
          <w:szCs w:val="20"/>
          <w:color w:val="auto"/>
        </w:rPr>
      </w:pPr>
    </w:p>
    <w:p>
      <w:pPr>
        <w:ind w:right="20" w:firstLine="537"/>
        <w:spacing w:after="0" w:line="271" w:lineRule="auto"/>
        <w:rPr>
          <w:sz w:val="20"/>
          <w:szCs w:val="20"/>
          <w:color w:val="auto"/>
        </w:rPr>
      </w:pPr>
      <w:r>
        <w:rPr>
          <w:rFonts w:ascii="Arial" w:cs="Arial" w:eastAsia="Arial" w:hAnsi="Arial"/>
          <w:sz w:val="17"/>
          <w:szCs w:val="17"/>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right="260" w:firstLine="537"/>
        <w:spacing w:after="0" w:line="311"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64"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78" w:lineRule="exact"/>
        <w:rPr>
          <w:sz w:val="20"/>
          <w:szCs w:val="20"/>
          <w:color w:val="auto"/>
        </w:rPr>
      </w:pPr>
    </w:p>
    <w:p>
      <w:pPr>
        <w:ind w:firstLine="537"/>
        <w:spacing w:after="0" w:line="288" w:lineRule="auto"/>
        <w:rPr>
          <w:sz w:val="20"/>
          <w:szCs w:val="20"/>
          <w:color w:val="auto"/>
        </w:rPr>
      </w:pPr>
      <w:r>
        <w:rPr>
          <w:rFonts w:ascii="Arial" w:cs="Arial" w:eastAsia="Arial" w:hAnsi="Arial"/>
          <w:sz w:val="16"/>
          <w:szCs w:val="16"/>
          <w:color w:val="auto"/>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168" w:lineRule="exact"/>
        <w:rPr>
          <w:sz w:val="20"/>
          <w:szCs w:val="20"/>
          <w:color w:val="auto"/>
        </w:rPr>
      </w:pPr>
    </w:p>
    <w:p>
      <w:pPr>
        <w:ind w:right="740" w:firstLine="492"/>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U.S. generally involves the following:</w:t>
      </w:r>
    </w:p>
    <w:p>
      <w:pPr>
        <w:spacing w:after="0" w:line="170" w:lineRule="exact"/>
        <w:rPr>
          <w:sz w:val="20"/>
          <w:szCs w:val="20"/>
          <w:color w:val="auto"/>
        </w:rPr>
      </w:pPr>
    </w:p>
    <w:p>
      <w:pPr>
        <w:ind w:left="840" w:right="760" w:hanging="319"/>
        <w:spacing w:after="0" w:line="291"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performed in accordance with the FDA’s current Good Laboratory Practices, or GLP, regulation, as well as manufacturing development and formulation studies;</w:t>
      </w:r>
    </w:p>
    <w:p>
      <w:pPr>
        <w:ind w:left="840" w:right="4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ind w:left="840" w:right="16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or centrally, before the trial is begun;</w:t>
      </w:r>
    </w:p>
    <w:p>
      <w:pPr>
        <w:ind w:left="840" w:right="60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biologic product candidate for its intended purpose;</w:t>
      </w: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pivotal clinical trial(s);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9" w:lineRule="exact"/>
        <w:rPr>
          <w:rFonts w:ascii="Arial" w:cs="Arial" w:eastAsia="Arial" w:hAnsi="Arial"/>
          <w:sz w:val="18"/>
          <w:szCs w:val="18"/>
          <w:color w:val="auto"/>
        </w:rPr>
      </w:pPr>
    </w:p>
    <w:p>
      <w:pPr>
        <w:jc w:val="both"/>
        <w:ind w:left="840" w:right="200" w:hanging="319"/>
        <w:spacing w:after="0" w:line="323"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w:t>
      </w:r>
    </w:p>
    <w:p>
      <w:pPr>
        <w:sectPr>
          <w:pgSz w:w="11900" w:h="16838" w:orient="portrait"/>
          <w:cols w:equalWidth="0" w:num="1">
            <w:col w:w="9920"/>
          </w:cols>
          <w:pgMar w:left="980" w:top="665" w:right="99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right="60"/>
        <w:spacing w:after="0" w:line="258" w:lineRule="auto"/>
        <w:rPr>
          <w:sz w:val="20"/>
          <w:szCs w:val="20"/>
          <w:color w:val="auto"/>
        </w:rPr>
      </w:pPr>
      <w:r>
        <w:rPr>
          <w:rFonts w:ascii="Arial" w:cs="Arial" w:eastAsia="Arial" w:hAnsi="Arial"/>
          <w:sz w:val="18"/>
          <w:szCs w:val="18"/>
          <w:color w:val="auto"/>
        </w:rPr>
        <w:t>preserve the biological product’s continued safety, purity and potency, and of selected clinical sites to assess compliance with current Good Clinical Practices, or cGCPs; and</w:t>
      </w:r>
    </w:p>
    <w:p>
      <w:pPr>
        <w:spacing w:after="0" w:line="1" w:lineRule="exact"/>
        <w:rPr>
          <w:sz w:val="20"/>
          <w:szCs w:val="20"/>
          <w:color w:val="auto"/>
        </w:rPr>
      </w:pPr>
    </w:p>
    <w:p>
      <w:pPr>
        <w:ind w:left="840" w:right="100" w:hanging="319"/>
        <w:spacing w:after="0" w:line="26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U.S., which must be updated periodically when changes are made.</w:t>
      </w:r>
    </w:p>
    <w:p>
      <w:pPr>
        <w:spacing w:after="0" w:line="185" w:lineRule="exact"/>
        <w:rPr>
          <w:sz w:val="20"/>
          <w:szCs w:val="20"/>
          <w:color w:val="auto"/>
        </w:rPr>
      </w:pPr>
    </w:p>
    <w:p>
      <w:pPr>
        <w:ind w:right="60" w:firstLine="537"/>
        <w:spacing w:after="0" w:line="269" w:lineRule="auto"/>
        <w:rPr>
          <w:sz w:val="20"/>
          <w:szCs w:val="20"/>
          <w:color w:val="auto"/>
        </w:rPr>
      </w:pPr>
      <w:r>
        <w:rPr>
          <w:rFonts w:ascii="Arial" w:cs="Arial" w:eastAsia="Arial" w:hAnsi="Arial"/>
          <w:sz w:val="17"/>
          <w:szCs w:val="17"/>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trials due to safety concerns or non-compliance. Submission of an IND therefore may or may not result in FDA authorization to begin a clinical trial.</w:t>
      </w:r>
    </w:p>
    <w:p>
      <w:pPr>
        <w:spacing w:after="0" w:line="179"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pacing w:after="0" w:line="187"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7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Furthermore, an independent IRB for each site proposing to conduct the clinical trial or centrally must review and approve the plan for any clinical trial, its informed consent form and any subject communications, before the clinical trial begins at that site, and upon amendment of the trial, and must monitor the study until completed. An IRB considers, among other things, whether the risks to individuals participating in the trials are minimized and are reasonable in relation to anticipated benefits and whether the planned human subject protections are adequate. Informed consent must be received from each study subject prior to participation in a clinical study. Progress reports detailing the results of the clinical trials must also be submitted at least annually to the FDA and the IRB and more frequently if serious adverse events or other significant safety information is found.</w:t>
      </w:r>
    </w:p>
    <w:p>
      <w:pPr>
        <w:spacing w:after="0" w:line="17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that the trial is not being conducted in accordance with regulatory or IRB requirements, or that the trial is unlikely to meet its stated objectives. Sponsors may also discontinue studies or development programs for many reasons, including changing business objectives. Some studies also include oversight by an independent group of qualified experts organized by the clinical study sponsor, known as a data safety monitoring board, or DSMB, which provides recommendations and assessments for whether or not a study should move forward at designated check points based on access to certain data from the study. Following a review by a DSMB, the study may be halted if there is an unacceptable safety risk for subjects or on other grounds, such as failure to demonstrate efficacy. There are also requirements governing the reporting of ongoing clinical studies and clinical study results to public registries. For instance, we are required to register certain clinical trials and post the results of certain completed clinical trials on a government-sponsored database, ClinicalTrials.gov, within specified timeframes, and also to certify to FDA our compliance with these requirements when we make FDA submissions. Failure to make required ClinicalTrials.gov submissions, submitting false or misleading information to ClinicalTrials.gov, or making false certifications to FDA could result in enforcement actions, including civil money penalties and adverse publicity.</w:t>
      </w:r>
    </w:p>
    <w:p>
      <w:pPr>
        <w:spacing w:after="0" w:line="186" w:lineRule="exact"/>
        <w:rPr>
          <w:sz w:val="20"/>
          <w:szCs w:val="20"/>
          <w:color w:val="auto"/>
        </w:rPr>
      </w:pPr>
    </w:p>
    <w:p>
      <w:pPr>
        <w:ind w:right="20" w:firstLine="492"/>
        <w:spacing w:after="0" w:line="308" w:lineRule="auto"/>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 Although these are the typical phases for progression, and characteristics of the phases of a clinical development program, certain</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expedited programs allow for variations that could support a marketing application based on surrogate endpoints, intermediate clinical endpoints, or single-arm as opposed to comparative or placebo-controlled studies.</w:t>
      </w:r>
    </w:p>
    <w:p>
      <w:pPr>
        <w:spacing w:after="0" w:line="170" w:lineRule="exact"/>
        <w:rPr>
          <w:sz w:val="20"/>
          <w:szCs w:val="20"/>
          <w:color w:val="auto"/>
        </w:rPr>
      </w:pPr>
    </w:p>
    <w:p>
      <w:pPr>
        <w:ind w:left="840" w:hanging="319"/>
        <w:spacing w:after="0" w:line="25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 w:lineRule="exact"/>
        <w:rPr>
          <w:rFonts w:ascii="Arial" w:cs="Arial" w:eastAsia="Arial" w:hAnsi="Arial"/>
          <w:sz w:val="18"/>
          <w:szCs w:val="18"/>
          <w:color w:val="auto"/>
        </w:rPr>
      </w:pPr>
    </w:p>
    <w:p>
      <w:pPr>
        <w:ind w:left="840" w:right="180" w:hanging="319"/>
        <w:spacing w:after="0" w:line="250"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 w:lineRule="exact"/>
        <w:rPr>
          <w:rFonts w:ascii="Arial" w:cs="Arial" w:eastAsia="Arial" w:hAnsi="Arial"/>
          <w:sz w:val="18"/>
          <w:szCs w:val="18"/>
          <w:color w:val="auto"/>
        </w:rPr>
      </w:pPr>
    </w:p>
    <w:p>
      <w:pPr>
        <w:ind w:left="840" w:right="20" w:hanging="319"/>
        <w:spacing w:after="0" w:line="250"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p>
      <w:pPr>
        <w:spacing w:after="0" w:line="1" w:lineRule="exact"/>
        <w:rPr>
          <w:rFonts w:ascii="Arial" w:cs="Arial" w:eastAsia="Arial" w:hAnsi="Arial"/>
          <w:sz w:val="18"/>
          <w:szCs w:val="18"/>
          <w:color w:val="auto"/>
        </w:rPr>
      </w:pPr>
    </w:p>
    <w:p>
      <w:pPr>
        <w:ind w:left="840" w:right="20" w:hanging="319"/>
        <w:spacing w:after="0" w:line="255"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4 - 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90"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6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manufacture of investigational biologics for the conduct of human clinical trials is subject to cGMP requirements. Investigational biologics and active ingredients imported into the U.S. are also subject to regulation by the FDA relating to their labeling and distribution. Further, the export of investigational products outside of the U.S. is subject to regulatory requirements of the importing country as well as U.S. export requirements under the FDCA. Additional U.S. and foreign laws and regulations may also be applicable to the handling, import, export, and transportation of biological materials, including tissue samples.</w:t>
      </w:r>
    </w:p>
    <w:p>
      <w:pPr>
        <w:spacing w:after="0" w:line="176"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72"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pacing w:after="0" w:line="188"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the Prescription Drug User Fee Act, and the sponsor of an approved BLA is also subject to annual program fees. These fees are typically increased annually. A waiver of user fees may be obtained under certain limited circumstances.</w:t>
      </w:r>
    </w:p>
    <w:p>
      <w:pPr>
        <w:spacing w:after="0" w:line="181"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8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w:t>
      </w:r>
    </w:p>
    <w:p>
      <w:pPr>
        <w:spacing w:after="0" w:line="171"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If the FDA determines that the application, manufacturing process or manufacturing facilities are not acceptable, it will outline the deficiencies in the submission and often will request additional testing, clinical studies, application modifications, or information in a complete response letter, or CRL. A CRL indicates that the review cycle for the application is complete and that the application is</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pacing w:after="0" w:line="157"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8" w:lineRule="exact"/>
        <w:rPr>
          <w:sz w:val="20"/>
          <w:szCs w:val="20"/>
          <w:color w:val="auto"/>
        </w:rPr>
      </w:pPr>
    </w:p>
    <w:p>
      <w:pPr>
        <w:jc w:val="both"/>
        <w:ind w:right="440" w:firstLine="492"/>
        <w:spacing w:after="0" w:line="263" w:lineRule="auto"/>
        <w:rPr>
          <w:sz w:val="20"/>
          <w:szCs w:val="20"/>
          <w:color w:val="auto"/>
        </w:rPr>
      </w:pPr>
      <w:r>
        <w:rPr>
          <w:rFonts w:ascii="Arial" w:cs="Arial" w:eastAsia="Arial" w:hAnsi="Arial"/>
          <w:sz w:val="18"/>
          <w:szCs w:val="18"/>
          <w:color w:val="auto"/>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84"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6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also allows the sponsor to file sections of the BLA for review on a rolling basis.</w:t>
      </w:r>
    </w:p>
    <w:p>
      <w:pPr>
        <w:spacing w:after="0" w:line="149"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Through the 21st Century Cures Act, or Cures Act, Congress also established another expedited program, called a Regenerative Medicine Advanced Therapy, or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96"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In August 2017, we announced that the FDA had granted Fast Track designation for lifileucel for advanced metastatic melanoma. The Fast Track designation does not change the standards for approval but may expedite the development or approval process. In October 2018, we announced that lifileucel had received an RMAT designation for metastatic melanoma. In 2019, the FDA granted us a Fast Track designation and BTD for lifileucel for metastatic cervical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the Orphan Drug Act, the FDA may grant ODD to a drug or biologic intended to treat a rare disease or condition, defined as a disease or condition with a patient population of fewer than 200,000 individuals in the U.S., or a patient population greater than</w:t>
      </w:r>
    </w:p>
    <w:p>
      <w:pPr>
        <w:ind w:right="80"/>
        <w:spacing w:after="0" w:line="270" w:lineRule="auto"/>
        <w:rPr>
          <w:sz w:val="20"/>
          <w:szCs w:val="20"/>
          <w:color w:val="auto"/>
        </w:rPr>
      </w:pPr>
      <w:r>
        <w:rPr>
          <w:rFonts w:ascii="Arial" w:cs="Arial" w:eastAsia="Arial" w:hAnsi="Arial"/>
          <w:sz w:val="17"/>
          <w:szCs w:val="17"/>
          <w:color w:val="auto"/>
        </w:rPr>
        <w:t>200,000 individuals in the U.S. and when there is no reasonable expectation that the cost of developing and making available the drug or biologic in the U.S. will be recovered from sales in the U.S. for that drug or biologic. Additionally, sponsors must present a plausible hypothesis for clinical superiority to obtain ODD if there is a product already approved by the FDA that is intended for the same indication and that is considered by the FDA to be the same product as the already approved product. This hypothesis for clinical superiority must be demonstrated to obtain orphan exclusivity. ODD must be requested before submitting a BLA. After the FDA grants ODD, the generic identity of the therapeutic agent and its potential orphan use are disclosed publicly by the FDA.</w:t>
      </w:r>
    </w:p>
    <w:p>
      <w:pPr>
        <w:spacing w:after="0" w:line="17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opportunities for certain research grant funding, and a waiver of the BLA application fees. The tax credit, however, was recently limited through Congress’s tax reform efforts. Despite these benefits, the ODD does not convey any advantage in, or shorten the duration of, the regulatory review or approval process.</w:t>
      </w:r>
    </w:p>
    <w:p>
      <w:pPr>
        <w:spacing w:after="0" w:line="182"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92"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During 2015, we received an ODD for lifileucel in the U.S. to treat malignant melanoma stages IIB-IV. We plan to seek ODD for some or all of our other product candidates in specific orphan indications in which there is a medically plausible basis for the use of such products. During 2018, we received an ODD from the FDA for lifileucel for the treatment of cervical cancer with a tumor size of greater than 2 cm in diameter.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Data Exclusivity and Biosimilars</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While under the Biologics Price Competition and Innovation Act of 2009, or BPCIA, the FDA may eventually license products, as further described below, that are biosimilar to any of our product candidates that are approved, our products may receive periods of regulatory exclusivity, in addition to orphan drug exclusivity for those products with ODDs, providing additional protection from certain forms of competition. For instance, our products may receive 12 years of reference product exclusivity that begins running at the time of first licensure. During this 12-year time period, the FDA may not make an approval of a biosimilar product effective and may not accept a biosimilar application until after four years from the date of first licensure. However, certain changes and supplements to an approved BLA, and subsequent applications filed by the same sponsor, manufacturer, licensor, predecessor in interest, or other related entity do not qualify for the exclusivity period. The PHSA also includes provisions governing patent litigation over patents that are directed to the reference products. The biosimilar product sponsor and reference product sponsor may, but are not required to, exchange certain patent and product information for the purpose of negotiating and determining the scope of patent litigation, including the patents to be asserted and challenged.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 under certain circumstances.</w:t>
      </w:r>
    </w:p>
    <w:p>
      <w:pPr>
        <w:spacing w:after="0" w:line="174"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The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Patent Term Extension</w:t>
      </w:r>
    </w:p>
    <w:p>
      <w:pPr>
        <w:spacing w:after="0" w:line="225"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Pediatric exclusivity is another type of non-patent marketing exclusivity in the U.S. and, if granted, provides for the attachment of an additional six months of marketing protection to the term of any existing regulatory exclusivity. Under the Best Pharmaceuticals for Children Act, a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 Pediatric exclusivity is thus an “add-on” exclusivity and is unique in this regard among the various regulatory exclusivities provided by FDA. The FDA can also require pediatric studies of a drug submitted in a new drug application if the FDA determines that the product is likely to be used in a substantial number of pediatric patients, or if the product would provide a meaningful benefit in the pediatric population over existing treatments. This requirement may be waived in certain circumstances, for example, where the indication does not occur or is not highly prevent in the pediatric population.</w:t>
      </w:r>
    </w:p>
    <w:p>
      <w:pPr>
        <w:spacing w:after="0" w:line="172"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study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Recent court decisions have impacted FDA’s enforcement activity regarding off-label promotion in light of First Amendment considerations; however, there are still significant risks in this area, in part due to the potential for False Claims Act exposure.</w:t>
      </w:r>
    </w:p>
    <w:p>
      <w:pPr>
        <w:spacing w:after="0" w:line="168"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and list their products with the FDA and certain state agencies, and are subject to periodic unannounced inspections by the FDA and certain state agencies for compliance with cGMP and other applicable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68"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required. The DSCSA requirements, development of standards, and the system for product tracing have been and will continue to be phased in over a period of years, with the FDA indicating that it would exercise enforcement discretion on certain aspects due to the COVID-19 pandemic. The distribution of product samples continues to be regulated under the PDMA, and some states also impose regulations on drug sample distribution.</w:t>
      </w:r>
    </w:p>
    <w:p>
      <w:pPr>
        <w:spacing w:after="0" w:line="172"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Biologic Requirements</w:t>
      </w:r>
    </w:p>
    <w:p>
      <w:pPr>
        <w:spacing w:after="0" w:line="225" w:lineRule="exact"/>
        <w:rPr>
          <w:sz w:val="20"/>
          <w:szCs w:val="20"/>
          <w:color w:val="auto"/>
        </w:rPr>
      </w:pPr>
    </w:p>
    <w:p>
      <w:pPr>
        <w:ind w:right="320" w:firstLine="492"/>
        <w:spacing w:after="0" w:line="31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shortages and critical public health needs, and to authorize the creation and enforcement of regulations to prevent the introduction or spread of communicable diseases in the U.S. and between states.</w:t>
      </w:r>
    </w:p>
    <w:p>
      <w:pPr>
        <w:spacing w:after="0" w:line="170"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76"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Our sales, promotion, medical education and other activities following product approval will be subject to regulation by numerous regulatory and law enforcement authorities in the U.S.,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 the federal Anti-Kickback Statute, or AKS, the Foreign Corrupt Practices Act, or FCPA, the False Claims Act, or FCA, the Veterans Health Care Act, physician payment transparency laws, privacy laws, security laws, and additional state laws similar to the foregoing.</w:t>
      </w:r>
    </w:p>
    <w:p>
      <w:pPr>
        <w:spacing w:after="0" w:line="16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 broadly interpreted to include anything of value, including, for example, gifts, discounts, waivers of payment, ownership interest and providing anything at less than its fair market value. Additionally, the intent standard under the federal AKS provides that a person or entity need not have actual knowledge of the statute or specific intent to violate it in order to have committed a violation. In addition, a claim including items or services resulting from a violation of the federal AKS constitutes a false or fraudulent claim for purposes of the federal civil False Claims Act.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 The safe harbors are subject to change through legislative and regulatory action, and we may decide to adjust our business practices or be subject to heightened scrutiny as a result.</w:t>
      </w:r>
    </w:p>
    <w:p>
      <w:pPr>
        <w:spacing w:after="0" w:line="17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spacing w:after="0" w:line="184"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A claim includes "any request or demand" for money or property presented directly or indirectly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implicate the FCA.</w:t>
      </w:r>
    </w:p>
    <w:p>
      <w:pPr>
        <w:spacing w:after="0" w:line="182"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84"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securing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5" w:lineRule="exact"/>
        <w:rPr>
          <w:sz w:val="20"/>
          <w:szCs w:val="20"/>
          <w:color w:val="auto"/>
        </w:rPr>
      </w:pPr>
    </w:p>
    <w:p>
      <w:pPr>
        <w:ind w:firstLine="492"/>
        <w:spacing w:after="0" w:line="217"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risk of submitting false information to the government, and potential FCA liability.</w:t>
      </w:r>
    </w:p>
    <w:p>
      <w:pPr>
        <w:spacing w:after="0" w:line="20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61"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The federal Health Insurance Portability and Accountability Act of 1996, or HIPAA, which imposes criminal and civil penalties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person or entity does not need to have actual knowledge of the statute, or the specific intent to violate it, to have committed a violation.</w:t>
      </w:r>
    </w:p>
    <w:p>
      <w:pPr>
        <w:spacing w:after="0" w:line="248"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We may also be subject to data privacy and security laws and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a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w:t>
      </w:r>
    </w:p>
    <w:p>
      <w:pPr>
        <w:spacing w:after="0" w:line="174"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77"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In addition to the laws discussed above, we may see more stringent state and federal privacy legislation in 2021 and beyond, as the increased cyber-attacks during the pandemic have heightened attention data privacy and security in the U.S. and other jurisdictions. We cannot predict where new legislation might arise, the scope of such legislation, or the potential impact to our business and operations.</w:t>
      </w:r>
    </w:p>
    <w:p>
      <w:pPr>
        <w:spacing w:after="0" w:line="149"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As of 2021, applicable manufacturers are subject to tracking payments and transfers of value to physician assistants, nurse practitioners, and other mid-level HCPs as well as physicians, with reporting relative to these mid-level practitioners beginning in 2022.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68"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PhRMA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the California Consumer Privacy Act, or CCPA, which went into effect on January 1, 2020 and was recently amended and expanded by the California Privacy Rights Act, 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65" w:lineRule="exact"/>
        <w:rPr>
          <w:sz w:val="20"/>
          <w:szCs w:val="20"/>
          <w:color w:val="auto"/>
        </w:rPr>
      </w:pPr>
    </w:p>
    <w:p>
      <w:pPr>
        <w:ind w:right="200" w:firstLine="492"/>
        <w:spacing w:after="0" w:line="221" w:lineRule="exact"/>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w:t>
      </w:r>
      <w:r>
        <w:rPr>
          <w:rFonts w:ascii="MS PGothic" w:cs="MS PGothic" w:eastAsia="MS PGothic" w:hAnsi="MS PGothic"/>
          <w:sz w:val="17"/>
          <w:szCs w:val="17"/>
          <w:color w:val="auto"/>
        </w:rPr>
        <w:t>‑</w:t>
      </w:r>
      <w:r>
        <w:rPr>
          <w:rFonts w:ascii="Arial" w:cs="Arial" w:eastAsia="Arial" w:hAnsi="Arial"/>
          <w:sz w:val="17"/>
          <w:szCs w:val="17"/>
          <w:color w:val="auto"/>
        </w:rPr>
        <w:t>fraud and abuse laws, and implementation of corporate compliance programs and reporting of payments or transfers of value to HCPs.</w:t>
      </w:r>
    </w:p>
    <w:p>
      <w:pPr>
        <w:spacing w:after="0" w:line="202"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178"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6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Medicare is a federally-funded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 income patients who are otherwise uninsured and is both federally and state funded and managed by each state. The federal government sets general guidelines for Medicaid and requires rebates on outpatient drugs and biological products, including those</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pacing w:after="0" w:line="168"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In the U.S.,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w:t>
      </w:r>
    </w:p>
    <w:p>
      <w:pPr>
        <w:spacing w:after="0" w:line="2"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Manufacturers frequently must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206"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the European Union will likely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6"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healthcare costs, improving quality and/or expanding access. In the U.S., the pharmaceutical industry has been a particular focus of these efforts and has been significantly affected by major federal and state legislative initiatives.</w:t>
      </w:r>
    </w:p>
    <w:p>
      <w:pPr>
        <w:spacing w:after="0" w:line="17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w:t>
      </w:r>
    </w:p>
    <w:p>
      <w:pPr>
        <w:spacing w:after="0" w:line="177"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These laws and future laws may result in additional reductions in Medicare and other healthcare funding, which could have a material adverse effect on customers for our product candidates, if approved, and, accordingly, our financial operations.</w:t>
      </w:r>
    </w:p>
    <w:p>
      <w:pPr>
        <w:spacing w:after="0" w:line="176"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4"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57"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the EU and the United Kingdom,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229"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As of December 31, 2020, we had 241 employees, 176 of whom were engaged in research and development activities and 65 of whom were engaged in general and administrative support activities. None of our employees are subject to a collective bargaining agreement. Our employees are highly skilled, and many hold advanced degrees. Most of our employees have experience with the development of cell therapies. We consider our relationship with our employees to be good.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ownership, development programs that enable continued learning and growth and a robust employment package that promotes well-being across all aspects of their lives. In addition to salaries, these programs include potential annual discretionary bonuses, stock awards, a 401(k) plan, healthcare and insurance benefits, health savings and flexible spending accounts, paid time off, family leave, and flexible work schedules, among other benefits. We have taken proactive, aggressive action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We maintain a website at www.iovance.com and make available there, free of charge, our periodic reports filed with the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 or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 principal risk factors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20" w:hanging="321"/>
        <w:spacing w:after="0" w:line="274"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2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32" w:lineRule="exact"/>
        <w:rPr>
          <w:rFonts w:ascii="Arial" w:cs="Arial" w:eastAsia="Arial" w:hAnsi="Arial"/>
          <w:sz w:val="16"/>
          <w:szCs w:val="16"/>
          <w:color w:val="auto"/>
        </w:rPr>
      </w:pPr>
    </w:p>
    <w:p>
      <w:pPr>
        <w:ind w:left="68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ind w:left="68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 w:lineRule="exact"/>
        <w:rPr>
          <w:rFonts w:ascii="Arial" w:cs="Arial" w:eastAsia="Arial" w:hAnsi="Arial"/>
          <w:sz w:val="18"/>
          <w:szCs w:val="18"/>
          <w:color w:val="auto"/>
        </w:rPr>
      </w:pPr>
    </w:p>
    <w:p>
      <w:pPr>
        <w:ind w:left="680" w:right="16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 w:lineRule="exact"/>
        <w:rPr>
          <w:rFonts w:ascii="Arial" w:cs="Arial" w:eastAsia="Arial" w:hAnsi="Arial"/>
          <w:sz w:val="18"/>
          <w:szCs w:val="18"/>
          <w:color w:val="auto"/>
        </w:rPr>
      </w:pPr>
    </w:p>
    <w:p>
      <w:pPr>
        <w:ind w:left="680" w:right="4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Arial" w:cs="Arial" w:eastAsia="Arial" w:hAnsi="Arial"/>
          <w:sz w:val="18"/>
          <w:szCs w:val="18"/>
          <w:color w:val="auto"/>
        </w:rPr>
      </w:pPr>
    </w:p>
    <w:p>
      <w:pPr>
        <w:ind w:left="680" w:right="120" w:hanging="321"/>
        <w:spacing w:after="0" w:line="273"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74"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4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ind w:left="680" w:right="3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Arial" w:cs="Arial" w:eastAsia="Arial" w:hAnsi="Arial"/>
          <w:sz w:val="18"/>
          <w:szCs w:val="18"/>
          <w:color w:val="auto"/>
        </w:rPr>
      </w:pPr>
    </w:p>
    <w:p>
      <w:pPr>
        <w:ind w:left="680" w:right="14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20" w:lineRule="exact"/>
        <w:rPr>
          <w:rFonts w:ascii="Arial" w:cs="Arial" w:eastAsia="Arial" w:hAnsi="Arial"/>
          <w:sz w:val="17"/>
          <w:szCs w:val="17"/>
          <w:color w:val="auto"/>
        </w:rPr>
      </w:pPr>
    </w:p>
    <w:p>
      <w:pPr>
        <w:ind w:left="680" w:right="24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ind w:left="680" w:right="6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Arial" w:cs="Arial" w:eastAsia="Arial" w:hAnsi="Arial"/>
          <w:sz w:val="18"/>
          <w:szCs w:val="18"/>
          <w:color w:val="auto"/>
        </w:rPr>
      </w:pPr>
    </w:p>
    <w:p>
      <w:pPr>
        <w:jc w:val="both"/>
        <w:ind w:left="680" w:right="60" w:hanging="321"/>
        <w:spacing w:after="0" w:line="265"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ind w:left="680" w:right="2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Arial" w:cs="Arial" w:eastAsia="Arial" w:hAnsi="Arial"/>
          <w:sz w:val="18"/>
          <w:szCs w:val="18"/>
          <w:color w:val="auto"/>
        </w:rPr>
      </w:pPr>
    </w:p>
    <w:p>
      <w:pPr>
        <w:ind w:left="680" w:right="160" w:hanging="321"/>
        <w:spacing w:after="0" w:line="281"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 w:lineRule="exact"/>
        <w:rPr>
          <w:rFonts w:ascii="Arial" w:cs="Arial" w:eastAsia="Arial" w:hAnsi="Arial"/>
          <w:sz w:val="16"/>
          <w:szCs w:val="16"/>
          <w:color w:val="auto"/>
        </w:rPr>
      </w:pPr>
    </w:p>
    <w:p>
      <w:pPr>
        <w:ind w:left="680" w:right="4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120" w:hanging="321"/>
        <w:spacing w:after="0" w:line="281"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3" w:lineRule="exact"/>
        <w:rPr>
          <w:rFonts w:ascii="Arial" w:cs="Arial" w:eastAsia="Arial" w:hAnsi="Arial"/>
          <w:sz w:val="16"/>
          <w:szCs w:val="16"/>
          <w:color w:val="auto"/>
        </w:rPr>
      </w:pPr>
    </w:p>
    <w:p>
      <w:pPr>
        <w:ind w:left="680" w:hanging="321"/>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32" w:lineRule="exact"/>
        <w:rPr>
          <w:rFonts w:ascii="Arial" w:cs="Arial" w:eastAsia="Arial" w:hAnsi="Arial"/>
          <w:sz w:val="16"/>
          <w:szCs w:val="16"/>
          <w:color w:val="auto"/>
        </w:rPr>
      </w:pPr>
    </w:p>
    <w:p>
      <w:pPr>
        <w:ind w:left="680" w:right="12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ind w:left="680" w:right="30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ind w:left="680" w:right="3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December 31, 2020, we had an accumulated deficit of $830.2 million. In addition, during the year ended December 31, 2020, we incurred a net loss of $259.6 million.</w:t>
      </w:r>
    </w:p>
    <w:p>
      <w:pPr>
        <w:sectPr>
          <w:pgSz w:w="11900" w:h="16838" w:orient="portrait"/>
          <w:cols w:equalWidth="0" w:num="1">
            <w:col w:w="9880"/>
          </w:cols>
          <w:pgMar w:left="980" w:top="665" w:right="103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not generated any revenues from operations. We are preparing for the commercial launch of our products, if approved, in 2021.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46"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57"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30"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5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83"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7"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30"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24"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metastatic cervical cancer. FDA may also consider its approvals of competing products, which may alter the treatment</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43"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57"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generate revenues could be delayed. To the extent we are unable to successfully identify and manage the performance of third party service providers in the future, our business may be materially and adversely affected.</w:t>
      </w:r>
    </w:p>
    <w:p>
      <w:pPr>
        <w:spacing w:after="0" w:line="130"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firstLine="8"/>
        <w:spacing w:after="0" w:line="25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2020, we disclosed interim results for Cohort 4 of the C-144-01 clinical trial. Although the data is consistent with the Cohort 2 data read out at a similar median duration of study follow up, the interim results speak only to data available as of March 16, 2020, and although such data have been reviewed by the investigators, they have not been reviewed by IRC.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70" w:lineRule="exact"/>
        <w:rPr>
          <w:rFonts w:ascii="Arial" w:cs="Arial" w:eastAsia="Arial" w:hAnsi="Arial"/>
          <w:sz w:val="18"/>
          <w:szCs w:val="18"/>
          <w:color w:val="auto"/>
        </w:rPr>
      </w:pPr>
    </w:p>
    <w:p>
      <w:pPr>
        <w:ind w:left="820" w:right="260" w:hanging="320"/>
        <w:spacing w:after="0" w:line="255"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20" w:hanging="320"/>
        <w:spacing w:after="0" w:line="25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3"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require additional testing and clinical trials will require additional FDA regulatory approval and will increase our future cost of expenses.</w:t>
      </w:r>
    </w:p>
    <w:p>
      <w:pPr>
        <w:spacing w:after="0" w:line="208"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39"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33"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47"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w:t>
      </w:r>
    </w:p>
    <w:p>
      <w:pPr>
        <w:sectPr>
          <w:pgSz w:w="11900" w:h="16838" w:orient="portrait"/>
          <w:cols w:equalWidth="0" w:num="1">
            <w:col w:w="9900"/>
          </w:cols>
          <w:pgMar w:left="980" w:top="665" w:right="101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25"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46"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3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3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5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820" w:right="200" w:hanging="320"/>
        <w:spacing w:after="0" w:line="255"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2"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40" w:right="100" w:hanging="319"/>
        <w:spacing w:after="0" w:line="250"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20"/>
        <w:spacing w:after="0" w:line="253"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5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1"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13"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instead to occur in 2021.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41"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37"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380" w:hanging="320"/>
        <w:spacing w:after="0" w:line="281" w:lineRule="auto"/>
        <w:tabs>
          <w:tab w:leader="none" w:pos="8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40" w:hanging="320"/>
        <w:spacing w:after="0" w:line="26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w:t>
      </w:r>
    </w:p>
    <w:p>
      <w:pPr>
        <w:sectPr>
          <w:pgSz w:w="11900" w:h="16838" w:orient="portrait"/>
          <w:cols w:equalWidth="0" w:num="1">
            <w:col w:w="9840"/>
          </w:cols>
          <w:pgMar w:left="980" w:top="665" w:right="1079" w:bottom="1440" w:gutter="0" w:footer="0" w:header="0"/>
        </w:sect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4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5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5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0" w:lineRule="exact"/>
        <w:rPr>
          <w:sz w:val="20"/>
          <w:szCs w:val="20"/>
          <w:color w:val="auto"/>
        </w:rPr>
      </w:pPr>
    </w:p>
    <w:p>
      <w:pPr>
        <w:ind w:left="820" w:right="20" w:hanging="320"/>
        <w:spacing w:after="0" w:line="258"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9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25" w:lineRule="exact"/>
        <w:rPr>
          <w:sz w:val="20"/>
          <w:szCs w:val="20"/>
          <w:color w:val="auto"/>
        </w:rPr>
      </w:pPr>
    </w:p>
    <w:p>
      <w:pPr>
        <w:ind w:right="10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3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From our inception to December 31, 2020, we have an accumulated deficit of $830.2 million.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addition to our continued spending for our product candidates, we expect to spend approximately $40 million over the next year for equipment and construction costs for our commercial-scale production facility in Philadelphia, Pennsylvania. As of December 31, 2020, we had approximately $629.4 million in cash, cash equivalents and short-term investments ($67.3 million of cash and cash equivalents and $562.1 million in short-term investments).</w:t>
      </w:r>
    </w:p>
    <w:p>
      <w:pPr>
        <w:spacing w:after="0" w:line="15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Accordingly, we believe that our existing cash, cash equivalents and short-term investments will be sufficient to fund our operations for at least the next twelve months from the date this Annual Report on Form 10-K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40"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00" w:hanging="320"/>
        <w:spacing w:after="0" w:line="258"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6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6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58"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9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2020, we had U.S. federal net operating loss carryforwards of approximately $662.4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December 31, 2020, we may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5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43"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40"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recent years, various tax legislations were signed into law.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There are also potential state tax law provisions that may have an effect on our business. For example, on June 15, 2020, Assembly Bill 85 was passed in California which suspended the use of net operating losses and limited the use of credits for certain corporations. These changes to existing federal and state tax laws and newly enacted tax reform legislation in the U.S. could adversely impact our business, results of operations and financial position as the overall impact of such changes and reform is uncertain.</w:t>
      </w:r>
    </w:p>
    <w:p>
      <w:pPr>
        <w:spacing w:after="0" w:line="141"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8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49"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9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3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4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4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49"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3"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60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sz w:val="20"/>
          <w:szCs w:val="20"/>
          <w:color w:val="auto"/>
        </w:rPr>
      </w:pPr>
    </w:p>
    <w:p>
      <w:pPr>
        <w:ind w:right="14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34"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Oncosec Medical, Instil Bio, Achilles Therapeutics, WindMIL Therapeutics, Seagen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Ziopharm Therapeutics, Marker 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and Roche.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for their products more rapidly than we may obtain approval for ours, which could result in competitors establishing a strong market position before we are able to enter the market.</w:t>
      </w:r>
    </w:p>
    <w:p>
      <w:pPr>
        <w:spacing w:after="0" w:line="13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5"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2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11"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3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43"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31" w:lineRule="exact"/>
        <w:rPr>
          <w:sz w:val="20"/>
          <w:szCs w:val="20"/>
          <w:color w:val="auto"/>
        </w:rPr>
      </w:pPr>
    </w:p>
    <w:p>
      <w:pPr>
        <w:ind w:right="40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We were granted Fast Track designation by the FDA for lifileucel in metastatic melanoma and metastatic cervical cancer. We were granted Breakthrough Therapy designation, or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b w:val="1"/>
          <w:bCs w:val="1"/>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5" w:lineRule="exact"/>
        <w:rPr>
          <w:sz w:val="20"/>
          <w:szCs w:val="20"/>
          <w:color w:val="auto"/>
        </w:rPr>
      </w:pPr>
    </w:p>
    <w:p>
      <w:pPr>
        <w:jc w:val="both"/>
        <w:ind w:right="20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38" w:lineRule="exact"/>
        <w:rPr>
          <w:sz w:val="20"/>
          <w:szCs w:val="20"/>
          <w:color w:val="auto"/>
        </w:rPr>
      </w:pPr>
    </w:p>
    <w:p>
      <w:pPr>
        <w:jc w:val="both"/>
        <w:ind w:right="200" w:firstLine="492"/>
        <w:spacing w:after="0" w:line="342" w:lineRule="auto"/>
        <w:rPr>
          <w:sz w:val="20"/>
          <w:szCs w:val="20"/>
          <w:color w:val="auto"/>
        </w:rPr>
      </w:pPr>
      <w:r>
        <w:rPr>
          <w:rFonts w:ascii="Arial" w:cs="Arial" w:eastAsia="Arial" w:hAnsi="Arial"/>
          <w:sz w:val="16"/>
          <w:szCs w:val="16"/>
          <w:color w:val="auto"/>
        </w:rPr>
        <w:t>In response to a court decision regarding the plain meaning of the exclusivity provision of the Orphan Drug Act, the FDA may undertake a reevaluation of aspects of its orphan drug regulations and policies. We do not know if, when, or how the FDA may change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3"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7"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4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51"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40" w:hanging="320"/>
        <w:spacing w:after="0" w:line="291" w:lineRule="auto"/>
        <w:tabs>
          <w:tab w:leader="none" w:pos="8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6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540" w:hanging="320"/>
        <w:spacing w:after="0" w:line="277"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30"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3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43"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4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reputational harm to us. In addition, our liability insurance may not be sufficient in type or amount to cover us against claims related to security breaches, cyberattacks and other related breaches.</w:t>
      </w:r>
    </w:p>
    <w:p>
      <w:pPr>
        <w:spacing w:after="0" w:line="130"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137"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U.S. and several European countries. Our headquarters is located in the San Francisco Bay Area. The President of the U.S.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w:t>
      </w:r>
    </w:p>
    <w:p>
      <w:pPr>
        <w:spacing w:after="0" w:line="13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6" w:lineRule="exact"/>
        <w:rPr>
          <w:sz w:val="20"/>
          <w:szCs w:val="20"/>
          <w:color w:val="auto"/>
        </w:rPr>
      </w:pPr>
    </w:p>
    <w:p>
      <w:pPr>
        <w:ind w:right="180" w:firstLine="492"/>
        <w:spacing w:after="0" w:line="273"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w:t>
      </w:r>
    </w:p>
    <w:p>
      <w:pPr>
        <w:spacing w:after="0" w:line="151"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European Union, or EU, member states and other foreign jurisdictions, including Switzerland and the United Kingdom,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40"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CRPA, passed on November 3, 2020.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51"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33"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25"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40" w:hanging="320"/>
        <w:spacing w:after="0" w:line="265" w:lineRule="auto"/>
        <w:tabs>
          <w:tab w:leader="none" w:pos="8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8"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 able to manage our existing consultants or find other competent outside contractors and consultants on economically reasonable terms, if at all.</w:t>
      </w:r>
    </w:p>
    <w:p>
      <w:pPr>
        <w:spacing w:after="0" w:line="130"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38"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5"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4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3"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to occur in 2021. Accordingly, the regulatory approval pathway for our product candidates may be uncertain, complex, expensive and lengthy, and approval may not be obtained.</w:t>
      </w:r>
    </w:p>
    <w:p>
      <w:pPr>
        <w:spacing w:after="0" w:line="15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43"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6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00" w:hanging="320"/>
        <w:spacing w:after="0" w:line="277"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30"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5" w:lineRule="exact"/>
        <w:rPr>
          <w:sz w:val="20"/>
          <w:szCs w:val="20"/>
          <w:color w:val="auto"/>
        </w:rPr>
      </w:pPr>
    </w:p>
    <w:p>
      <w:pPr>
        <w:ind w:right="26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6"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1"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submissions of safety and other post-marketing information and reports such as deviation reports, establishment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80" w:hanging="320"/>
        <w:spacing w:after="0" w:line="258"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25" w:lineRule="exact"/>
        <w:rPr>
          <w:sz w:val="20"/>
          <w:szCs w:val="20"/>
          <w:color w:val="auto"/>
        </w:rPr>
      </w:pPr>
    </w:p>
    <w:p>
      <w:pPr>
        <w:ind w:firstLine="492"/>
        <w:spacing w:after="0" w:line="342" w:lineRule="auto"/>
        <w:rPr>
          <w:sz w:val="20"/>
          <w:szCs w:val="20"/>
          <w:color w:val="auto"/>
        </w:rPr>
      </w:pPr>
      <w:r>
        <w:rPr>
          <w:rFonts w:ascii="Arial" w:cs="Arial" w:eastAsia="Arial" w:hAnsi="Arial"/>
          <w:sz w:val="16"/>
          <w:szCs w:val="16"/>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report our drug pricing. Pricing reported to CMS must be certified. Non-compliant activities expose us to FCA risk if they result in overcharging agencies, underpaying rebates to agencies, or causing agencies to overpay providers.</w:t>
      </w:r>
    </w:p>
    <w:p>
      <w:pPr>
        <w:spacing w:after="0" w:line="130"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51"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41"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4"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37"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43"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54" w:lineRule="exact"/>
        <w:rPr>
          <w:sz w:val="20"/>
          <w:szCs w:val="20"/>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4"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52" w:lineRule="exact"/>
        <w:rPr>
          <w:sz w:val="20"/>
          <w:szCs w:val="20"/>
          <w:color w:val="auto"/>
        </w:rPr>
      </w:pPr>
    </w:p>
    <w:p>
      <w:pPr>
        <w:ind w:right="440" w:firstLine="492"/>
        <w:spacing w:after="0" w:line="342" w:lineRule="auto"/>
        <w:rPr>
          <w:sz w:val="20"/>
          <w:szCs w:val="20"/>
          <w:color w:val="auto"/>
        </w:rPr>
      </w:pPr>
      <w:r>
        <w:rPr>
          <w:rFonts w:ascii="Arial" w:cs="Arial" w:eastAsia="Arial" w:hAnsi="Arial"/>
          <w:sz w:val="16"/>
          <w:szCs w:val="16"/>
          <w:color w:val="auto"/>
        </w:rPr>
        <w:t>In addition, federal programs impose penalties on manufacturers of drugs marketed under an NDA or BLA, in the form of mandatory additional rebates and/or discounts if commercial prices increase at a rate greater than the Consumer Price Index-Urban,</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1"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 xml:space="preserve">Since enactment of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Following appeal of the Fifth Circuit’s decision, the Supreme Court heard oral arguments in </w:t>
      </w:r>
      <w:r>
        <w:rPr>
          <w:rFonts w:ascii="Arial" w:cs="Arial" w:eastAsia="Arial" w:hAnsi="Arial"/>
          <w:sz w:val="16"/>
          <w:szCs w:val="16"/>
          <w:i w:val="1"/>
          <w:iCs w:val="1"/>
          <w:color w:val="auto"/>
        </w:rPr>
        <w:t>California v. Texas</w:t>
      </w:r>
      <w:r>
        <w:rPr>
          <w:rFonts w:ascii="Arial" w:cs="Arial" w:eastAsia="Arial" w:hAnsi="Arial"/>
          <w:sz w:val="16"/>
          <w:szCs w:val="16"/>
          <w:color w:val="auto"/>
        </w:rPr>
        <w:t xml:space="preserve"> on November 2, 2020. The Court has yet to issue its opinion, and we cannot say for certain what the decision will be or what impact, if any, it may have on our business.</w:t>
      </w:r>
    </w:p>
    <w:p>
      <w:pPr>
        <w:spacing w:after="0" w:line="13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Adoption of government controls and measures, and tightening of restrictive policies in jurisdictions with existing controls and measures, could exclude or limit our product candidates from coverage and limit payments for pharmaceuticals. Under the Trump Administration there were a number of actions taken relative to drug pricing.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w:t>
      </w:r>
    </w:p>
    <w:p>
      <w:pPr>
        <w:spacing w:after="0" w:line="136"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0"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39"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0"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210"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2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6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3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98"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3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4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4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54"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43"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 on Form 10-K</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or exchangeable into common stock, in future transactions may be higher or lower than the price per share paid by investors in prior offerings. Any such issuance could result in substantial dilution to our existing stockholders.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As of December 31, 2020, we had 146,874,917 shares of common stock outstanding. In addition, we had 16,293,757 shares of common stock equivalents that would increase the number of common stock outstanding if these instruments were exercised or converted to purchase common stock based on vesting requirements of stock options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68"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24"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38"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Some of the limitations placed on us as a result of the SEC administrative order relating to ineligibility</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statutory safe harbors, including under the Private Securities Litigation Reform Act, and limitations on our communications and status as an ineligible issuer under Rule 405 of the Securities Act, have ended as of April 2020. The foregoing order may negatively impact our reputation with current and future investors, and will disqualify us from effecting private placement transactions in reliance upon any of the exemptions from Securities Act registration afforded by Regulation D. As a result, the SEC’s order may it more difficult for us to raise capital in future private offerings.</w:t>
      </w:r>
    </w:p>
    <w:p>
      <w:pPr>
        <w:spacing w:after="0" w:line="14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43"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pacing w:after="0" w:line="16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2"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70"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statement. The existence of any liability to us, and the amount of any such liability to us, as a result of the issuance of the 200,000 shares is uncertain. Accordingly, no accrual for a potential claim has been made in our financial statements.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Since August 2016, our corporate headquarters consisted of 8,733 square feet of space that we lease in San Carlos, California. The corporate headquarters lease is for a term of 54 months and will expire in April 2021. Monthly lease payments are approximately $38,000.</w:t>
      </w:r>
    </w:p>
    <w:p>
      <w:pPr>
        <w:spacing w:after="0" w:line="184"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In April 2017, we entered into a sublease agreement with Teradata US, Inc., pursuant to which we agreed to sublease office space located adjacent to our corporate headquarters in San Carlos, California for approximately $26,000 per month. The space consists of approximately 11,449 rentable square feet. In October 2018, we entered into an agreement to lease 12,322 square feet of office space located adjacent to our headquarters in San Carlos, California. This lease replaced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64"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In June 2019, we entered into a first amendment to our previously disclosed lease agreement with Hudson Skyway Landing, LLC for additional space at our corporate headquarters in San Carlos, California. Under the amended lease, we leased an additional 8,110 square feet, for a total of approximately 20,432 square feet of space on the first floor of the building located at 999 Skyway Road, San Carlos, California, commonly known as Skyway Landing II. The term of the amended lease remains the same as that of the original lease and expires on April 30, 2021, unless earlier terminated. Our monthly base rent for the additional space is approximately $39,000 for the first year, and $40,000 for the second year.</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14 of the financial statements for subsequent events relating to our San Carlos, California corporate headquarters leases.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ind w:right="240" w:firstLine="492"/>
        <w:spacing w:after="0" w:line="269" w:lineRule="auto"/>
        <w:rPr>
          <w:sz w:val="20"/>
          <w:szCs w:val="20"/>
          <w:color w:val="auto"/>
        </w:rPr>
      </w:pPr>
      <w:r>
        <w:rPr>
          <w:rFonts w:ascii="Arial" w:cs="Arial" w:eastAsia="Arial" w:hAnsi="Arial"/>
          <w:sz w:val="17"/>
          <w:szCs w:val="17"/>
          <w:color w:val="auto"/>
        </w:rPr>
        <w:t>We leased office space in New York, New York for a monthly rental of approximately $18,000 a month from January 2017 through July 2017. In June 2017, we entered into an agreement to lease office space in New York, New York from August 1, 2017 to July 31, 2018 for approximately $9,000 a month. On April 20, 2018, we entered into an agreement to extend the lease term to January 31, 2019 for approximately $7,000 a month. On November 2, 2018, we extended the lease term to July 31, 2019 for approximately $4,000 a month. On October 24, 2019, we entered into an agreement to extend the lease term to April 30, 2020 for approximately $4,000 a month. On January 23, 2020, we entered into an agreement to extend the lease term to July 31, 2020 for approximately $4,000 a month. On May 24, 2020, we entered into an agreement to extend the lease term to October 31, 2020 for approximately $4,000 a month. On September 1, 2020, we entered into an agreement to extend the lease term to January 31, 2021, for approximately $4,000 a month. On January 31, 2021, the lease terminated, and we closed our New York office, which did not have an effect on any of our employees, who continue to be employed by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Our research and development facilities consist of 8,673 square feet in a facility located at the University of South Florida Research Park in Tampa, Florida. The lease expired in December 2019 and rent payments were approximately $20,000 per month. In December 2019, we entered into an agreement to extend the lease term to December 18, 2024 for approximately $20,500 a month. In June 2020, we amended the lease agreement to further increase the rentable space to 13,139 square feet and extend the lease term to June 5, 2025 for approximately $34,500 a month.</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22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In May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 In August 2020, we entered into an agreement to lease approximately 2,965 square feet of a training facility space in Philadelphia, Pennsylvania for a twelve month term at a rate of approximately $6,500 per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98"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May 2019, we entered into a lease agreement with 300 Rouse Boulevard, LLC, which we refer to as the Commercial Manufacturing Facility Lease, for a build-to-suit commercial manufacturing facility, laboratories, and offices located in Philadelphia, Pennsylvania. Under the Commercial Manufacturing Facility Lease, we will lease approximately 136,000 rentable square feet of space in a building to be located at 300 Rouse Boulevard, Philadelphia, Pennsylvania, or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we occupy any portion of the Premises for the normal operation of its business or (ii) the date that is the later of (A) one hundred sixty (160) days after the Phase I-A substantial completion date, July 16, 2020, or (B) the Phase I-B Substantial Completion Date, or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44" w:lineRule="exact"/>
        <w:rPr>
          <w:sz w:val="20"/>
          <w:szCs w:val="20"/>
          <w:color w:val="auto"/>
        </w:rPr>
      </w:pPr>
    </w:p>
    <w:p>
      <w:pPr>
        <w:ind w:right="140" w:firstLine="492"/>
        <w:spacing w:after="0" w:line="311" w:lineRule="auto"/>
        <w:rPr>
          <w:sz w:val="20"/>
          <w:szCs w:val="20"/>
          <w:color w:val="auto"/>
        </w:rPr>
      </w:pPr>
      <w:r>
        <w:rPr>
          <w:rFonts w:ascii="Arial" w:cs="Arial" w:eastAsia="Arial" w:hAnsi="Arial"/>
          <w:sz w:val="16"/>
          <w:szCs w:val="16"/>
          <w:color w:val="auto"/>
        </w:rPr>
        <w:t>Beginning on the Commencement Date, our monthly base rent under the Lease will be approximately $320,000, subject to an annual increase of 2% for the first ten years, and an annual increase of the greater of 2% or 75% of the average ten-year consumer price index. We will also be responsible for paying operating expenses, which are expected to be approximately $72,000 per month in 2020.</w:t>
      </w:r>
    </w:p>
    <w:p>
      <w:pPr>
        <w:spacing w:after="0" w:line="108"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information in Note 11 to the Consolidated Financial Statements contained in Part III, Item 15 of this Annual Report on Form 10-K is incorporated herein by reference. There are no matters which constitute material pending legal proceedings to which we are a party other than those incorporated into this item by reference from Note 11 to our Consolidated Financial Statements for the year ended December 31, 2020 contained in this Annual Report on Form 10-K</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200"/>
        <w:spacing w:after="0" w:line="503" w:lineRule="auto"/>
        <w:rPr>
          <w:sz w:val="20"/>
          <w:szCs w:val="20"/>
          <w:color w:val="auto"/>
        </w:rPr>
      </w:pPr>
      <w:r>
        <w:rPr>
          <w:rFonts w:ascii="Arial" w:cs="Arial" w:eastAsia="Arial" w:hAnsi="Arial"/>
          <w:sz w:val="18"/>
          <w:szCs w:val="18"/>
          <w:b w:val="1"/>
          <w:bCs w:val="1"/>
          <w:color w:val="auto"/>
        </w:rPr>
        <w:t>Item 5. Market for Common Equity, Related Stockholder Matters and Issuer Purchases of Equity Securities Market Information</w:t>
      </w:r>
    </w:p>
    <w:p>
      <w:pPr>
        <w:ind w:left="500"/>
        <w:spacing w:after="0"/>
        <w:rPr>
          <w:sz w:val="20"/>
          <w:szCs w:val="20"/>
          <w:color w:val="auto"/>
        </w:rPr>
      </w:pPr>
      <w:r>
        <w:rPr>
          <w:rFonts w:ascii="Arial" w:cs="Arial" w:eastAsia="Arial" w:hAnsi="Arial"/>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there were approximately 15 holders of record of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71"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spacing w:after="0" w:line="187"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share repurchases during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December 31, 2015 to two indices: the Russell 3000 and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103505</wp:posOffset>
            </wp:positionV>
            <wp:extent cx="5109210" cy="26574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09210" cy="265747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Information regarding our equity compensation plans is incorporated by reference from the information in our Proxy Statement for our 2021 Annual Meeting of Stockholders, which we will file with the SEC within 120 days after the end of the fiscal year to which this Annual Report on Form 10-K relates.</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thousands, except per share information)</w:t>
      </w:r>
    </w:p>
    <w:p>
      <w:pPr>
        <w:spacing w:after="0" w:line="229"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i w:val="1"/>
          <w:iCs w:val="1"/>
          <w:color w:val="auto"/>
        </w:rPr>
        <w:t>The statements of operations data for the years ended December 31, 2020, 2019, and 2018 and the balance sheet data as of December 31, 2020 and 2019 have been derived from our audited financial statements included elsewhere in this Annual Report on Form 10-K. The statements of operations data for the years ended December 31, 2017 and 2016 and the balance sheet data as of December 31, 2018, 2017, and 2016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196"/>
        </w:trPr>
        <w:tc>
          <w:tcPr>
            <w:tcW w:w="2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26,941</w:t>
            </w:r>
          </w:p>
        </w:tc>
      </w:tr>
      <w:tr>
        <w:trPr>
          <w:trHeight w:val="216"/>
        </w:trPr>
        <w:tc>
          <w:tcPr>
            <w:tcW w:w="25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26,698</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(259,581)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(197,556)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(123,580)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(92,064)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(52,894)</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7"/>
              </w:rPr>
              <w:t>As of December 31,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768,458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344,655</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liabilities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111,960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45,684</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14,628</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656,498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298,971</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See “Management’s Discussion and Analysis of Financial Condition and Results of Operations” below, and the financial statements and accompanying notes and previously filed Annual Reports on Form 10-K for further information regarding our results and financial position for periods reported herein and for known factors that will impact comparability of future results.</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available to us on the date hereof and, except as required by law, we assume no obligation to update any such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TIL therapy is an autologous cell therapy platform technology that was originally developed by the NCI, which conducted initial clinical trials of this therapy in diseases such as metastatic melanoma and cervical cancer. We have developed a new, shorter manufacturing process for TIL known as Gen 2, which yields a cryopreserved TIL product. This proprietary and scalable manufacturing method is being investigated in multiple indications. Our lead product candidates include lifileucel for metastatic melanoma and metastatic cervical cancer. In addition to metastatic melanoma and metastatic cervical cancer, we are investigating the effectiveness and safety of TIL for the treatment of squamous cell carcinoma of the head and neck, non-small cell lung cancer, and are investigating PBL therapy for CLL or SLL through our sponsored trials, as well as in other oncology indications through collaborations.</w:t>
      </w:r>
    </w:p>
    <w:p>
      <w:pPr>
        <w:spacing w:after="0" w:line="166"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We are conducting a Phase 2 clinical trial, C-144-01, of our lead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a BLA submission for lifileucel. Cohorts 2 and 4 of the C-144-01 trial use our Gen 2 manufacturing process. We completed and closed enrollment of patients into Cohort 2 of the C-144-01 trial in 2018. Results from Cohort 2 of the C-144-01 clinical trial were initially reported at the ASCO annual meeting on June 1, 2019 and subsequently updated at the ASCO annual meeting on May 29, 2020. In 66 patients with metastatic melanoma, treatment with lifileucel resulted in an ORR of 36%, as assessed by investigator, with 2 complete responses and 22 partial responses. The DCR was 80.3%. Patients were heavily pretreated and had a mean of 3.3 prior therapies. We have reported durable responses across a wide age range of metastatic melanoma patients, and among those who have received prior anti-CTLA-4 and BRAF targeted treatments, regardless of BRAF mutation status, and equally in patients with PD-L1 high and low status. We have provided several updates on the median DOR for Cohort 2 and most recently, in January 2021, we announced that median DOR in Cohort 2 had still not been reached after 28.1 months of median study follow up, as assessed by investigator. The adverse event profile was generally consistent with the underlying advanced disease and the profile of the lymphodepletion and IL-2 regimens.</w:t>
      </w:r>
    </w:p>
    <w:p>
      <w:pPr>
        <w:spacing w:after="0" w:line="171"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Pivotal Cohort 4 of the C-144-01 trial was enrolled to evaluate ORR as read out by an IRC as the primary endpoint based on our interpretation of discussions with the FDA as part of an EOP2 meeting held with the FDA in the third quarter of 2018. In October 2018, based on the data provided to the FDA during the EOP2 meeting, we announced that lifileucel had received a RMAT designation from the FDA. Enrollment in Cohort 4 of the C-144-01 trial commenced in March 2019 and patient dosing was completed in January 2020. A total of 87 patients were dosed in Cohort 4. Initial results from Cohort 4 are available for 68 patients with two radiological assessments, as determined by investigator. Lifileucel showed a 32.4% ORR, including one complete response and 21 partial responses, two of which were yet to be confirmed with follow up visits at the time of the data cut, and a DCR of 72.1% as of the data cut off of March 16, 2020, corresponding to 5.3 months of median study follow up. This data is consistent with the Cohort 2 data read out at a similar median duration of study follow up. The ORR of Cohort 2 at a median study follow up of 6 months was 33%. In October 2020, after a Type B meeting with the FDA, we announced that we had delayed our BLA submission for lifileucel in metastatic melanoma as a result of FDA feedback, in order to allow us to simultaneously refine existing and develop new potency assays, and we anticipate submitting our BLA in 2021. At the same time, we also announced that we had reached agreement with the FDA on the minimum duration of follow up for Cohort 4 to support our BLA submission for lifileucel in the treatment of metastatic melanoma.</w:t>
      </w:r>
    </w:p>
    <w:p>
      <w:pPr>
        <w:spacing w:after="0" w:line="174" w:lineRule="exact"/>
        <w:rPr>
          <w:sz w:val="20"/>
          <w:szCs w:val="20"/>
          <w:color w:val="auto"/>
        </w:rPr>
      </w:pPr>
    </w:p>
    <w:p>
      <w:pPr>
        <w:ind w:right="80" w:firstLine="486"/>
        <w:spacing w:after="0" w:line="285"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BTD from the FDA for development in the treatment of cervical cancer. Updated results from the C-</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Based on an EOP2 meeting held with the FDA in June 2019, we believe that results from the C-</w:t>
      </w:r>
    </w:p>
    <w:p>
      <w:pPr>
        <w:sectPr>
          <w:pgSz w:w="11900" w:h="16838" w:orient="portrait"/>
          <w:cols w:equalWidth="0" w:num="1">
            <w:col w:w="9900"/>
          </w:cols>
          <w:pgMar w:left="980" w:top="665"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145-04 clinical trial may be sufficient to support registration of lifileucel for the treatment of patients with metastatic cervical cancer. In accordance with the FDA’s recommendations, the protocol was amended to further define the patient population. In November 2019, in order to evaluate lifileucel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after completion of the enrollment in the registrational cohorts. In January 2021, we announced that Cohort 2 of the C-145-04 trial had completed enrollment and that data from this cohort may be supportive of registration because of the expected changing landscape of care for cervical patients. We intend to initiate a dialog with the FDA in 2021 to discuss BLA submission plans for lifileucel in cervical cancer.</w:t>
      </w:r>
    </w:p>
    <w:p>
      <w:pPr>
        <w:spacing w:after="0" w:line="19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November 2020, we announced that we had finalized the protocol for our potential registrational clinical trial in NSCLC, IOV-LUN-202, to investigate LN-145 in patients with recurrent or metastatic NSCLC, without driver mutations, who previously received a single line of approved systemic therapy of combined checkpoint inhibitor and chemotherapy. The IOV-LUN-202 clinical trial includes three cohorts. Cohorts 1 and 3 of the IOV-LUN-202 clinical trial will enroll patients with a PD-L1 TPS of less than one percent, and Cohort 2 will enroll patients with a PD-L1 TPS of greater than or equal to one percent. We intend to enroll patients in the IOV-LUN-202 clinical trial throughout 2021.</w:t>
      </w:r>
    </w:p>
    <w:p>
      <w:pPr>
        <w:spacing w:after="0" w:line="19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C-145-03 is our Phase 2, multicenter trial to assess the safety and efficacy of our product candidate LN-145 for the treatment of patients with recurrent metastatic HNSCC. In October 2018, we reported that, to date,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66" w:lineRule="exact"/>
        <w:rPr>
          <w:sz w:val="20"/>
          <w:szCs w:val="20"/>
          <w:color w:val="auto"/>
        </w:rPr>
      </w:pPr>
    </w:p>
    <w:p>
      <w:pPr>
        <w:ind w:right="120" w:firstLine="486"/>
        <w:spacing w:after="0" w:line="268" w:lineRule="auto"/>
        <w:rPr>
          <w:sz w:val="20"/>
          <w:szCs w:val="20"/>
          <w:color w:val="auto"/>
        </w:rPr>
      </w:pPr>
      <w:r>
        <w:rPr>
          <w:rFonts w:ascii="Arial" w:cs="Arial" w:eastAsia="Arial" w:hAnsi="Arial"/>
          <w:sz w:val="17"/>
          <w:szCs w:val="17"/>
          <w:color w:val="auto"/>
        </w:rPr>
        <w:t>We are also investigating the potential of our TIL therapies in earlier lines of treatment and in combination with pembrolizumab, and are studying LN-145 as a monotherapy in relapsed refractory NSCLC patients. IOV-COM-202 is a Phase 2, multicenter trial that is composed of seven cohorts that can enroll up to a total of 135 patients. In May 2019, we reported that the first patient was dosed in the IOV-COM-202 trial. In addition to its ongoing enrollment in the U.S., the IOV-COM-202 trial has also received regulatory approval in Canada and in certain European countries. 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SITC meeting in November 2020, as follows. As of October 16, 2020, nine HNSCC patients have received LN-145 plus pembrolizumab with a median duration of follow up of 8.6 months. Nine and eight patients were evaluable for safety and efficacy, respectively. Four patients had a confirmed, objective response with an ORR of 44% including one complete response and three partial responses. Median DOR was not reached. The disease control rate at data cutoff was 89% in nine patients, and seven of the eight evaluable patients, or 87.5%, had a reduction in target lesions. The median number of prior therapies was 1.0 with 89% of the patients having received prior chemotherapy. Four patients were HPV positive, three patients were HPV negative, and two patients had unknown HPV status. The TEAE profile was consistent with the underlying advanced disease and the known adverse event profiles of pembrolizumab, lymphodepletion, and IL-2 regimens. The most common TEAEs, occurring in more than 50% of evaluable subjects, were chills, anemia, hypotension, nausea, pyrexia, and thrombocytopenia.</w:t>
      </w:r>
    </w:p>
    <w:p>
      <w:pPr>
        <w:spacing w:after="0" w:line="18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November 2019, we announced that our IND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8"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As part of our collaboration program with MDACC, two Phase 2 trials were initiated in 2018. Both trials are sponsored by MDACC. The first trial, NCT03449108, is intended to allow for investigation of LN-145 manufactured by us using our manufacturing processes to treat patients with soft tissue sarcoma, osteosarcoma, platinum resistant ovarian cancer, and thyroid cancer. A second trial under the collaboration with MDACC,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We are also collaborating with CHUM, Yale University,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figure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We have developed a third-generation manufacturing process known as Gen 3. Gen 3 is a shorter process than Gen 2. We are using Gen 3 manufacturing in Cohort 1C of the IOV-COM-202 trial in melanoma and in Cohort 3 of the IOV-LUN-202 trial in NSCLC and have previously used it in the C-145-03 trial in HNSCC.</w:t>
      </w:r>
    </w:p>
    <w:p>
      <w:pPr>
        <w:spacing w:after="0" w:line="184"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currently own more than twenty granted or allowed U.S. and international patents for compositions and methods of treatment in a broad range of cancers relating to our Gen 2 manufacturing process, including U.S. Patent Nos. 10,130,659, 10,166,257, 10,272,113, 10,363,273, 10,398,734, 10,420,799, 10,463,697, 10,537,595, 10,646,517, 10,653,723, 10,693,330, 10,695,372, 10,894,063, and 10,905,718. We anticipate that the terms of these patents related to Gen 2 manufacturing processes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85" w:lineRule="exact"/>
        <w:rPr>
          <w:sz w:val="20"/>
          <w:szCs w:val="20"/>
          <w:color w:val="auto"/>
        </w:rPr>
      </w:pPr>
    </w:p>
    <w:p>
      <w:pPr>
        <w:ind w:right="200" w:firstLine="492"/>
        <w:spacing w:after="0" w:line="289" w:lineRule="auto"/>
        <w:rPr>
          <w:sz w:val="20"/>
          <w:szCs w:val="20"/>
          <w:color w:val="auto"/>
        </w:rPr>
      </w:pPr>
      <w:r>
        <w:rPr>
          <w:rFonts w:ascii="Arial" w:cs="Arial" w:eastAsia="Arial" w:hAnsi="Arial"/>
          <w:sz w:val="16"/>
          <w:szCs w:val="16"/>
          <w:color w:val="auto"/>
        </w:rPr>
        <w:t>In January 2020, we obtained a license from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Novartis is also entitled to low-to-mid single digit percentage royalties from commercial sales of IOV-3001. In addition, in January 2020, we announced a research collaboration and exclusive worldwide licensing agreement with Cellectis, a clinical-stage biopharmaceutical company focused on developing immunotherapies based on gene-edited allogeneic chimeric antigen receptor modified T cells, whereby we licensed certain TALEN technology from Cellectis in order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development, regulatory and sales milestone payments from us to Cellectis, as well as royalty payments based on net sales of TALEN-modified TIL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9"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We did not generate any revenues during the years ended December 31, 2020 and 2019, respectively, and we currently do not anticipate that we will generate any significant revenues from the sale or licensing of our product candidates during the 12 month period from the date these financial statements are issued. Our ability to generate revenues in the future will depend on our ability to complete the development of our product candidates and to obtain regulatory approval for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Years Ended December 31,</w:t>
            </w:r>
          </w:p>
        </w:tc>
        <w:tc>
          <w:tcPr>
            <w:tcW w:w="320" w:type="dxa"/>
            <w:vAlign w:val="bottom"/>
          </w:tcPr>
          <w:p>
            <w:pPr>
              <w:spacing w:after="0"/>
              <w:rPr>
                <w:sz w:val="14"/>
                <w:szCs w:val="1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4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6"/>
              </w:rPr>
              <w:t>Stock-based compensation expense included in research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development expense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19,727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11,396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8,331</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73 %</w:t>
            </w:r>
          </w:p>
        </w:tc>
      </w:tr>
    </w:tbl>
    <w:p>
      <w:pPr>
        <w:spacing w:after="0" w:line="202"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Research and development expense for the year ended December 31, 2020 increased by $35.7 million, or 22%, compared to the year ended December 31, 2019. The increase was primarily attributable to (i) a $20.9 million increase in payroll and related expenses driven by a higher number of full-time research and development employees and outside services, (ii) a $10.0 million increase for the license to further develop IOV-3001 obtained from Novartis, (iii) a $8.3 million increase in stock-based compensation expenses, and (iv) a $6.6 million increase in clinical trial costs due to an increase in enrollment across all the trials and initiation of new clinical trials. Further, a $0.8 million increase in research consumables cost contributed to the increase. These increases were partially offset by lower manufacturing costs by $9.1 million due to decreased production runs in 2020 as a result of completion of enrollment in the melanoma pivotal program and a $2.3 million decrease in research alliance expenses due to the COVID-19 pandemic’s impact on patient enrollment in the clinical trials with our research alliance partners.</w:t>
      </w:r>
    </w:p>
    <w:p>
      <w:pPr>
        <w:spacing w:after="0" w:line="154" w:lineRule="exact"/>
        <w:rPr>
          <w:sz w:val="20"/>
          <w:szCs w:val="20"/>
          <w:color w:val="auto"/>
        </w:rPr>
      </w:pPr>
    </w:p>
    <w:p>
      <w:pPr>
        <w:ind w:right="140" w:firstLine="492"/>
        <w:spacing w:after="0" w:line="311" w:lineRule="auto"/>
        <w:rPr>
          <w:sz w:val="20"/>
          <w:szCs w:val="20"/>
          <w:color w:val="auto"/>
        </w:rPr>
      </w:pPr>
      <w:r>
        <w:rPr>
          <w:rFonts w:ascii="Arial" w:cs="Arial" w:eastAsia="Arial" w:hAnsi="Arial"/>
          <w:sz w:val="16"/>
          <w:szCs w:val="16"/>
          <w:color w:val="auto"/>
        </w:rPr>
        <w:t>We expect our research and development expenses to increase over the next several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49"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4"/>
                <w:szCs w:val="14"/>
                <w:color w:val="auto"/>
              </w:rPr>
            </w:pP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Increase (Decrease)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7"/>
              </w:rPr>
              <w:t>Stock-based compensation expense included in general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12,881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64 %</w:t>
            </w:r>
          </w:p>
        </w:tc>
      </w:tr>
    </w:tbl>
    <w:p>
      <w:pPr>
        <w:spacing w:after="0" w:line="202" w:lineRule="exact"/>
        <w:rPr>
          <w:sz w:val="20"/>
          <w:szCs w:val="20"/>
          <w:color w:val="auto"/>
        </w:rPr>
      </w:pPr>
    </w:p>
    <w:p>
      <w:pPr>
        <w:ind w:right="120" w:firstLine="492"/>
        <w:spacing w:after="0" w:line="273" w:lineRule="auto"/>
        <w:rPr>
          <w:sz w:val="20"/>
          <w:szCs w:val="20"/>
          <w:color w:val="auto"/>
        </w:rPr>
      </w:pPr>
      <w:r>
        <w:rPr>
          <w:rFonts w:ascii="Arial" w:cs="Arial" w:eastAsia="Arial" w:hAnsi="Arial"/>
          <w:sz w:val="17"/>
          <w:szCs w:val="17"/>
          <w:color w:val="auto"/>
        </w:rPr>
        <w:t>General and administrative expense for the year ended December 31, 2020 increased by $19.4 million, or 47%, compared to the year ended December 31, 2019. The increase was primarily attributable to (i) a $8.3 million increase in stock-based compensation expenses and a $7.1 million increase in payroll and related expenses driven by a higher number of full-time general and administrative employees and higher average stock price, (ii) a $2.1 million increase in director’s and officer’s insurance premiums, (iii) a $1.1 million increase in intellectual property legal costs, and (iv) a $1.1 million in market research activities as we prepare for commercialization. These increases were partially offset by a $0.7 million decrease in travel expenses.</w:t>
      </w:r>
    </w:p>
    <w:p>
      <w:pPr>
        <w:spacing w:after="0" w:line="17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General and administrative expenses include personnel costs for our employees engaged in general and administrative activities, legal fees, and expenses related to marketing and commercial activities, audit and tax fees, consultants and professional services, and general corporate expenses. We anticipate general and administrative expenses will increase in 2021 as we continue to prepare for commercialization, complete our manufacturing facility and support an expected increase in total headcount.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4"/>
                <w:szCs w:val="14"/>
                <w:color w:val="auto"/>
              </w:rPr>
            </w:pPr>
          </w:p>
        </w:tc>
        <w:tc>
          <w:tcPr>
            <w:tcW w:w="220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47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Interest income results from our interest-bearing cash and investment balances. Net interest income decreased by $7.0 million, or 75%, due primarily to a decrease in interest rates in 2020 as compared to the same period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4"/>
                <w:szCs w:val="14"/>
                <w:color w:val="auto"/>
              </w:rPr>
            </w:pP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(Increase) Decrease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CCEEFF"/>
            </w:tcBorders>
          </w:tcPr>
          <w:p>
            <w:pPr>
              <w:spacing w:after="0"/>
              <w:rPr>
                <w:sz w:val="12"/>
                <w:szCs w:val="12"/>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(259,581)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(197,556)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(62,025)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280" w:firstLine="492"/>
        <w:spacing w:after="0" w:line="301" w:lineRule="auto"/>
        <w:rPr>
          <w:sz w:val="20"/>
          <w:szCs w:val="20"/>
          <w:color w:val="auto"/>
        </w:rPr>
      </w:pPr>
      <w:r>
        <w:rPr>
          <w:rFonts w:ascii="Arial" w:cs="Arial" w:eastAsia="Arial" w:hAnsi="Arial"/>
          <w:sz w:val="16"/>
          <w:szCs w:val="16"/>
          <w:color w:val="auto"/>
        </w:rPr>
        <w:t>Net loss for the year ended December 31, 2020 increased by $62.0 million or 31%, compared to the year ended December 31, 2019. The increase in our net loss was due to the continued expansion of our research and development activities, increased clinical trials, and the overall growth of our corporate infrastructure. We anticipate that we will continue to incur net losses in the future as we further invest in our research and development activities, including our commercial readiness and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years ended December 31, 2019 and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56"/>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 (in thousands)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5200" w:type="dxa"/>
            <w:vAlign w:val="bottom"/>
          </w:tcPr>
          <w:p>
            <w:pPr>
              <w:spacing w:after="0"/>
              <w:rPr>
                <w:sz w:val="24"/>
                <w:szCs w:val="24"/>
                <w:color w:val="auto"/>
              </w:rPr>
            </w:pPr>
          </w:p>
        </w:tc>
        <w:tc>
          <w:tcPr>
            <w:tcW w:w="244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4"/>
                <w:szCs w:val="24"/>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2"/>
              </w:rPr>
              <w:t>Increase (Decrease)</w:t>
            </w:r>
          </w:p>
        </w:tc>
      </w:tr>
      <w:tr>
        <w:trPr>
          <w:trHeight w:val="209"/>
        </w:trPr>
        <w:tc>
          <w:tcPr>
            <w:tcW w:w="5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166,023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research and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development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11,396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22 %</w:t>
            </w:r>
          </w:p>
        </w:tc>
      </w:tr>
    </w:tbl>
    <w:p>
      <w:pPr>
        <w:spacing w:after="0" w:line="202" w:lineRule="exact"/>
        <w:rPr>
          <w:sz w:val="20"/>
          <w:szCs w:val="20"/>
          <w:color w:val="auto"/>
        </w:rPr>
      </w:pPr>
    </w:p>
    <w:p>
      <w:pPr>
        <w:ind w:right="100" w:firstLine="492"/>
        <w:spacing w:after="0" w:line="254" w:lineRule="auto"/>
        <w:rPr>
          <w:sz w:val="20"/>
          <w:szCs w:val="20"/>
          <w:color w:val="auto"/>
        </w:rPr>
      </w:pPr>
      <w:r>
        <w:rPr>
          <w:rFonts w:ascii="Arial" w:cs="Arial" w:eastAsia="Arial" w:hAnsi="Arial"/>
          <w:sz w:val="18"/>
          <w:szCs w:val="18"/>
          <w:color w:val="auto"/>
        </w:rPr>
        <w:t>Research and development expense for the year ended December 31, 2019 increased by $66.2 million, or 66%, compared to the year ended December 31, 2018. The increase was primarily attributable to (i) a $27.4 million increase in manufacturing costs due to increased production runs and additional manufacturing capacity costs to support the ongoing clinical trials, (ii) a $21.4 million increase in clinical trial costs due to an increase in the number of patients in the clinical trials and purchases of clinical trial drugs, and (iii) a $12.6 million increase in payroll and related expenses and $2.1 million increase in share-based compensation expenses driven by a higher number of full-time research and development employees and dedicated consultants as we expanded our internal research and clinical development programs in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 (in thousands)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5200" w:type="dxa"/>
            <w:vAlign w:val="bottom"/>
          </w:tcPr>
          <w:p>
            <w:pPr>
              <w:spacing w:after="0"/>
              <w:rPr>
                <w:sz w:val="24"/>
                <w:szCs w:val="24"/>
                <w:color w:val="auto"/>
              </w:rPr>
            </w:pPr>
          </w:p>
        </w:tc>
        <w:tc>
          <w:tcPr>
            <w:tcW w:w="244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4"/>
                <w:szCs w:val="24"/>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2"/>
              </w:rPr>
              <w:t>Increase (Decrease)</w:t>
            </w:r>
          </w:p>
        </w:tc>
      </w:tr>
      <w:tr>
        <w:trPr>
          <w:trHeight w:val="210"/>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general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administrative expense</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bl>
    <w:p>
      <w:pPr>
        <w:spacing w:after="0" w:line="202"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General and administrative expense for the year ended December 31, 2019 increased by $12.4 million, or 44%, compared to the year ended December 31, 2018. The change was primarily attributable to a $3.8 million increase in payroll and related expenses, $2.2 million increase in stock-based compensation expenses driven by a higher number of full-time general and administrative employees, a $3.2 million increase in intellectual property legal costs and a $2.0 million increase in market research activities as we prepare for commercialization.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Interest Income (in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9"/>
              </w:rPr>
              <w:t>Years Ended December 31,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6"/>
              </w:rPr>
              <w:t>Increase (Decrease)</w:t>
            </w:r>
          </w:p>
        </w:tc>
      </w:tr>
      <w:tr>
        <w:trPr>
          <w:trHeight w:val="210"/>
        </w:trPr>
        <w:tc>
          <w:tcPr>
            <w:tcW w:w="4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Interest income results from our interest-bearing cash and investment balances. Net interest income increased by $4.7 million due to the higher interest income earned from full-year short-term investments for a full-year as compared to the prior year when we started purchasing short-term investments during the second half of 2018. As our cash, cash equivalents and short term investment balance decrease, we anticipate interest income to decrease.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Net Loss (in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240" w:type="dxa"/>
            <w:vAlign w:val="bottom"/>
          </w:tcPr>
          <w:p>
            <w:pPr>
              <w:spacing w:after="0"/>
              <w:rPr>
                <w:sz w:val="24"/>
                <w:szCs w:val="24"/>
                <w:color w:val="auto"/>
              </w:rPr>
            </w:pPr>
          </w:p>
        </w:tc>
        <w:tc>
          <w:tcPr>
            <w:tcW w:w="2220" w:type="dxa"/>
            <w:vAlign w:val="bottom"/>
            <w:gridSpan w:val="4"/>
          </w:tcPr>
          <w:p>
            <w:pPr>
              <w:ind w:left="160"/>
              <w:spacing w:after="0"/>
              <w:rPr>
                <w:sz w:val="20"/>
                <w:szCs w:val="20"/>
                <w:color w:val="auto"/>
              </w:rPr>
            </w:pPr>
            <w:r>
              <w:rPr>
                <w:rFonts w:ascii="Arial" w:cs="Arial" w:eastAsia="Arial" w:hAnsi="Arial"/>
                <w:sz w:val="18"/>
                <w:szCs w:val="18"/>
                <w:b w:val="1"/>
                <w:bCs w:val="1"/>
                <w:color w:val="auto"/>
              </w:rPr>
              <w:t>(Increase) Decrease</w:t>
            </w:r>
          </w:p>
        </w:tc>
      </w:tr>
      <w:tr>
        <w:trPr>
          <w:trHeight w:val="210"/>
        </w:trPr>
        <w:tc>
          <w:tcPr>
            <w:tcW w:w="4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(197,556)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(73,976)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Net loss for the year ended December 31, 2019 increased by $74.0 million or 60%, compared to the year ended December 31, 2018. The increase in our net loss was due to the continued expansion of our research and development activities, increased clinical trials and manufacturing activities, and the overall growth of our corporate infrastructure.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2021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22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December 31, 2020, we had outstanding 146,874,917 shares of our $0.000041666 par value common stock, 194 shares of our $0.001 par value Series A Convertible Preferred Stock, and 3,581,119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3,581,119 shares of our common stock. The shares of Series A Convertible Preferred Stock and Series B Convertible Preferred Stock do not have voting rights or accrue dividends.</w:t>
      </w:r>
    </w:p>
    <w:p>
      <w:pPr>
        <w:spacing w:after="0" w:line="19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9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78"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On September 17, 2019, we filed a shelf registration statement with the SEC for the issuance up to an aggregate amount of $400 million,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1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pacing w:after="0" w:line="160"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On June 2, 2020, we sold 19,475,806 shares of our common stock at a public offering price of $31.00 per share pursuant to the 2020 Automatic Shelf Registration Statement.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31"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49"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significant revenues from the sale or licensing of any products during the 12 months from the date these financial statements are issued. We have incurred a net loss of $259.6 million for the year ended December 31, 2020 and used $205.1 million of cash in our operating activities for the year ended December 31, 2020. As of December 31, 2020, we had $629.4 million of cash, cash equivalents, and short-term investments ($67.3 million of cash and cash equivalents and $562.1 million of short-term investments), $656.5 million of stockholders’ equity and had working capital of $581.2 million.</w:t>
      </w:r>
    </w:p>
    <w:p>
      <w:pPr>
        <w:spacing w:after="0" w:line="188" w:lineRule="exact"/>
        <w:rPr>
          <w:sz w:val="20"/>
          <w:szCs w:val="20"/>
          <w:color w:val="auto"/>
        </w:rPr>
      </w:pPr>
    </w:p>
    <w:p>
      <w:pPr>
        <w:ind w:right="180" w:firstLine="492"/>
        <w:spacing w:after="0" w:line="254" w:lineRule="auto"/>
        <w:rPr>
          <w:sz w:val="20"/>
          <w:szCs w:val="20"/>
          <w:color w:val="auto"/>
        </w:rPr>
      </w:pPr>
      <w:r>
        <w:rPr>
          <w:rFonts w:ascii="Arial" w:cs="Arial" w:eastAsia="Arial" w:hAnsi="Arial"/>
          <w:sz w:val="18"/>
          <w:szCs w:val="18"/>
          <w:color w:val="auto"/>
        </w:rPr>
        <w:t>We expect to further increase our research and development activities, especially continuing pre-commercial activities and completing the construction of our tenant improvements to our new commercial manufacturing facility, which will increase the amount of cash we will use during 2021 and beyond. Specifically, we expect increased spending on clinical trials, research and development activities, higher payroll expenses as we increase our professional and scientific staff and continue our expansion of manufacturing activities including building our own facility. Based on the funds we have available as of the date of the filing of this Annual Report on Form 10-K, we believe that we have sufficient capital to fund our anticipated operating expenses and capital expenditure for at least 12 months from the date of filing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Flows from Operating, Investing and Financing Activities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(205,134)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(158,889)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(101,249)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(317,853)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(386,279)</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424,307</w:t>
            </w: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(63,221)</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492"/>
        <w:spacing w:after="0" w:line="291" w:lineRule="auto"/>
        <w:rPr>
          <w:sz w:val="20"/>
          <w:szCs w:val="20"/>
          <w:color w:val="auto"/>
        </w:rPr>
      </w:pPr>
      <w:r>
        <w:rPr>
          <w:rFonts w:ascii="Arial" w:cs="Arial" w:eastAsia="Arial" w:hAnsi="Arial"/>
          <w:sz w:val="16"/>
          <w:szCs w:val="16"/>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year ended December 31, 2020 increased by $46.2 million to $205.1 million in 2020 from $158.9 million for the same period in 2019. The increase was primarily attributable to (i) a $62.0 million increase in net loss due to increased costs in research and development activities and growth of our corporate infrastructure, which was adjusted by (ii) a $16.6 million increase in stock-based compensation costs. Included in $46.2 million of the increase in cash used in operating activities was the $10.0 million upfront payment we made to Novartis in connection with the license for IOV-3001.</w:t>
      </w:r>
    </w:p>
    <w:p>
      <w:pPr>
        <w:spacing w:after="0" w:line="166"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Net cash used in operating activities for the year ended December 31, 2019 increased by $57.6 million to $158.9 million in 2019 from of $101.2 million for the same period in 2018. The increase was primarily attributable to (i) a $73.4 million increase in net loss, which was adjusted by (ii) a $4.2 million increase in stock-based compensation expense, (iii) a $7.0 million increase in noncash lease expense. Further, it was adjusted for a $11.2 million increase in accounts payable primarily due to increases in activities by our company and the timing of payments, which were offset by a $6.1 million increase in right-of-use assets due to the adoption of the new lease accounting standard.</w:t>
      </w:r>
    </w:p>
    <w:p>
      <w:pPr>
        <w:spacing w:after="0" w:line="192"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Net cash used in operating activities for the year ended December 31, 2018 increased by $22.5 million to $101.2 million from $78.8 million in 2017. The increase was primarily attributable to a $31.5 million increase in net loss, which was adjusted by a $8.1 million increase in stock-based compensation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Net cash (used in) / provided by investing activities primarily consists of purchases, maturities of our short-term investments and capital expenditures. Net cash used in investing activities for the year ended December 31, 2020 was $317.9 million compared to net cash provided by $90.0 million for the same period in 2019. The increase in net cash used in investing activities was due primarily to a $368.0 million increase in net purchases of short-term investments from our June 2020 public offering and a $39.9 million increase in the purchase of property and equipment for the commercial manufacturing facility.</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2019 was $90.0 million compared to net cash used in investing activities of $386.3 million for the same period in 2018. The increase in net cash provided in 2019 was due primarily to $482.0 million increase in net maturities of short-term investments, which was partially offset by a $5.7 million increase in the purchases of property and equipment.</w:t>
      </w:r>
    </w:p>
    <w:p>
      <w:pPr>
        <w:spacing w:after="0" w:line="187" w:lineRule="exact"/>
        <w:rPr>
          <w:sz w:val="20"/>
          <w:szCs w:val="20"/>
          <w:color w:val="auto"/>
        </w:rPr>
      </w:pPr>
    </w:p>
    <w:p>
      <w:pPr>
        <w:ind w:firstLine="537"/>
        <w:spacing w:after="0" w:line="263" w:lineRule="auto"/>
        <w:rPr>
          <w:sz w:val="20"/>
          <w:szCs w:val="20"/>
          <w:color w:val="auto"/>
        </w:rPr>
      </w:pPr>
      <w:r>
        <w:rPr>
          <w:rFonts w:ascii="Arial" w:cs="Arial" w:eastAsia="Arial" w:hAnsi="Arial"/>
          <w:sz w:val="18"/>
          <w:szCs w:val="18"/>
          <w:color w:val="auto"/>
        </w:rPr>
        <w:t>Net cash used in investing activities for the year ended December 31, 2018 was $386.3 million compared to net cash provided in investing activities of $58.7 million for the same period in 2017. The increase in net cash used in 2018 was due to our reinvestment of the proceeds from January 2018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2020 was $576.4 million compared to net cash provided of $6.1 million for the same period in 2019. The increase in net cash provided was primarily due to the cash proceeds of $567.0 million from the June 2020 public offering and a $3.2 million increase in proceeds from the exercise of stock options.</w:t>
      </w:r>
    </w:p>
    <w:p>
      <w:pPr>
        <w:spacing w:after="0" w:line="165"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2019 was $6.1 million compared to net cash provided of $424.3 million for the same period in 2018. The decrease in net cash provided was due primarily to higher proceeds in 2018 obtained from the January 2018 public offering and exercise of warrants.</w:t>
      </w:r>
    </w:p>
    <w:p>
      <w:pPr>
        <w:spacing w:after="0" w:line="184"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Net cash provided by financing activities of for the year ended December 31, 2018 was $424.3 million compared to $58.7 million for the same period in 2017. The increase was primarily due to a $345.2 million increase in cash proceeds from the public offering in January 2018 as compared to the October 2017 public offering, and a $19.4 million increase in cash proceeds from the exercise of warrants and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Recent Accounting Standards</w:t>
      </w:r>
    </w:p>
    <w:p>
      <w:pPr>
        <w:spacing w:after="0" w:line="229"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in the financial statements and related disclosures. On an ongoing basis, we evaluate our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See Note 2 of the financial statements for a discussion of our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19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87"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Our current non-cancellable contractual obligations as of December 31, 2020 that will require future cash payments are as follows (in thousands):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103,411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CMO contractual obligations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9,877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color w:val="auto"/>
        </w:rPr>
        <w:t>Operating lease obligations consist of obligations under non-cancelable operating leases for our facilities in San Carlos, CA, Philadelphia, PA, Tampa, FL, and New York, NY.</w:t>
      </w:r>
    </w:p>
    <w:p>
      <w:pPr>
        <w:spacing w:after="0" w:line="170" w:lineRule="exact"/>
        <w:rPr>
          <w:sz w:val="20"/>
          <w:szCs w:val="20"/>
          <w:color w:val="auto"/>
        </w:rPr>
      </w:pPr>
    </w:p>
    <w:p>
      <w:pPr>
        <w:ind w:right="540" w:firstLine="492"/>
        <w:spacing w:after="0" w:line="263" w:lineRule="auto"/>
        <w:rPr>
          <w:sz w:val="20"/>
          <w:szCs w:val="20"/>
          <w:color w:val="auto"/>
        </w:rPr>
      </w:pPr>
      <w:r>
        <w:rPr>
          <w:rFonts w:ascii="Arial" w:cs="Arial" w:eastAsia="Arial" w:hAnsi="Arial"/>
          <w:sz w:val="18"/>
          <w:szCs w:val="18"/>
          <w:color w:val="auto"/>
        </w:rPr>
        <w:t>Contract Manufacturing Organization, or CMO, contractual obligations consist of embedded lease obligations for the manufacturing facilities and minimum fixed commitment fees included in our manufacturing contracts, such as personnel, general support fee, and minimum production or material fees. See Note 10 of the financial statements.</w:t>
      </w:r>
    </w:p>
    <w:p>
      <w:pPr>
        <w:spacing w:after="0" w:line="184"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The contractual obligations table above excludes approximately $40 million over the next year for equipment and construction costs for our commercial-scale production facility in Philadelphia, 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9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2020.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8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60"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fiscal year ending December 31, 2021.</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2020, we had no obligations that would require disclosure as off-balance sheet arrangements.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At December 31, 2020, we had $562.1 million invested in short-term marketable securities with a maturity date of less than one year. As such we believe that we are not exposed to any material market risk. If interest rates had varied by 1% in the year ended December 31, 2020, the fair value of our investment portfolio would increase or decrease by approximately $2.6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720" w:firstLine="492"/>
        <w:spacing w:after="0" w:line="277" w:lineRule="auto"/>
        <w:rPr>
          <w:sz w:val="20"/>
          <w:szCs w:val="20"/>
          <w:color w:val="auto"/>
        </w:rPr>
      </w:pPr>
      <w:r>
        <w:rPr>
          <w:rFonts w:ascii="Arial" w:cs="Arial" w:eastAsia="Arial" w:hAnsi="Arial"/>
          <w:sz w:val="18"/>
          <w:szCs w:val="18"/>
          <w:color w:val="auto"/>
        </w:rPr>
        <w:t>Inflation has not had a material effect on our business, financial condition or results of operations during the years ended December 31, 2020, 2019, or 2018.</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60" w:firstLine="492"/>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as a part of this Annual Report on Form 10-K, and are incorporated herein by this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78"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225"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2020 based on the framework in </w:t>
      </w:r>
      <w:r>
        <w:rPr>
          <w:rFonts w:ascii="Arial" w:cs="Arial" w:eastAsia="Arial" w:hAnsi="Arial"/>
          <w:sz w:val="16"/>
          <w:szCs w:val="16"/>
          <w:i w:val="1"/>
          <w:iCs w:val="1"/>
          <w:color w:val="auto"/>
        </w:rPr>
        <w:t>Internal Control—Integrated Framework</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or COSO. Based on that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was effective as of December 31, 2020.</w:t>
      </w:r>
    </w:p>
    <w:p>
      <w:pPr>
        <w:spacing w:after="0" w:line="124"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color w:val="auto"/>
        </w:rPr>
        <w:t>The independent registered public accounting firm, Marcum LLP, has issued an attestation report on our internal control over financial reporting. The report on the audit of internal control over financial reporting is included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40" w:firstLine="492"/>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4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560" w:firstLine="49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29"/>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6"/>
          </w:tcPr>
          <w:p>
            <w:pPr>
              <w:ind w:left="4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4"/>
                <w:szCs w:val="14"/>
                <w:color w:val="auto"/>
              </w:rPr>
            </w:pPr>
          </w:p>
        </w:tc>
        <w:tc>
          <w:tcPr>
            <w:tcW w:w="8700" w:type="dxa"/>
            <w:vAlign w:val="bottom"/>
            <w:tcBorders>
              <w:top w:val="single" w:sz="8" w:color="auto"/>
              <w:bottom w:val="single" w:sz="8" w:color="0000EE"/>
            </w:tcBorders>
            <w:gridSpan w:val="26"/>
          </w:tcPr>
          <w:p>
            <w:pPr>
              <w:spacing w:after="0" w:line="169"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Plan of Conversion (incorporated herein by reference to Exhibit 2.1 to the Registrant’s Current Report on Form 8-K filed</w:t>
              </w:r>
            </w:hyperlink>
          </w:p>
        </w:tc>
        <w:tc>
          <w:tcPr>
            <w:tcW w:w="200" w:type="dxa"/>
            <w:vAlign w:val="bottom"/>
            <w:tcBorders>
              <w:top w:val="single" w:sz="8" w:color="auto"/>
            </w:tcBorders>
            <w:gridSpan w:val="8"/>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85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Articles of Conversion (incorporated herein by reference to Exhibit 3.1 to the Registrant’s Current Report on Form 8-K</w:t>
              </w:r>
            </w:hyperlink>
          </w:p>
        </w:tc>
        <w:tc>
          <w:tcPr>
            <w:tcW w:w="3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filed with the Commission on June 2, 2017).</w:t>
              </w:r>
            </w:hyperlink>
          </w:p>
        </w:tc>
        <w:tc>
          <w:tcPr>
            <w:tcW w:w="5720" w:type="dxa"/>
            <w:vAlign w:val="bottom"/>
            <w:gridSpan w:val="29"/>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Certificate of Conversion (incorporated herein by reference to Exhibit 3.2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filed with the Commission on June 2, 2017).</w:t>
              </w:r>
            </w:hyperlink>
          </w:p>
        </w:tc>
        <w:tc>
          <w:tcPr>
            <w:tcW w:w="5560" w:type="dxa"/>
            <w:vAlign w:val="bottom"/>
            <w:tcBorders>
              <w:top w:val="single" w:sz="8" w:color="0000EE"/>
            </w:tcBorders>
            <w:gridSpan w:val="22"/>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87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Certificate of Incorporation (incorporated herein by reference to Exhibit 3.3 to the Registrant’s Current Report on Form 8-</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K filed with the Commission on June 2, 2017).</w:t>
              </w:r>
            </w:hyperlink>
          </w:p>
        </w:tc>
        <w:tc>
          <w:tcPr>
            <w:tcW w:w="5540" w:type="dxa"/>
            <w:vAlign w:val="bottom"/>
            <w:gridSpan w:val="27"/>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Certificate of Designations of Rights, Preferences and Privileges of Series A Convertible Preferred Stock (incorporated</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herein by reference to Exhibit 3.4 to the Registrant’s Post-Effective Amendment No. 1 to the Registration Statement on</w:t>
              </w:r>
            </w:hyperlink>
          </w:p>
        </w:tc>
        <w:tc>
          <w:tcPr>
            <w:tcW w:w="3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Form S-3 (file no. 333-214073) filed with the Commission on July 31, 2017).</w:t>
              </w:r>
            </w:hyperlink>
          </w:p>
        </w:tc>
        <w:tc>
          <w:tcPr>
            <w:tcW w:w="3340" w:type="dxa"/>
            <w:vAlign w:val="bottom"/>
            <w:gridSpan w:val="24"/>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Certificate of Designations of Rights, Preferences and Privileges of Series B Preferred Stock (incorporated herein by</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reference to Exhibit 3.5 to the Registrant’s Post-Effective Amendment No. 1 to the Registration Statement on Form S-3</w:t>
              </w:r>
            </w:hyperlink>
          </w:p>
        </w:tc>
        <w:tc>
          <w:tcPr>
            <w:tcW w:w="320" w:type="dxa"/>
            <w:vAlign w:val="bottom"/>
            <w:gridSpan w:val="11"/>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00" w:type="dxa"/>
            <w:vAlign w:val="bottom"/>
            <w:gridSpan w:val="34"/>
          </w:tcPr>
          <w:p>
            <w:pPr>
              <w:spacing w:after="0"/>
              <w:rPr>
                <w:rFonts w:ascii="Arial" w:cs="Arial" w:eastAsia="Arial" w:hAnsi="Arial"/>
                <w:sz w:val="18"/>
                <w:szCs w:val="18"/>
                <w:u w:val="single" w:color="auto"/>
                <w:color w:val="0000EE"/>
                <w:w w:val="95"/>
              </w:rPr>
            </w:pPr>
            <w:hyperlink r:id="rId118">
              <w:r>
                <w:rPr>
                  <w:rFonts w:ascii="Arial" w:cs="Arial" w:eastAsia="Arial" w:hAnsi="Arial"/>
                  <w:sz w:val="18"/>
                  <w:szCs w:val="18"/>
                  <w:u w:val="single" w:color="auto"/>
                  <w:color w:val="0000EE"/>
                  <w:w w:val="95"/>
                </w:rPr>
                <w:t>(file no. 333-214073 incorporated by reference into file no. 333-212373) filed with the Commission on July 31, 2017).</w:t>
              </w:r>
            </w:hyperlink>
          </w:p>
        </w:tc>
      </w:tr>
      <w:tr>
        <w:trPr>
          <w:trHeight w:val="190"/>
        </w:trPr>
        <w:tc>
          <w:tcPr>
            <w:tcW w:w="800" w:type="dxa"/>
            <w:vAlign w:val="bottom"/>
            <w:gridSpan w:val="2"/>
          </w:tcPr>
          <w:p>
            <w:pPr>
              <w:spacing w:after="0" w:line="190"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6"/>
                <w:szCs w:val="16"/>
                <w:color w:val="auto"/>
              </w:rPr>
            </w:pPr>
          </w:p>
        </w:tc>
        <w:tc>
          <w:tcPr>
            <w:tcW w:w="8020" w:type="dxa"/>
            <w:vAlign w:val="bottom"/>
            <w:tcBorders>
              <w:bottom w:val="single" w:sz="8" w:color="0000EE"/>
            </w:tcBorders>
            <w:gridSpan w:val="15"/>
          </w:tcPr>
          <w:p>
            <w:pPr>
              <w:spacing w:after="0" w:line="190"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9"/>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Registrant’s Current Report on Form 8-K filed with the Commission on June 27,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Registrant’s Current Report on Form 8 K filed with the Commission on June 11, 2019).</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88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Amended and Restated Bylaws (incorporated herein by reference to Exhibit 3.1 to the Registrant’s Current Report on Form</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8-K filed with the Commission on May 27, 2020).</w:t>
              </w:r>
            </w:hyperlink>
          </w:p>
        </w:tc>
        <w:tc>
          <w:tcPr>
            <w:tcW w:w="5300" w:type="dxa"/>
            <w:vAlign w:val="bottom"/>
            <w:gridSpan w:val="2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Specimen of Stock Certificate (incorporated herein by reference to Exhibit 4.2 to the Registrant’s Annual Report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Form 10-K filed with the Commission on March 12, 2018).</w:t>
              </w:r>
            </w:hyperlink>
          </w:p>
        </w:tc>
        <w:tc>
          <w:tcPr>
            <w:tcW w:w="4100" w:type="dxa"/>
            <w:vAlign w:val="bottom"/>
            <w:tcBorders>
              <w:top w:val="single" w:sz="8" w:color="0000EE"/>
            </w:tcBorders>
            <w:gridSpan w:val="10"/>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8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Description of Securities (incorporated herein by reference to Exhibit 4.3 to the Registrant’s Annual Report on Form 10-K</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filed with the Commission on March 6, 2019).</w:t>
              </w:r>
            </w:hyperlink>
          </w:p>
        </w:tc>
        <w:tc>
          <w:tcPr>
            <w:tcW w:w="5580" w:type="dxa"/>
            <w:vAlign w:val="bottom"/>
            <w:gridSpan w:val="28"/>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86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Genesis Biopharma, Inc. 2011 Equity Incentive Plan (incorporated herein by reference to Exhibit 10.3 to the Registrant’s</w:t>
              </w:r>
            </w:hyperlink>
          </w:p>
        </w:tc>
        <w:tc>
          <w:tcPr>
            <w:tcW w:w="2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Current Report on Form 8 K filed with the Commission on October 20, 2011).#</w:t>
              </w:r>
            </w:hyperlink>
          </w:p>
        </w:tc>
        <w:tc>
          <w:tcPr>
            <w:tcW w:w="3200" w:type="dxa"/>
            <w:vAlign w:val="bottom"/>
            <w:gridSpan w:val="2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8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Form of Incentive Stock Option Agreement under the Genesis Biopharma Inc. 2011 Equity Incentive Plan (incorporated</w:t>
              </w:r>
            </w:hyperlink>
          </w:p>
        </w:tc>
        <w:tc>
          <w:tcPr>
            <w:tcW w:w="26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9"/>
              </w:rPr>
            </w:pPr>
            <w:hyperlink r:id="rId125">
              <w:r>
                <w:rPr>
                  <w:rFonts w:ascii="Arial" w:cs="Arial" w:eastAsia="Arial" w:hAnsi="Arial"/>
                  <w:sz w:val="18"/>
                  <w:szCs w:val="18"/>
                  <w:color w:val="0000EE"/>
                  <w:w w:val="99"/>
                </w:rPr>
                <w:t>herein by reference to Exhibit 10.4 to the Registrant’s Annual Report on Form 10-K filed with the Commission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February 25, 2020).#</w:t>
              </w:r>
            </w:hyperlink>
          </w:p>
        </w:tc>
        <w:tc>
          <w:tcPr>
            <w:tcW w:w="6700" w:type="dxa"/>
            <w:vAlign w:val="bottom"/>
            <w:tcBorders>
              <w:top w:val="single" w:sz="8" w:color="0000EE"/>
            </w:tcBorders>
            <w:gridSpan w:val="17"/>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80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Form of Non-Qualified Stock Option Agreement under the Genesis Biopharma Inc. 2011 Equity Incentive Plan</w:t>
              </w:r>
            </w:hyperlink>
          </w:p>
        </w:tc>
        <w:tc>
          <w:tcPr>
            <w:tcW w:w="900" w:type="dxa"/>
            <w:vAlign w:val="bottom"/>
            <w:gridSpan w:val="2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(incorporated herein by reference to Exhibit 10.5 to the Registrant’s Annual Report on Form 10-K filed with the</w:t>
              </w:r>
            </w:hyperlink>
          </w:p>
        </w:tc>
        <w:tc>
          <w:tcPr>
            <w:tcW w:w="86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Commission on February 25, 2020).#</w:t>
              </w:r>
            </w:hyperlink>
          </w:p>
        </w:tc>
        <w:tc>
          <w:tcPr>
            <w:tcW w:w="6220" w:type="dxa"/>
            <w:vAlign w:val="bottom"/>
            <w:gridSpan w:val="31"/>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Lion Biotechnologies, Inc. 2014 Equity Incentive Plan, as amended (incorporated herein by reference to Appendix A to the</w:t>
              </w:r>
            </w:hyperlink>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40" w:type="dxa"/>
            <w:vAlign w:val="bottom"/>
            <w:tcBorders>
              <w:top w:val="single" w:sz="8" w:color="0000EE"/>
            </w:tcBorders>
            <w:gridSpan w:val="32"/>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Registrant’s Definitive Proxy Statement on Schedule 14A filed with the Commission on July 7, 2016).#</w:t>
              </w:r>
            </w:hyperlink>
          </w:p>
        </w:tc>
        <w:tc>
          <w:tcPr>
            <w:tcW w:w="60" w:type="dxa"/>
            <w:vAlign w:val="bottom"/>
            <w:gridSpan w:val="2"/>
          </w:tcPr>
          <w:p>
            <w:pPr>
              <w:spacing w:after="0"/>
              <w:rPr>
                <w:sz w:val="19"/>
                <w:szCs w:val="19"/>
                <w:color w:val="auto"/>
              </w:rPr>
            </w:pPr>
          </w:p>
        </w:tc>
      </w:tr>
      <w:tr>
        <w:trPr>
          <w:trHeight w:val="190"/>
        </w:trPr>
        <w:tc>
          <w:tcPr>
            <w:tcW w:w="800" w:type="dxa"/>
            <w:vAlign w:val="bottom"/>
            <w:gridSpan w:val="2"/>
          </w:tcPr>
          <w:p>
            <w:pPr>
              <w:spacing w:after="0" w:line="190"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6"/>
                <w:szCs w:val="16"/>
                <w:color w:val="auto"/>
              </w:rPr>
            </w:pPr>
          </w:p>
        </w:tc>
        <w:tc>
          <w:tcPr>
            <w:tcW w:w="8900" w:type="dxa"/>
            <w:vAlign w:val="bottom"/>
            <w:gridSpan w:val="34"/>
          </w:tcPr>
          <w:p>
            <w:pPr>
              <w:spacing w:after="0" w:line="190"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Form of Incentive Stock Option Agreement under the Lion Biotechnologies, Inc. 2014 Equity Incentive Plan (incorporated</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Borders>
              <w:top w:val="single" w:sz="8" w:color="0000EE"/>
            </w:tcBorders>
            <w:gridSpan w:val="31"/>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herein by reference to Exhibit 10.7 to the Registrant’s Annual Report on Form 10-K filed with the Commission on</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February 25, 2020).#</w:t>
              </w:r>
            </w:hyperlink>
          </w:p>
        </w:tc>
        <w:tc>
          <w:tcPr>
            <w:tcW w:w="6700" w:type="dxa"/>
            <w:vAlign w:val="bottom"/>
            <w:tcBorders>
              <w:top w:val="single" w:sz="8" w:color="0000EE"/>
            </w:tcBorders>
            <w:gridSpan w:val="17"/>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Form of Non-Qualified Stock Option Agreement under the Lion Biotechnologies, Inc. 2014 Equity Incentive Plan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(incorporated herein by reference to Exhibit 10.8 to the Registrant’s Annual Report on Form 10-K filed with the</w:t>
              </w:r>
            </w:hyperlink>
          </w:p>
        </w:tc>
        <w:tc>
          <w:tcPr>
            <w:tcW w:w="140" w:type="dxa"/>
            <w:vAlign w:val="bottom"/>
            <w:tcBorders>
              <w:top w:val="single" w:sz="8" w:color="0000EE"/>
            </w:tcBorders>
          </w:tcPr>
          <w:p>
            <w:pPr>
              <w:spacing w:after="0"/>
              <w:rPr>
                <w:sz w:val="17"/>
                <w:szCs w:val="17"/>
                <w:color w:val="auto"/>
              </w:rPr>
            </w:pPr>
          </w:p>
        </w:tc>
        <w:tc>
          <w:tcPr>
            <w:tcW w:w="72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Commission on February 25, 2020).#</w:t>
              </w:r>
            </w:hyperlink>
          </w:p>
        </w:tc>
        <w:tc>
          <w:tcPr>
            <w:tcW w:w="6220" w:type="dxa"/>
            <w:vAlign w:val="bottom"/>
            <w:gridSpan w:val="31"/>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87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Iovance Biotherapeutics, Inc. 2018 Equity Incentive Plan, as amended (incorporated herein by reference to Exhibit 10.2 to</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the Registrant’s Current Report on Form 8-K filed with the Commission on June 9, 2020).#</w:t>
              </w:r>
            </w:hyperlink>
          </w:p>
        </w:tc>
        <w:tc>
          <w:tcPr>
            <w:tcW w:w="2340" w:type="dxa"/>
            <w:vAlign w:val="bottom"/>
            <w:gridSpan w:val="21"/>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80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Form of Incentive Stock Option Agreement under the Iovance Biotherapeutics, Inc. 2018 Equity Incentive Plan</w:t>
              </w:r>
            </w:hyperlink>
          </w:p>
        </w:tc>
        <w:tc>
          <w:tcPr>
            <w:tcW w:w="900" w:type="dxa"/>
            <w:vAlign w:val="bottom"/>
            <w:gridSpan w:val="2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(incorporated herein by reference to Exhibit 10.10 of Registrant’s Annual Report on Form 10-K filed with the Commission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on February 25, 2020).#</w:t>
              </w:r>
            </w:hyperlink>
          </w:p>
        </w:tc>
        <w:tc>
          <w:tcPr>
            <w:tcW w:w="7100" w:type="dxa"/>
            <w:vAlign w:val="bottom"/>
            <w:tcBorders>
              <w:top w:val="single" w:sz="8" w:color="0000EE"/>
            </w:tcBorders>
            <w:gridSpan w:val="29"/>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Form of Non-Qualified Stock Option Agreement under the Iovance Biotherapeutics, Inc. 2018 Equity Incentive Plan</w:t>
              </w:r>
            </w:hyperlink>
          </w:p>
        </w:tc>
        <w:tc>
          <w:tcPr>
            <w:tcW w:w="52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(incorporated herein by reference to Exhibit 10.11 of Registrant’s Annual report on Form 10-K filed with the Commission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on February 25, 2020).#</w:t>
              </w:r>
            </w:hyperlink>
          </w:p>
        </w:tc>
        <w:tc>
          <w:tcPr>
            <w:tcW w:w="7040" w:type="dxa"/>
            <w:vAlign w:val="bottom"/>
            <w:tcBorders>
              <w:top w:val="single" w:sz="8" w:color="0000EE"/>
            </w:tcBorders>
            <w:gridSpan w:val="26"/>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88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Iovance Biotherapeutics, Inc, 2020 Employee Stock Purchase Plan (incorporated herein by reference to Exhibit 10.1 to the</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Registrant’s Current Report on Form 8-K filed with the Commission on June 9, 2020).#</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10.11</w:t>
            </w:r>
          </w:p>
        </w:tc>
        <w:tc>
          <w:tcPr>
            <w:tcW w:w="8220" w:type="dxa"/>
            <w:vAlign w:val="bottom"/>
            <w:tcBorders>
              <w:bottom w:val="single" w:sz="8" w:color="0000EE"/>
            </w:tcBorders>
            <w:gridSpan w:val="16"/>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Patent License Agreement by and between Genesis Biopharma, Inc. and the National Institutes of Health effective</w:t>
              </w:r>
            </w:hyperlink>
          </w:p>
        </w:tc>
        <w:tc>
          <w:tcPr>
            <w:tcW w:w="660" w:type="dxa"/>
            <w:vAlign w:val="bottom"/>
            <w:gridSpan w:val="1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October 5, 2011 (incorporated herein by reference to Exhibit 10.1 to the Registrant’s Current Report on Form 8-K/A filed</w:t>
              </w:r>
            </w:hyperlink>
          </w:p>
        </w:tc>
        <w:tc>
          <w:tcPr>
            <w:tcW w:w="1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with the Commission on December 13, 2011).*</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10.12</w:t>
            </w:r>
          </w:p>
        </w:tc>
        <w:tc>
          <w:tcPr>
            <w:tcW w:w="8880" w:type="dxa"/>
            <w:vAlign w:val="bottom"/>
            <w:gridSpan w:val="32"/>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Cooperative Research and Development Agreement for Intramural-PHS Clinical Research, dated August 5, 2011, by and</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between the U.S. Department of Health and Human Services, as represented by the National Cancer Institute, and Genesis</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Biopharma, Inc. (incorporated herein by reference to Exhibit 10.1 to the Registrant’s Current Report on Form 8-K/A</w:t>
              </w:r>
            </w:hyperlink>
          </w:p>
        </w:tc>
        <w:tc>
          <w:tcPr>
            <w:tcW w:w="500" w:type="dxa"/>
            <w:vAlign w:val="bottom"/>
            <w:gridSpan w:val="1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(Amendment No. 2) filed with the Commission on November 29, 2011).</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10.13</w:t>
            </w:r>
          </w:p>
        </w:tc>
        <w:tc>
          <w:tcPr>
            <w:tcW w:w="85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of Director Stock Award Agreement (incorporated herein by reference to Exhibit 10.2 to the Registrant’s Current</w:t>
              </w:r>
            </w:hyperlink>
          </w:p>
        </w:tc>
        <w:tc>
          <w:tcPr>
            <w:tcW w:w="32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Report on Form 8-K filed with the Commission on July 25, 2013).#</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10.14</w:t>
            </w:r>
          </w:p>
        </w:tc>
        <w:tc>
          <w:tcPr>
            <w:tcW w:w="7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Form of Registration Rights Agreement by and among Lion Biotechnologies, Inc. and the Investors thereunder</w:t>
              </w:r>
            </w:hyperlink>
          </w:p>
        </w:tc>
        <w:tc>
          <w:tcPr>
            <w:tcW w:w="900" w:type="dxa"/>
            <w:vAlign w:val="bottom"/>
            <w:gridSpan w:val="1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(incorporated herein by reference to Exhibit 10.2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Commission on October 31, 2013).</w:t>
              </w:r>
            </w:hyperlink>
          </w:p>
        </w:tc>
        <w:tc>
          <w:tcPr>
            <w:tcW w:w="5440" w:type="dxa"/>
            <w:vAlign w:val="bottom"/>
            <w:tcBorders>
              <w:top w:val="single" w:sz="8" w:color="0000EE"/>
            </w:tcBorders>
            <w:gridSpan w:val="10"/>
          </w:tcPr>
          <w:p>
            <w:pPr>
              <w:spacing w:after="0"/>
              <w:rPr>
                <w:sz w:val="17"/>
                <w:szCs w:val="17"/>
                <w:color w:val="auto"/>
              </w:rPr>
            </w:pPr>
          </w:p>
        </w:tc>
        <w:tc>
          <w:tcPr>
            <w:tcW w:w="900" w:type="dxa"/>
            <w:vAlign w:val="bottom"/>
            <w:gridSpan w:val="19"/>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10.15</w:t>
            </w:r>
          </w:p>
        </w:tc>
        <w:tc>
          <w:tcPr>
            <w:tcW w:w="88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Cooperative Research and Development Agreement for the Development and Evaluation of the NCI Proprietary Adoptive</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Cell Transfer Immunotherapy Using Tumor Infiltrating Lymphocytes in Patients with Metastatic Melanoma, Bladder,</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7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Lung, Triple-negative Breast, and HPV-associated Cancers, Utilizing Lion Biotechnologies, Inc.’s Business Development</w:t>
              </w:r>
            </w:hyperlink>
          </w:p>
        </w:tc>
        <w:tc>
          <w:tcPr>
            <w:tcW w:w="1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1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Expertise in Adoptive Cell Transfer Immunotherapy, executed by Lion Biotechnologies, Inc. on January 22, 2015</w:t>
              </w:r>
            </w:hyperlink>
          </w:p>
        </w:tc>
        <w:tc>
          <w:tcPr>
            <w:tcW w:w="700" w:type="dxa"/>
            <w:vAlign w:val="bottom"/>
            <w:gridSpan w:val="17"/>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8880" w:type="dxa"/>
            <w:vAlign w:val="bottom"/>
            <w:gridSpan w:val="32"/>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(incorporated herein by reference to Exhibit 10.1 to the Registrant’s Current Report on Form 8-K filed with the</w:t>
              </w:r>
            </w:hyperlink>
          </w:p>
        </w:tc>
      </w:tr>
      <w:tr>
        <w:trPr>
          <w:trHeight w:val="216"/>
        </w:trPr>
        <w:tc>
          <w:tcPr>
            <w:tcW w:w="1000" w:type="dxa"/>
            <w:vAlign w:val="bottom"/>
          </w:tcPr>
          <w:p>
            <w:pPr>
              <w:spacing w:after="0"/>
              <w:rPr>
                <w:sz w:val="18"/>
                <w:szCs w:val="18"/>
                <w:color w:val="auto"/>
              </w:rPr>
            </w:pPr>
          </w:p>
        </w:tc>
        <w:tc>
          <w:tcPr>
            <w:tcW w:w="8880" w:type="dxa"/>
            <w:vAlign w:val="bottom"/>
            <w:gridSpan w:val="32"/>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Commission on January 27, 2015).*</w:t>
              </w:r>
            </w:hyperlink>
          </w:p>
        </w:tc>
      </w:tr>
      <w:tr>
        <w:trPr>
          <w:trHeight w:val="190"/>
        </w:trPr>
        <w:tc>
          <w:tcPr>
            <w:tcW w:w="1000" w:type="dxa"/>
            <w:vAlign w:val="bottom"/>
          </w:tcPr>
          <w:p>
            <w:pPr>
              <w:jc w:val="right"/>
              <w:ind w:right="490"/>
              <w:spacing w:after="0" w:line="190" w:lineRule="exact"/>
              <w:rPr>
                <w:sz w:val="20"/>
                <w:szCs w:val="20"/>
                <w:color w:val="auto"/>
              </w:rPr>
            </w:pPr>
            <w:r>
              <w:rPr>
                <w:rFonts w:ascii="Arial" w:cs="Arial" w:eastAsia="Arial" w:hAnsi="Arial"/>
                <w:sz w:val="18"/>
                <w:szCs w:val="18"/>
                <w:color w:val="auto"/>
                <w:w w:val="88"/>
              </w:rPr>
              <w:t>10.16</w:t>
            </w:r>
          </w:p>
        </w:tc>
        <w:tc>
          <w:tcPr>
            <w:tcW w:w="8780" w:type="dxa"/>
            <w:vAlign w:val="bottom"/>
            <w:tcBorders>
              <w:bottom w:val="single" w:sz="8" w:color="0000EE"/>
            </w:tcBorders>
            <w:gridSpan w:val="27"/>
          </w:tcPr>
          <w:p>
            <w:pPr>
              <w:spacing w:after="0" w:line="190"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Patent License Agreement, dated February 9, 2015, by and between Lion Biotechnologies, Inc. and the National Institutes</w:t>
              </w:r>
            </w:hyperlink>
          </w:p>
        </w:tc>
        <w:tc>
          <w:tcPr>
            <w:tcW w:w="100" w:type="dxa"/>
            <w:vAlign w:val="bottom"/>
            <w:gridSpan w:val="5"/>
          </w:tcPr>
          <w:p>
            <w:pPr>
              <w:spacing w:after="0"/>
              <w:rPr>
                <w:sz w:val="16"/>
                <w:szCs w:val="16"/>
                <w:color w:val="auto"/>
              </w:rPr>
            </w:pPr>
          </w:p>
        </w:tc>
      </w:tr>
      <w:tr>
        <w:trPr>
          <w:trHeight w:val="196"/>
        </w:trPr>
        <w:tc>
          <w:tcPr>
            <w:tcW w:w="1000" w:type="dxa"/>
            <w:vAlign w:val="bottom"/>
          </w:tcPr>
          <w:p>
            <w:pPr>
              <w:spacing w:after="0"/>
              <w:rPr>
                <w:sz w:val="17"/>
                <w:szCs w:val="17"/>
                <w:color w:val="auto"/>
              </w:rPr>
            </w:pP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of Health (incorporated herein by reference to Exhibit 10.47 to the Registrant’s Annual Report on Form 10 K filed with the</w:t>
              </w:r>
            </w:hyperlink>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Commission on March 16, 2015).*</w:t>
              </w:r>
            </w:hyperlink>
          </w:p>
        </w:tc>
        <w:tc>
          <w:tcPr>
            <w:tcW w:w="6360" w:type="dxa"/>
            <w:vAlign w:val="bottom"/>
            <w:gridSpan w:val="30"/>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10.17</w:t>
            </w: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Patent License Agreement, dated February 10, 2015, by and between Lion Biotechnologies, Inc. and the National Institutes</w:t>
              </w:r>
            </w:hyperlink>
          </w:p>
        </w:tc>
      </w:tr>
      <w:tr>
        <w:trPr>
          <w:trHeight w:val="196"/>
        </w:trPr>
        <w:tc>
          <w:tcPr>
            <w:tcW w:w="1000" w:type="dxa"/>
            <w:vAlign w:val="bottom"/>
          </w:tcPr>
          <w:p>
            <w:pPr>
              <w:spacing w:after="0"/>
              <w:rPr>
                <w:sz w:val="17"/>
                <w:szCs w:val="17"/>
                <w:color w:val="auto"/>
              </w:rPr>
            </w:pP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of Health (incorporated herein by reference to Exhibit 10.46 to the Registrant’s Annual Report on Form 10-K filed with the</w:t>
              </w:r>
            </w:hyperlink>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Commission on March 16, 2015).*</w:t>
              </w:r>
            </w:hyperlink>
          </w:p>
        </w:tc>
        <w:tc>
          <w:tcPr>
            <w:tcW w:w="6360" w:type="dxa"/>
            <w:vAlign w:val="bottom"/>
            <w:gridSpan w:val="30"/>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10.18</w:t>
            </w:r>
          </w:p>
        </w:tc>
        <w:tc>
          <w:tcPr>
            <w:tcW w:w="88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First Amendment to Patent License Agreement, effective October 2, 2015, by and between Lion Biotechnologies, Inc. and</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the National Institutes of Health (incorporated herein by reference to Exhibit 10.47 to the Registrant’s Quarterly Report on</w:t>
              </w:r>
            </w:hyperlink>
          </w:p>
        </w:tc>
        <w:tc>
          <w:tcPr>
            <w:tcW w:w="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Form 10-Q filed with the Commission on November 6, 2015).*</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10.19</w:t>
            </w:r>
          </w:p>
        </w:tc>
        <w:tc>
          <w:tcPr>
            <w:tcW w:w="87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Form of Securities Purchase Agreement, dated June 2, 2016, by and among Lion Biotechnologies, Inc. and the Investors</w:t>
              </w:r>
            </w:hyperlink>
          </w:p>
        </w:tc>
        <w:tc>
          <w:tcPr>
            <w:tcW w:w="18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thereunder (incorporated herein by reference to Exhibit 10.1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Commission on June 3, 2016).</w:t>
              </w:r>
            </w:hyperlink>
          </w:p>
        </w:tc>
        <w:tc>
          <w:tcPr>
            <w:tcW w:w="6600" w:type="dxa"/>
            <w:vAlign w:val="bottom"/>
            <w:tcBorders>
              <w:top w:val="single" w:sz="8" w:color="0000EE"/>
            </w:tcBorders>
            <w:gridSpan w:val="2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10.20</w:t>
            </w:r>
          </w:p>
        </w:tc>
        <w:tc>
          <w:tcPr>
            <w:tcW w:w="8880" w:type="dxa"/>
            <w:vAlign w:val="bottom"/>
            <w:gridSpan w:val="32"/>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Form of Registration Rights Agreement, dated June 2, 2016, by and among Lion Biotechnologies, Inc. and the Investors</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thereunder (incorporated herein by reference to Exhibit 10.2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Commission on June 3, 2016).</w:t>
              </w:r>
            </w:hyperlink>
          </w:p>
        </w:tc>
        <w:tc>
          <w:tcPr>
            <w:tcW w:w="6600" w:type="dxa"/>
            <w:vAlign w:val="bottom"/>
            <w:tcBorders>
              <w:top w:val="single" w:sz="8" w:color="0000EE"/>
            </w:tcBorders>
            <w:gridSpan w:val="2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10.21</w:t>
            </w: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Amendment #2 to the Cooperative Research and Development Agreement #02734, dated August 18, 2016, by and between</w:t>
              </w:r>
            </w:hyperlink>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the National Cancer Institute and Lion Biotechnologies, Inc. (incorporated herein by reference to Exhibit 10.3 to</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8880" w:type="dxa"/>
            <w:vAlign w:val="bottom"/>
            <w:gridSpan w:val="32"/>
          </w:tcPr>
          <w:p>
            <w:pPr>
              <w:spacing w:after="0"/>
              <w:rPr>
                <w:rFonts w:ascii="Arial" w:cs="Arial" w:eastAsia="Arial" w:hAnsi="Arial"/>
                <w:sz w:val="18"/>
                <w:szCs w:val="18"/>
                <w:u w:val="single" w:color="auto"/>
                <w:color w:val="0000EE"/>
                <w:w w:val="94"/>
              </w:rPr>
            </w:pPr>
            <w:hyperlink r:id="rId145">
              <w:r>
                <w:rPr>
                  <w:rFonts w:ascii="Arial" w:cs="Arial" w:eastAsia="Arial" w:hAnsi="Arial"/>
                  <w:sz w:val="18"/>
                  <w:szCs w:val="18"/>
                  <w:u w:val="single" w:color="auto"/>
                  <w:color w:val="0000EE"/>
                  <w:w w:val="94"/>
                </w:rPr>
                <w:t>Amendment No. 2 to Registrant’s Registration Statement on Form S 1 filed with the Commission on August 31, 2016).</w:t>
              </w:r>
            </w:hyperlink>
          </w:p>
        </w:tc>
      </w:tr>
      <w:tr>
        <w:trPr>
          <w:trHeight w:val="190"/>
        </w:trPr>
        <w:tc>
          <w:tcPr>
            <w:tcW w:w="1000" w:type="dxa"/>
            <w:vAlign w:val="bottom"/>
          </w:tcPr>
          <w:p>
            <w:pPr>
              <w:jc w:val="right"/>
              <w:ind w:right="490"/>
              <w:spacing w:after="0" w:line="190" w:lineRule="exact"/>
              <w:rPr>
                <w:sz w:val="20"/>
                <w:szCs w:val="20"/>
                <w:color w:val="auto"/>
              </w:rPr>
            </w:pPr>
            <w:r>
              <w:rPr>
                <w:rFonts w:ascii="Arial" w:cs="Arial" w:eastAsia="Arial" w:hAnsi="Arial"/>
                <w:sz w:val="18"/>
                <w:szCs w:val="18"/>
                <w:color w:val="auto"/>
                <w:w w:val="88"/>
              </w:rPr>
              <w:t>10.22</w:t>
            </w:r>
          </w:p>
        </w:tc>
        <w:tc>
          <w:tcPr>
            <w:tcW w:w="8880" w:type="dxa"/>
            <w:vAlign w:val="bottom"/>
            <w:gridSpan w:val="32"/>
          </w:tcPr>
          <w:p>
            <w:pPr>
              <w:spacing w:after="0" w:line="190" w:lineRule="exact"/>
              <w:rPr>
                <w:rFonts w:ascii="Arial" w:cs="Arial" w:eastAsia="Arial" w:hAnsi="Arial"/>
                <w:sz w:val="18"/>
                <w:szCs w:val="18"/>
                <w:color w:val="0000EE"/>
              </w:rPr>
            </w:pPr>
            <w:hyperlink r:id="rId146">
              <w:r>
                <w:rPr>
                  <w:rFonts w:ascii="Arial" w:cs="Arial" w:eastAsia="Arial" w:hAnsi="Arial"/>
                  <w:sz w:val="18"/>
                  <w:szCs w:val="18"/>
                  <w:color w:val="0000EE"/>
                </w:rPr>
                <w:t>Manufacturing Services Agreement, dated November 23, 2015, by and between WuXi AppTec, Inc. and Lion</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Biotechnologies, Inc. (incorporated herein by reference to Exhibit 10.36 to the Registrant’s Annual Report on Form 10-K</w:t>
              </w:r>
            </w:hyperlink>
          </w:p>
        </w:tc>
      </w:tr>
      <w:tr>
        <w:trPr>
          <w:trHeight w:val="196"/>
        </w:trPr>
        <w:tc>
          <w:tcPr>
            <w:tcW w:w="1000" w:type="dxa"/>
            <w:vAlign w:val="bottom"/>
          </w:tcPr>
          <w:p>
            <w:pPr>
              <w:spacing w:after="0"/>
              <w:rPr>
                <w:sz w:val="17"/>
                <w:szCs w:val="17"/>
                <w:color w:val="auto"/>
              </w:rPr>
            </w:pPr>
          </w:p>
        </w:tc>
        <w:tc>
          <w:tcPr>
            <w:tcW w:w="8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filed with the Commission on March 9, 2017).*</w:t>
              </w:r>
            </w:hyperlink>
          </w:p>
        </w:tc>
        <w:tc>
          <w:tcPr>
            <w:tcW w:w="160" w:type="dxa"/>
            <w:vAlign w:val="bottom"/>
            <w:gridSpan w:val="8"/>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10.23</w:t>
            </w:r>
          </w:p>
        </w:tc>
        <w:tc>
          <w:tcPr>
            <w:tcW w:w="86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Strategic Alliance Agreement, effective as of April 17, 2017, between Lion Biotechnologies, Inc. and The University of</w:t>
              </w:r>
            </w:hyperlink>
          </w:p>
        </w:tc>
        <w:tc>
          <w:tcPr>
            <w:tcW w:w="240" w:type="dxa"/>
            <w:vAlign w:val="bottom"/>
            <w:gridSpan w:val="10"/>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Texas M.D. Anderson Cancer Center (incorporated herein by reference to Exhibit 10.1 to the Registrant’s Quarterly Report</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on Form 10 Q filed with the Commission on August 3, 2017).*</w:t>
              </w:r>
            </w:hyperlink>
          </w:p>
        </w:tc>
        <w:tc>
          <w:tcPr>
            <w:tcW w:w="4320" w:type="dxa"/>
            <w:vAlign w:val="bottom"/>
            <w:gridSpan w:val="24"/>
          </w:tcPr>
          <w:p>
            <w:pPr>
              <w:spacing w:after="0"/>
              <w:rPr>
                <w:sz w:val="17"/>
                <w:szCs w:val="17"/>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10.24</w:t>
            </w:r>
          </w:p>
        </w:tc>
        <w:tc>
          <w:tcPr>
            <w:tcW w:w="8880" w:type="dxa"/>
            <w:vAlign w:val="bottom"/>
            <w:gridSpan w:val="3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First Amendment to the Strategic Alliance Agreement by and between Iovance Biotherapeutics, Inc. and The University of</w:t>
              </w:r>
            </w:hyperlink>
          </w:p>
        </w:tc>
      </w:tr>
      <w:tr>
        <w:trPr>
          <w:trHeight w:val="196"/>
        </w:trPr>
        <w:tc>
          <w:tcPr>
            <w:tcW w:w="100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Texas M.D. Anderson Cancer Center, effective as of August 2, 2017 (incorporated herein by reference to Exhibit 10.34 to</w:t>
              </w:r>
            </w:hyperlink>
          </w:p>
        </w:tc>
        <w:tc>
          <w:tcPr>
            <w:tcW w:w="8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the Registrant’s Annual Report on Form 10-K filed with the Commission on March 12, 2018).</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10.25</w:t>
            </w:r>
          </w:p>
        </w:tc>
        <w:tc>
          <w:tcPr>
            <w:tcW w:w="8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Second Amendment to the Strategic Alliance Agreement by and between Iovance Biotherapeutics, Inc. and The University</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of Texas M.D. Anderson Cancer Center, effective February 16, 2018 (incorporated herein by reference to Exhibit 10.35 to</w:t>
              </w:r>
            </w:hyperlink>
          </w:p>
        </w:tc>
        <w:tc>
          <w:tcPr>
            <w:tcW w:w="10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the Registrant’s Annual Report on Form 10-K filed with the Commission on March 12, 2018).</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10.26</w:t>
            </w:r>
          </w:p>
        </w:tc>
        <w:tc>
          <w:tcPr>
            <w:tcW w:w="87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Executive Employment Agreement, effective as of June 1, 2016, by and between Maria Fardis and Lion Biotechnologies,</w:t>
              </w:r>
            </w:hyperlink>
          </w:p>
        </w:tc>
        <w:tc>
          <w:tcPr>
            <w:tcW w:w="1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5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 (incorporated herein by reference to Exhibit 10.3 of the Registrant’s Quarterly Report on Form 10 Q filed with the</w:t>
              </w:r>
            </w:hyperlink>
          </w:p>
        </w:tc>
        <w:tc>
          <w:tcPr>
            <w:tcW w:w="34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Commission on August 9, 2016).*#</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0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8"/>
              </w:rPr>
              <w:t>10.27</w:t>
            </w:r>
          </w:p>
        </w:tc>
        <w:tc>
          <w:tcPr>
            <w:tcW w:w="8880" w:type="dxa"/>
            <w:vAlign w:val="bottom"/>
            <w:gridSpan w:val="32"/>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Severance Agreement and General Release, effective as of July 8, 2020, between Iovance Biotherapeutics, Inc. and</w:t>
              </w:r>
            </w:hyperlink>
          </w:p>
        </w:tc>
      </w:tr>
      <w:tr>
        <w:trPr>
          <w:trHeight w:val="20"/>
        </w:trPr>
        <w:tc>
          <w:tcPr>
            <w:tcW w:w="100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5080" w:type="dxa"/>
            <w:vAlign w:val="bottom"/>
            <w:gridSpan w:val="12"/>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80" w:type="dxa"/>
            <w:vAlign w:val="bottom"/>
            <w:gridSpan w:val="32"/>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Timothy Morris (incorporated herein by reference to Exhibit 10.4 to the Registrant’s Quarterly Report on Form 10-Q filed</w:t>
              </w:r>
            </w:hyperlink>
          </w:p>
        </w:tc>
      </w:tr>
      <w:tr>
        <w:trPr>
          <w:trHeight w:val="196"/>
        </w:trPr>
        <w:tc>
          <w:tcPr>
            <w:tcW w:w="10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with the Commission on August 6, 2020).*#</w:t>
              </w:r>
            </w:hyperlink>
          </w:p>
        </w:tc>
        <w:tc>
          <w:tcPr>
            <w:tcW w:w="5580" w:type="dxa"/>
            <w:vAlign w:val="bottom"/>
            <w:tcBorders>
              <w:top w:val="single" w:sz="8" w:color="0000EE"/>
            </w:tcBorders>
            <w:gridSpan w:val="22"/>
          </w:tcPr>
          <w:p>
            <w:pPr>
              <w:spacing w:after="0"/>
              <w:rPr>
                <w:sz w:val="17"/>
                <w:szCs w:val="17"/>
                <w:color w:val="auto"/>
              </w:rPr>
            </w:pPr>
          </w:p>
        </w:tc>
        <w:tc>
          <w:tcPr>
            <w:tcW w:w="10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80"/>
          </w:cols>
          <w:pgMar w:left="980" w:top="665" w:right="103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8380" w:type="dxa"/>
            <w:vAlign w:val="bottom"/>
            <w:tcBorders>
              <w:bottom w:val="single" w:sz="8" w:color="0000EE"/>
            </w:tcBorders>
            <w:gridSpan w:val="13"/>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Executive Employment Agreement, effective as of September 30, 2016, by and between Frederick G. Vogt and Lion</w:t>
              </w:r>
            </w:hyperlink>
          </w:p>
        </w:tc>
        <w:tc>
          <w:tcPr>
            <w:tcW w:w="46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Biotechnologies, Inc. (incorporated herein by reference to Exhibit 10.32 to the Registrant’s Annual Report on Form 10 K</w:t>
              </w:r>
            </w:hyperlink>
          </w:p>
        </w:tc>
        <w:tc>
          <w:tcPr>
            <w:tcW w:w="1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5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filed with the Commission on March 12, 2018).#</w:t>
              </w:r>
            </w:hyperlink>
          </w:p>
        </w:tc>
        <w:tc>
          <w:tcPr>
            <w:tcW w:w="5320" w:type="dxa"/>
            <w:vAlign w:val="bottom"/>
            <w:gridSpan w:val="18"/>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84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Executive Employment Agreement effective as of July 18, 2019, by and between Friedrich-Reinhard Graf Finck von</w:t>
              </w:r>
            </w:hyperlink>
          </w:p>
        </w:tc>
        <w:tc>
          <w:tcPr>
            <w:tcW w:w="440" w:type="dxa"/>
            <w:vAlign w:val="bottom"/>
            <w:gridSpan w:val="10"/>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Finckenstein, M.D. and Iovance Biotherapeutics, Inc. (incorporated herein by reference to Exhibit 10.1 of the Registrant’s</w:t>
              </w:r>
            </w:hyperlink>
          </w:p>
        </w:tc>
        <w:tc>
          <w:tcPr>
            <w:tcW w:w="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7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Quarterly Report on Form 10-Q filed with the Commission on August 1, 2019).</w:t>
              </w:r>
            </w:hyperlink>
          </w:p>
        </w:tc>
        <w:tc>
          <w:tcPr>
            <w:tcW w:w="3100" w:type="dxa"/>
            <w:vAlign w:val="bottom"/>
            <w:gridSpan w:val="14"/>
          </w:tcPr>
          <w:p>
            <w:pPr>
              <w:spacing w:after="0"/>
              <w:rPr>
                <w:sz w:val="17"/>
                <w:szCs w:val="17"/>
                <w:color w:val="auto"/>
              </w:rPr>
            </w:pPr>
          </w:p>
        </w:tc>
      </w:tr>
      <w:tr>
        <w:trPr>
          <w:trHeight w:val="196"/>
        </w:trPr>
        <w:tc>
          <w:tcPr>
            <w:tcW w:w="1000" w:type="dxa"/>
            <w:vAlign w:val="bottom"/>
          </w:tcPr>
          <w:p>
            <w:pPr>
              <w:spacing w:after="0" w:line="196" w:lineRule="exact"/>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10.30</w:t>
              </w:r>
            </w:hyperlink>
          </w:p>
        </w:tc>
        <w:tc>
          <w:tcPr>
            <w:tcW w:w="87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Executive Employment Agreement, effective as of December 14, 2020, by and between Jean-Marc Bellemin and Iovance</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Biotherapeutics, Inc.#</w:t>
              </w:r>
              <w:r>
                <w:rPr>
                  <w:rFonts w:ascii="Arial" w:cs="Arial" w:eastAsia="Arial" w:hAnsi="Arial"/>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8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Office Lease, effective as of August 4, 2016, by and between Lion Biotechnologies, Inc. and Hudson Skyway Landing,</w:t>
              </w:r>
            </w:hyperlink>
          </w:p>
        </w:tc>
        <w:tc>
          <w:tcPr>
            <w:tcW w:w="2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7"/>
              </w:rPr>
            </w:pPr>
            <w:hyperlink r:id="rId155">
              <w:r>
                <w:rPr>
                  <w:rFonts w:ascii="Arial" w:cs="Arial" w:eastAsia="Arial" w:hAnsi="Arial"/>
                  <w:sz w:val="18"/>
                  <w:szCs w:val="18"/>
                  <w:color w:val="0000EE"/>
                  <w:w w:val="97"/>
                </w:rPr>
                <w:t>LLC (incorporated herein by reference to Exhibit 10.1 of the Registrant’s Current Report on Form 8 K filed with the</w:t>
              </w:r>
            </w:hyperlink>
          </w:p>
        </w:tc>
      </w:tr>
      <w:tr>
        <w:trPr>
          <w:trHeight w:val="196"/>
        </w:trPr>
        <w:tc>
          <w:tcPr>
            <w:tcW w:w="1000" w:type="dxa"/>
            <w:vAlign w:val="bottom"/>
          </w:tcPr>
          <w:p>
            <w:pPr>
              <w:spacing w:after="0"/>
              <w:rPr>
                <w:sz w:val="17"/>
                <w:szCs w:val="17"/>
                <w:color w:val="auto"/>
              </w:rPr>
            </w:pPr>
          </w:p>
        </w:tc>
        <w:tc>
          <w:tcPr>
            <w:tcW w:w="8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Commission on August 8, 2016).</w:t>
              </w:r>
            </w:hyperlink>
          </w:p>
        </w:tc>
        <w:tc>
          <w:tcPr>
            <w:tcW w:w="480" w:type="dxa"/>
            <w:vAlign w:val="bottom"/>
            <w:gridSpan w:val="1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8840" w:type="dxa"/>
            <w:vAlign w:val="bottom"/>
            <w:gridSpan w:val="24"/>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Office Lease, effective as of October 19, 2018, by and between Iovance Biotechnologies, Inc. and Hudson Skyway</w:t>
              </w:r>
            </w:hyperlink>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Landing, LLC (incorporated herein by reference to Exhibit 10.1 to the Registrant’s Current Report on Form 8 K filed with</w:t>
              </w:r>
            </w:hyperlink>
          </w:p>
        </w:tc>
      </w:tr>
      <w:tr>
        <w:trPr>
          <w:trHeight w:val="196"/>
        </w:trPr>
        <w:tc>
          <w:tcPr>
            <w:tcW w:w="10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the Commission on October 25, 2018).</w:t>
              </w:r>
            </w:hyperlink>
          </w:p>
        </w:tc>
        <w:tc>
          <w:tcPr>
            <w:tcW w:w="598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8840" w:type="dxa"/>
            <w:vAlign w:val="bottom"/>
            <w:gridSpan w:val="24"/>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First Amendment to the Office Lease, effective as of June 19, 2019, between Iovance Biotherapeutics, Inc. and Hudson</w:t>
              </w:r>
            </w:hyperlink>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Skyway Landing, LLC (incorporated herein by reference to Exhibit 10.1 of the Registrant’s Quarterly Report on Form 10-</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Q filed with the Commission on November 4, 2019).</w:t>
              </w:r>
            </w:hyperlink>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8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Second Amendment to the Office Lease, effective as of February 8, 2021, by and between Iovance Biotherapeutics, Inc.</w:t>
              </w:r>
            </w:hyperlink>
          </w:p>
        </w:tc>
        <w:tc>
          <w:tcPr>
            <w:tcW w:w="20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and Hudson Skyway Landing, LLC (incorporated herein by reference to Exhibit 10.2 of the Registrant’s Current Report on</w:t>
              </w:r>
            </w:hyperlink>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Form 8-K filed with the Commission on February 9, 2021).</w:t>
              </w:r>
            </w:hyperlink>
          </w:p>
        </w:tc>
        <w:tc>
          <w:tcPr>
            <w:tcW w:w="4560" w:type="dxa"/>
            <w:vAlign w:val="bottom"/>
            <w:gridSpan w:val="1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87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First Amendment to the Office Lease, effective as of February 8, 2021, by and between Iovance Biotherapeutics, Inc. and</w:t>
              </w:r>
            </w:hyperlink>
          </w:p>
        </w:tc>
        <w:tc>
          <w:tcPr>
            <w:tcW w:w="10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5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Hudson Skyway Landing, LLC (incorporated herein by reference to Exhibit 10.3 of the Registrant’s Current Report on</w:t>
              </w:r>
            </w:hyperlink>
          </w:p>
        </w:tc>
        <w:tc>
          <w:tcPr>
            <w:tcW w:w="2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Form 8-K filed with the Commission on February 9, 2021).</w:t>
              </w:r>
            </w:hyperlink>
          </w:p>
        </w:tc>
        <w:tc>
          <w:tcPr>
            <w:tcW w:w="4560" w:type="dxa"/>
            <w:vAlign w:val="bottom"/>
            <w:gridSpan w:val="1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87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Lease Agreement, effective as of May 28, 2019, by and between Iovance Biotherapeutics, Inc. and 300 Rouse Boulevard,</w:t>
              </w:r>
            </w:hyperlink>
          </w:p>
        </w:tc>
        <w:tc>
          <w:tcPr>
            <w:tcW w:w="10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LLC (incorporated herein by reference to Exhibit 10.3 of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Commission on June 3, 2019).</w:t>
              </w:r>
            </w:hyperlink>
          </w:p>
        </w:tc>
        <w:tc>
          <w:tcPr>
            <w:tcW w:w="6180" w:type="dxa"/>
            <w:vAlign w:val="bottom"/>
            <w:tcBorders>
              <w:top w:val="single" w:sz="8" w:color="0000EE"/>
            </w:tcBorders>
            <w:gridSpan w:val="11"/>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8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First Amendment to the Lease Agreement, effective as of August 20, 2019, between Iovance Biotherapeutics, Inc. and 300</w:t>
              </w:r>
            </w:hyperlink>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Rouse Boulevard, LLC (incorporated herein by reference to Exhibit 10.2 of the Registrant’s Quarterly Report on Form 10-</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Q filed with the Commission on November 4, 2019).</w:t>
              </w:r>
            </w:hyperlink>
          </w:p>
        </w:tc>
      </w:tr>
      <w:tr>
        <w:trPr>
          <w:trHeight w:val="20"/>
        </w:trPr>
        <w:tc>
          <w:tcPr>
            <w:tcW w:w="100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88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Second Amendment to the Lease Agreement, effective as of June 30, 2020, between Iovance Biotherapeutics, Inc. and 300</w:t>
              </w:r>
            </w:hyperlink>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Rouse Boulevard, LLC (incorporated herein by reference to Exhibit 10.3 of the Registrant’s Quarterly Report on Form 10-</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Q filed with the Commission on August 6, 2020).</w:t>
              </w:r>
            </w:hyperlink>
          </w:p>
        </w:tc>
      </w:tr>
      <w:tr>
        <w:trPr>
          <w:trHeight w:val="20"/>
        </w:trPr>
        <w:tc>
          <w:tcPr>
            <w:tcW w:w="100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10.39</w:t>
            </w:r>
          </w:p>
        </w:tc>
        <w:tc>
          <w:tcPr>
            <w:tcW w:w="8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Lease Agreement, effective as of February 8, 2021, by and between Iovance Biotherapeutics, Inc. and ARE-San Francisco</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No. 63, LLC (incorporated herein by reference to Exhibit 10.1 of the Registrant’s Current Report on Form 8-K filed with</w:t>
              </w:r>
            </w:hyperlink>
          </w:p>
        </w:tc>
        <w:tc>
          <w:tcPr>
            <w:tcW w:w="1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the Commission on February 9, 2021).</w:t>
              </w:r>
            </w:hyperlink>
          </w:p>
        </w:tc>
        <w:tc>
          <w:tcPr>
            <w:tcW w:w="6060" w:type="dxa"/>
            <w:vAlign w:val="bottom"/>
            <w:gridSpan w:val="20"/>
          </w:tcPr>
          <w:p>
            <w:pPr>
              <w:spacing w:after="0"/>
              <w:rPr>
                <w:sz w:val="17"/>
                <w:szCs w:val="17"/>
                <w:color w:val="auto"/>
              </w:rPr>
            </w:pP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8840" w:type="dxa"/>
            <w:vAlign w:val="bottom"/>
            <w:gridSpan w:val="24"/>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Subsidiaries of the Company.**</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8840" w:type="dxa"/>
            <w:vAlign w:val="bottom"/>
            <w:gridSpan w:val="24"/>
          </w:tcPr>
          <w:p>
            <w:pPr>
              <w:spacing w:after="0"/>
              <w:rPr>
                <w:rFonts w:ascii="Arial" w:cs="Arial" w:eastAsia="Arial" w:hAnsi="Arial"/>
                <w:sz w:val="18"/>
                <w:szCs w:val="18"/>
                <w:color w:val="0000EE"/>
              </w:rPr>
            </w:pPr>
            <w:hyperlink w:anchor="page148">
              <w:r>
                <w:rPr>
                  <w:rFonts w:ascii="Arial" w:cs="Arial" w:eastAsia="Arial" w:hAnsi="Arial"/>
                  <w:sz w:val="18"/>
                  <w:szCs w:val="18"/>
                  <w:u w:val="single" w:color="auto"/>
                  <w:color w:val="0000EE"/>
                </w:rPr>
                <w:t>Consent of Independent Registered Public Accounting Firm.</w:t>
              </w:r>
            </w:hyperlink>
            <w:r>
              <w:rPr>
                <w:rFonts w:ascii="Arial" w:cs="Arial" w:eastAsia="Arial" w:hAnsi="Arial"/>
                <w:sz w:val="18"/>
                <w:szCs w:val="18"/>
                <w:color w:val="000000"/>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8840" w:type="dxa"/>
            <w:vAlign w:val="bottom"/>
            <w:gridSpan w:val="2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Power of Attorney (included on the signature page of this Annual Report).</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8840" w:type="dxa"/>
            <w:vAlign w:val="bottom"/>
            <w:gridSpan w:val="24"/>
          </w:tcPr>
          <w:p>
            <w:pPr>
              <w:spacing w:after="0"/>
              <w:rPr>
                <w:rFonts w:ascii="Arial" w:cs="Arial" w:eastAsia="Arial" w:hAnsi="Arial"/>
                <w:sz w:val="18"/>
                <w:szCs w:val="18"/>
                <w:color w:val="0000EE"/>
              </w:rPr>
            </w:pPr>
            <w:hyperlink w:anchor="page149">
              <w:r>
                <w:rPr>
                  <w:rFonts w:ascii="Arial" w:cs="Arial" w:eastAsia="Arial" w:hAnsi="Arial"/>
                  <w:sz w:val="18"/>
                  <w:szCs w:val="18"/>
                  <w:u w:val="single" w:color="auto"/>
                  <w:color w:val="0000EE"/>
                </w:rPr>
                <w:t>Rule 13a-14(a)/15d-14(a) Certification of Chief Executive Officer.</w:t>
              </w:r>
            </w:hyperlink>
            <w:r>
              <w:rPr>
                <w:rFonts w:ascii="Arial" w:cs="Arial" w:eastAsia="Arial" w:hAnsi="Arial"/>
                <w:sz w:val="18"/>
                <w:szCs w:val="18"/>
                <w:color w:val="000000"/>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8840" w:type="dxa"/>
            <w:vAlign w:val="bottom"/>
            <w:gridSpan w:val="24"/>
          </w:tcPr>
          <w:p>
            <w:pPr>
              <w:spacing w:after="0"/>
              <w:rPr>
                <w:rFonts w:ascii="Arial" w:cs="Arial" w:eastAsia="Arial" w:hAnsi="Arial"/>
                <w:sz w:val="18"/>
                <w:szCs w:val="18"/>
                <w:color w:val="0000EE"/>
              </w:rPr>
            </w:pPr>
            <w:hyperlink w:anchor="page150">
              <w:r>
                <w:rPr>
                  <w:rFonts w:ascii="Arial" w:cs="Arial" w:eastAsia="Arial" w:hAnsi="Arial"/>
                  <w:sz w:val="18"/>
                  <w:szCs w:val="18"/>
                  <w:u w:val="single" w:color="auto"/>
                  <w:color w:val="0000EE"/>
                </w:rPr>
                <w:t>Rule 13a-14(a)/15d-14(a) Certification of Chief Financial Officer.</w:t>
              </w:r>
            </w:hyperlink>
            <w:r>
              <w:rPr>
                <w:rFonts w:ascii="Arial" w:cs="Arial" w:eastAsia="Arial" w:hAnsi="Arial"/>
                <w:sz w:val="18"/>
                <w:szCs w:val="18"/>
                <w:color w:val="000000"/>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8840" w:type="dxa"/>
            <w:vAlign w:val="bottom"/>
            <w:gridSpan w:val="24"/>
          </w:tcPr>
          <w:p>
            <w:pPr>
              <w:spacing w:after="0"/>
              <w:rPr>
                <w:rFonts w:ascii="Arial" w:cs="Arial" w:eastAsia="Arial" w:hAnsi="Arial"/>
                <w:sz w:val="18"/>
                <w:szCs w:val="18"/>
                <w:color w:val="0000EE"/>
              </w:rPr>
            </w:pPr>
            <w:hyperlink w:anchor="page151">
              <w:r>
                <w:rPr>
                  <w:rFonts w:ascii="Arial" w:cs="Arial" w:eastAsia="Arial" w:hAnsi="Arial"/>
                  <w:sz w:val="18"/>
                  <w:szCs w:val="18"/>
                  <w:u w:val="single" w:color="auto"/>
                  <w:color w:val="0000EE"/>
                </w:rPr>
                <w:t>Section 1350 Certification of Chief Executive Officer (furnished herewith).</w:t>
              </w:r>
            </w:hyperlink>
            <w:r>
              <w:rPr>
                <w:rFonts w:ascii="Arial" w:cs="Arial" w:eastAsia="Arial" w:hAnsi="Arial"/>
                <w:sz w:val="18"/>
                <w:szCs w:val="18"/>
                <w:color w:val="000000"/>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8840" w:type="dxa"/>
            <w:vAlign w:val="bottom"/>
            <w:gridSpan w:val="24"/>
          </w:tcPr>
          <w:p>
            <w:pPr>
              <w:spacing w:after="0"/>
              <w:rPr>
                <w:rFonts w:ascii="Arial" w:cs="Arial" w:eastAsia="Arial" w:hAnsi="Arial"/>
                <w:sz w:val="18"/>
                <w:szCs w:val="18"/>
                <w:color w:val="0000EE"/>
              </w:rPr>
            </w:pPr>
            <w:hyperlink w:anchor="page152">
              <w:r>
                <w:rPr>
                  <w:rFonts w:ascii="Arial" w:cs="Arial" w:eastAsia="Arial" w:hAnsi="Arial"/>
                  <w:sz w:val="18"/>
                  <w:szCs w:val="18"/>
                  <w:u w:val="single" w:color="auto"/>
                  <w:color w:val="0000EE"/>
                </w:rPr>
                <w:t>Section 1350 Certification of Chief Financial Officer (furnished herewith).</w:t>
              </w:r>
            </w:hyperlink>
            <w:r>
              <w:rPr>
                <w:rFonts w:ascii="Arial" w:cs="Arial" w:eastAsia="Arial" w:hAnsi="Arial"/>
                <w:sz w:val="18"/>
                <w:szCs w:val="18"/>
                <w:color w:val="000000"/>
              </w:rPr>
              <w:t>**</w:t>
            </w:r>
          </w:p>
        </w:tc>
      </w:tr>
    </w:tbl>
    <w:p>
      <w:pPr>
        <w:ind w:left="1000" w:right="120" w:hanging="992"/>
        <w:spacing w:after="0" w:line="28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Iovance Biotherapeutics, Inc. for the year ended December 31, 2020, formatted in XBRL (eXtensible Business Reporting Language): (1) Balance Sheets as of December 31, 2020 and 2019 (2) Statements of Income for the years ended December 31, 2020 and 2019; (3) Statements of Shareholders’ Equity for the years ended December 31, 2020 and 2019; (4) Statements of Cash Flows for the years</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ended December 31, 2020 and 2019; and (5) Notes to Financial Statements.</w:t>
      </w:r>
    </w:p>
    <w:p>
      <w:pPr>
        <w:spacing w:after="0" w:line="9" w:lineRule="exact"/>
        <w:rPr>
          <w:sz w:val="20"/>
          <w:szCs w:val="20"/>
          <w:color w:val="auto"/>
        </w:rPr>
      </w:pPr>
    </w:p>
    <w:p>
      <w:pPr>
        <w:ind w:left="1000" w:right="60" w:hanging="992"/>
        <w:spacing w:after="0" w:line="260"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185" w:lineRule="exact"/>
        <w:rPr>
          <w:sz w:val="20"/>
          <w:szCs w:val="20"/>
          <w:color w:val="auto"/>
        </w:rPr>
      </w:pPr>
    </w:p>
    <w:p>
      <w:pPr>
        <w:ind w:left="340" w:right="8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5" w:right="11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060" w:type="dxa"/>
            <w:vAlign w:val="bottom"/>
            <w:gridSpan w:val="2"/>
          </w:tcPr>
          <w:p>
            <w:pPr>
              <w:ind w:left="1940"/>
              <w:spacing w:after="0"/>
              <w:rPr>
                <w:sz w:val="20"/>
                <w:szCs w:val="20"/>
                <w:color w:val="auto"/>
              </w:rPr>
            </w:pPr>
            <w:r>
              <w:rPr>
                <w:rFonts w:ascii="Arial" w:cs="Arial" w:eastAsia="Arial" w:hAnsi="Arial"/>
                <w:sz w:val="18"/>
                <w:szCs w:val="18"/>
                <w:b w:val="1"/>
                <w:bCs w:val="1"/>
                <w:color w:val="auto"/>
              </w:rPr>
              <w:t>IOVANCE BIOTHERAPEUTICS,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February 25, 2021</w:t>
            </w:r>
          </w:p>
        </w:tc>
        <w:tc>
          <w:tcPr>
            <w:tcW w:w="7060" w:type="dxa"/>
            <w:vAlign w:val="bottom"/>
            <w:gridSpan w:val="2"/>
          </w:tcPr>
          <w:p>
            <w:pPr>
              <w:ind w:left="1940"/>
              <w:spacing w:after="0"/>
              <w:rPr>
                <w:sz w:val="20"/>
                <w:szCs w:val="20"/>
                <w:color w:val="auto"/>
              </w:rPr>
            </w:pPr>
            <w:r>
              <w:rPr>
                <w:rFonts w:ascii="Arial" w:cs="Arial" w:eastAsia="Arial" w:hAnsi="Arial"/>
                <w:sz w:val="18"/>
                <w:szCs w:val="18"/>
                <w:color w:val="auto"/>
              </w:rPr>
              <w:t>By: /s/ Maria Fardis</w:t>
            </w:r>
          </w:p>
        </w:tc>
      </w:tr>
      <w:tr>
        <w:trPr>
          <w:trHeight w:val="195"/>
        </w:trPr>
        <w:tc>
          <w:tcPr>
            <w:tcW w:w="2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Maria Fardis</w:t>
            </w:r>
          </w:p>
        </w:tc>
      </w:tr>
      <w:tr>
        <w:trPr>
          <w:trHeight w:val="230"/>
        </w:trPr>
        <w:tc>
          <w:tcPr>
            <w:tcW w:w="2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2860" w:type="dxa"/>
            <w:vAlign w:val="bottom"/>
          </w:tcPr>
          <w:p>
            <w:pPr>
              <w:spacing w:after="0"/>
              <w:rPr>
                <w:sz w:val="24"/>
                <w:szCs w:val="24"/>
                <w:color w:val="auto"/>
              </w:rPr>
            </w:pPr>
          </w:p>
        </w:tc>
        <w:tc>
          <w:tcPr>
            <w:tcW w:w="7060" w:type="dxa"/>
            <w:vAlign w:val="bottom"/>
            <w:gridSpan w:val="2"/>
          </w:tcPr>
          <w:p>
            <w:pPr>
              <w:ind w:left="110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180" w:firstLine="492"/>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Maria Fardis and Jean-Marc Bellemin,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7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Title</w:t>
            </w:r>
          </w:p>
        </w:tc>
        <w:tc>
          <w:tcPr>
            <w:tcW w:w="2400" w:type="dxa"/>
            <w:vAlign w:val="bottom"/>
          </w:tcPr>
          <w:p>
            <w:pPr>
              <w:spacing w:after="0"/>
              <w:rPr>
                <w:sz w:val="20"/>
                <w:szCs w:val="20"/>
                <w:color w:val="auto"/>
              </w:rPr>
            </w:pPr>
            <w:r>
              <w:rPr>
                <w:rFonts w:ascii="Arial" w:cs="Arial" w:eastAsia="Arial" w:hAnsi="Arial"/>
                <w:sz w:val="18"/>
                <w:szCs w:val="18"/>
                <w:color w:val="auto"/>
              </w:rPr>
              <w:t>Date</w:t>
            </w:r>
          </w:p>
        </w:tc>
      </w:tr>
      <w:tr>
        <w:trPr>
          <w:trHeight w:val="20"/>
        </w:trPr>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42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(Principal</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Maria Fardis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Executive Officer) and Director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Swartzburg</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Vice President, Finance</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Michael C. Swartzburg</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(Principal Accounting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Merrill A. McPeak</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Weiser</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Michael Weiser</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Ryan D. Maynard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Dukes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Iain Dukes</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Rothbaum</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Wayne Rothbaum</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Athena Countouriotis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Athena Countouriotis</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8920" w:type="dxa"/>
            <w:vAlign w:val="bottom"/>
          </w:tcPr>
          <w:p>
            <w:pPr>
              <w:jc w:val="center"/>
              <w:ind w:left="870"/>
              <w:spacing w:after="0"/>
              <w:rPr>
                <w:sz w:val="20"/>
                <w:szCs w:val="20"/>
                <w:color w:val="auto"/>
              </w:rPr>
            </w:pPr>
            <w:r>
              <w:rPr>
                <w:rFonts w:ascii="Arial" w:cs="Arial" w:eastAsia="Arial" w:hAnsi="Arial"/>
                <w:sz w:val="18"/>
                <w:szCs w:val="18"/>
                <w:b w:val="1"/>
                <w:bCs w:val="1"/>
                <w:color w:val="auto"/>
              </w:rPr>
              <w:t>IOVANCE BIOTHERAPEUTICS,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jc w:val="center"/>
              <w:ind w:left="890"/>
              <w:spacing w:after="0"/>
              <w:rPr>
                <w:sz w:val="20"/>
                <w:szCs w:val="20"/>
                <w:color w:val="auto"/>
              </w:rPr>
            </w:pPr>
            <w:r>
              <w:rPr>
                <w:rFonts w:ascii="Arial" w:cs="Arial" w:eastAsia="Arial" w:hAnsi="Arial"/>
                <w:sz w:val="18"/>
                <w:szCs w:val="18"/>
                <w:b w:val="1"/>
                <w:bCs w:val="1"/>
                <w:color w:val="auto"/>
                <w:w w:val="90"/>
              </w:rPr>
              <w:t>Index to 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20" w:type="dxa"/>
            <w:vAlign w:val="bottom"/>
          </w:tcPr>
          <w:p>
            <w:pPr>
              <w:jc w:val="center"/>
              <w:ind w:left="870"/>
              <w:spacing w:after="0"/>
              <w:rPr>
                <w:sz w:val="20"/>
                <w:szCs w:val="20"/>
                <w:color w:val="auto"/>
              </w:rPr>
            </w:pPr>
            <w:r>
              <w:rPr>
                <w:rFonts w:ascii="Arial" w:cs="Arial" w:eastAsia="Arial" w:hAnsi="Arial"/>
                <w:sz w:val="18"/>
                <w:szCs w:val="18"/>
                <w:b w:val="1"/>
                <w:bCs w:val="1"/>
                <w:color w:val="auto"/>
                <w:w w:val="87"/>
              </w:rPr>
              <w:t>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Report of Independent Registered Public Accounting Firm</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Report of Independent Registered Public Accounting Firm on Internal Control over Financial Reporting</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Consolidated Balance Sheets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Statements of Operations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Comprehensive Loss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Consolidated Statements of Stockholders’ Equity</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Cash Flows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Notes to Consolidated Financial Statements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1438"/>
        </w:trPr>
        <w:tc>
          <w:tcPr>
            <w:tcW w:w="20" w:type="dxa"/>
            <w:vAlign w:val="bottom"/>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Iovance Biotherapeutics, Inc. (the “Company”) as of December 31, 2020 and 2019, the related consolidated statements of operations, comprehensive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the criteria established in Internal Control - Integrated Framework issued by the Committee of Sponsoring Organizations of the Treadway Commission (COSO) in 2013 and our report dated February 25, 2021,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10 to the consolidated financial statements, the Company changed its method of accounting for leases in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Borrowing Rate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discussed in Note 10 to the consolidated financial statements, the Company’s reported right-of-use assets, current lease liabilities and long-term lease liabilities, utilize discount rates to calculate the estimated present value of future lease payments. Since</w:t>
      </w:r>
    </w:p>
    <w:p>
      <w:pPr>
        <w:sectPr>
          <w:pgSz w:w="11900" w:h="16838" w:orient="portrait"/>
          <w:cols w:equalWidth="0" w:num="1">
            <w:col w:w="9860"/>
          </w:cols>
          <w:pgMar w:left="980" w:top="665" w:right="105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leases do not provide an implicit rate, management utilized a third-party valuation specialist to assist in estimating the incremental borrowing rates used in its present value calculation, which required subjectivity. The incremental borrowing rate is the rate of interest that a lessee would have to pay to borrow on a collateralized basis over a similar term an amount equal to the lease payments in a similar economic environment. As of December 31, 2020, the weighted average incremental borrowing rate used to determine the operating lease liability is 8.3%.</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Auditing management’s assessment of its incremental borrowing rate is highly subjective and judgmental as the Company has no outstanding debt nor committed credit facilities, secured or otherwise, that would have comparable collateral or similar terms as their underlying leases. Further, changes in the incremental borrowing rate may have a material impact on the measurement of the Company’s right-of-use assets, current lease liabilities and long-term lease liabilities. Based on the level of management judgment, we have determined the incremental borrowing rate to be a critical audit matter. This required a high degree of auditor judgment and an increased extent of effort, including the need to involve our valuation specialists, when performing audit procedures to evaluate the reasonableness of management’s estimation of the incremental borrowing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procedures included, amongst others:</w:t>
      </w:r>
    </w:p>
    <w:p>
      <w:pPr>
        <w:spacing w:after="0" w:line="23" w:lineRule="exact"/>
        <w:rPr>
          <w:sz w:val="20"/>
          <w:szCs w:val="20"/>
          <w:color w:val="auto"/>
        </w:rPr>
      </w:pPr>
    </w:p>
    <w:p>
      <w:pPr>
        <w:ind w:left="680" w:right="280" w:hanging="321"/>
        <w:spacing w:after="0" w:line="250"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with regards to the methodology, inputs, and assumptions used to determine the incremental borrowing rate, including those over management’s review of its third-party specialist valuation report.</w:t>
      </w:r>
    </w:p>
    <w:p>
      <w:pPr>
        <w:spacing w:after="0" w:line="1" w:lineRule="exact"/>
        <w:rPr>
          <w:rFonts w:ascii="Arial" w:cs="Arial" w:eastAsia="Arial" w:hAnsi="Arial"/>
          <w:sz w:val="18"/>
          <w:szCs w:val="18"/>
          <w:color w:val="auto"/>
        </w:rPr>
      </w:pPr>
    </w:p>
    <w:p>
      <w:pPr>
        <w:jc w:val="both"/>
        <w:ind w:left="680" w:right="40" w:hanging="321"/>
        <w:spacing w:after="0" w:line="265"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obtained an understanding of the factors considered and assumptions made by management and the valuation specialists in developing the estimate of the incremental borrowing rate, the sources of data relevant to these factors and assumptions and the procedures used to obtain the data, and the methods used to calculate the estimate.</w:t>
      </w:r>
    </w:p>
    <w:p>
      <w:pPr>
        <w:ind w:left="680" w:hanging="321"/>
        <w:spacing w:after="0" w:line="250"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reviewed the contractual terms of the lease agreements to ensure the commencement dates, any lease term extensions and/or early termination clauses were properly considered in determining the appropriate lease term for calculating the incremental borrowing rates.</w:t>
      </w:r>
    </w:p>
    <w:p>
      <w:pPr>
        <w:spacing w:after="0" w:line="1" w:lineRule="exact"/>
        <w:rPr>
          <w:rFonts w:ascii="Arial" w:cs="Arial" w:eastAsia="Arial" w:hAnsi="Arial"/>
          <w:sz w:val="18"/>
          <w:szCs w:val="18"/>
          <w:color w:val="auto"/>
        </w:rPr>
      </w:pPr>
    </w:p>
    <w:p>
      <w:pPr>
        <w:ind w:left="680" w:right="220" w:hanging="321"/>
        <w:spacing w:after="0" w:line="250"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performed an independent estimate of the incremental borrowing rate and compared the results to the Company’s estimate.</w:t>
      </w:r>
    </w:p>
    <w:p>
      <w:pPr>
        <w:jc w:val="both"/>
        <w:ind w:left="680" w:right="80" w:hanging="321"/>
        <w:spacing w:after="0" w:line="255"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the reasonableness of the valuation methods and assumptions used by management and the Company’s valuation specialist to estimate the incremental borrowing rates for borrowing amounts and terms comparable to their outstanding leases by:</w:t>
      </w:r>
    </w:p>
    <w:p>
      <w:pPr>
        <w:spacing w:after="0" w:line="189" w:lineRule="exact"/>
        <w:rPr>
          <w:rFonts w:ascii="Arial" w:cs="Arial" w:eastAsia="Arial" w:hAnsi="Arial"/>
          <w:sz w:val="18"/>
          <w:szCs w:val="18"/>
          <w:color w:val="auto"/>
        </w:rPr>
      </w:pPr>
    </w:p>
    <w:p>
      <w:pPr>
        <w:ind w:left="1000" w:right="140" w:hanging="324"/>
        <w:spacing w:after="0" w:line="254"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Developing an independent estimate of the incremental borrowing rates with the assistance of our valuation specialists by</w:t>
      </w:r>
      <w:r>
        <w:rPr>
          <w:rFonts w:ascii="Courier New" w:cs="Courier New" w:eastAsia="Courier New" w:hAnsi="Courier New"/>
          <w:sz w:val="17"/>
          <w:szCs w:val="17"/>
          <w:color w:val="auto"/>
        </w:rPr>
        <w:t xml:space="preserve"> </w:t>
      </w:r>
      <w:r>
        <w:rPr>
          <w:rFonts w:ascii="Arial" w:cs="Arial" w:eastAsia="Arial" w:hAnsi="Arial"/>
          <w:sz w:val="17"/>
          <w:szCs w:val="17"/>
          <w:color w:val="auto"/>
        </w:rPr>
        <w:t>utilizing third party data related to comparable company borrowings with comparable payment terms.</w:t>
      </w:r>
    </w:p>
    <w:p>
      <w:pPr>
        <w:ind w:left="1000" w:right="120" w:hanging="324"/>
        <w:spacing w:after="0" w:line="283"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Performing a sensitivity analysis on incremental borrowing rates used to determine the impact rate changes could have on</w:t>
      </w:r>
      <w:r>
        <w:rPr>
          <w:rFonts w:ascii="Courier New" w:cs="Courier New" w:eastAsia="Courier New" w:hAnsi="Courier New"/>
          <w:sz w:val="16"/>
          <w:szCs w:val="16"/>
          <w:color w:val="auto"/>
        </w:rPr>
        <w:t xml:space="preserve"> </w:t>
      </w:r>
      <w:r>
        <w:rPr>
          <w:rFonts w:ascii="Arial" w:cs="Arial" w:eastAsia="Arial" w:hAnsi="Arial"/>
          <w:sz w:val="16"/>
          <w:szCs w:val="16"/>
          <w:color w:val="auto"/>
        </w:rPr>
        <w:t>the present value calculation of the Company’s operating lease right-of-use assets and operating lease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600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left="1020" w:right="180"/>
        <w:spacing w:after="0" w:line="277" w:lineRule="auto"/>
        <w:rPr>
          <w:sz w:val="20"/>
          <w:szCs w:val="20"/>
          <w:color w:val="auto"/>
        </w:rPr>
      </w:pPr>
      <w:r>
        <w:rPr>
          <w:rFonts w:ascii="Arial" w:cs="Arial" w:eastAsia="Arial" w:hAnsi="Arial"/>
          <w:sz w:val="18"/>
          <w:szCs w:val="18"/>
          <w:u w:val="single" w:color="auto"/>
          <w:color w:val="auto"/>
        </w:rPr>
        <w:t>REPORT OF INDEPENDENT REGISTERED PUBLIC ACCOUNTING FIRM ON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have audited Iovance Biotherapeutics, Inc.’s (the “Company”)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December 31, 2020 and 2019, and related consolidated statements of operations, comprehensive loss, stockholders’ equity and cash flows and the related notes for each of the three years in the period ended December 31, 2020 of the Company and our report dated February 25, 2021 expressed an unqualified opinion on those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175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980" w:top="665" w:right="1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67,329</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assets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13,513</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Operating lease liabilities - current</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10 and 11)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6"/>
              </w:rPr>
              <w:t>Series A Convertible Preferred stock, $0.001 par value; 17,000 shares designated, 194 shares issued and</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outstanding as of December 31, 2020 and December 31, 2019 (aggregate liquidation value of $194)</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Series B Convertible Preferred stock, $0.001 par value; 11,500,000 shares designated, 3,581,119 shares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issued and outstanding as of December 31, 2020 and December 31, 2019 (aggregate liquidation value of</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$17,010)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7"/>
              </w:rPr>
              <w:t>Common stock, $0.000041666 par value; 300,000,000 shares authorized, 146,874,917 and 126,411,808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shares issued and outstanding as of December 31, 2020 and December 31, 2019, respectively</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869,354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(830,193)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656,498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201,727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261,937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(261,937)</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(206,872)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24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24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Weighted Average Shares of Common Stock Outstanding, Basic and Diluted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(259,581)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(197,556)</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 gain on short-term investments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(197,294)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20" w:type="dxa"/>
            <w:vAlign w:val="bottom"/>
          </w:tcPr>
          <w:p>
            <w:pPr>
              <w:spacing w:after="0"/>
              <w:rPr>
                <w:sz w:val="13"/>
                <w:szCs w:val="13"/>
                <w:color w:val="auto"/>
              </w:rPr>
            </w:pPr>
          </w:p>
        </w:tc>
        <w:tc>
          <w:tcPr>
            <w:tcW w:w="880" w:type="dxa"/>
            <w:vAlign w:val="bottom"/>
            <w:gridSpan w:val="4"/>
          </w:tcPr>
          <w:p>
            <w:pPr>
              <w:jc w:val="center"/>
              <w:ind w:left="177"/>
              <w:spacing w:after="0"/>
              <w:rPr>
                <w:sz w:val="20"/>
                <w:szCs w:val="20"/>
                <w:color w:val="auto"/>
              </w:rPr>
            </w:pPr>
            <w:r>
              <w:rPr>
                <w:rFonts w:ascii="Arial" w:cs="Arial" w:eastAsia="Arial" w:hAnsi="Arial"/>
                <w:sz w:val="13"/>
                <w:szCs w:val="13"/>
                <w:b w:val="1"/>
                <w:bCs w:val="1"/>
                <w:color w:val="auto"/>
                <w:w w:val="84"/>
              </w:rPr>
              <w:t>Series A</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2"/>
              </w:rPr>
              <w:t>Series B Convertible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Total</w:t>
            </w:r>
          </w:p>
        </w:tc>
      </w:tr>
      <w:tr>
        <w:trPr>
          <w:trHeight w:val="128"/>
        </w:trPr>
        <w:tc>
          <w:tcPr>
            <w:tcW w:w="2320" w:type="dxa"/>
            <w:vAlign w:val="bottom"/>
          </w:tcPr>
          <w:p>
            <w:pPr>
              <w:spacing w:after="0"/>
              <w:rPr>
                <w:sz w:val="11"/>
                <w:szCs w:val="11"/>
                <w:color w:val="auto"/>
              </w:rPr>
            </w:pPr>
          </w:p>
        </w:tc>
        <w:tc>
          <w:tcPr>
            <w:tcW w:w="11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3"/>
                <w:szCs w:val="13"/>
                <w:b w:val="1"/>
                <w:bCs w:val="1"/>
                <w:color w:val="auto"/>
                <w:w w:val="88"/>
              </w:rPr>
              <w:t>Preferred Stock</w:t>
            </w:r>
          </w:p>
        </w:tc>
        <w:tc>
          <w:tcPr>
            <w:tcW w:w="140" w:type="dxa"/>
            <w:vAlign w:val="bottom"/>
          </w:tcPr>
          <w:p>
            <w:pPr>
              <w:spacing w:after="0"/>
              <w:rPr>
                <w:sz w:val="11"/>
                <w:szCs w:val="11"/>
                <w:color w:val="auto"/>
              </w:rPr>
            </w:pPr>
          </w:p>
        </w:tc>
        <w:tc>
          <w:tcPr>
            <w:tcW w:w="11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Preferred Stock</w:t>
            </w:r>
          </w:p>
        </w:tc>
        <w:tc>
          <w:tcPr>
            <w:tcW w:w="1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5"/>
          </w:tcPr>
          <w:p>
            <w:pPr>
              <w:jc w:val="right"/>
              <w:ind w:right="440"/>
              <w:spacing w:after="0" w:line="129"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8"/>
              </w:rPr>
              <w:t>Comprehensive</w:t>
            </w: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Accumulated</w:t>
            </w:r>
          </w:p>
        </w:tc>
        <w:tc>
          <w:tcPr>
            <w:tcW w:w="7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7"/>
              </w:rPr>
              <w:t>Stockholder</w:t>
            </w:r>
          </w:p>
        </w:tc>
      </w:tr>
      <w:tr>
        <w:trPr>
          <w:trHeight w:val="128"/>
        </w:trPr>
        <w:tc>
          <w:tcPr>
            <w:tcW w:w="2320" w:type="dxa"/>
            <w:vAlign w:val="bottom"/>
          </w:tcPr>
          <w:p>
            <w:pPr>
              <w:spacing w:after="0"/>
              <w:rPr>
                <w:sz w:val="11"/>
                <w:szCs w:val="11"/>
                <w:color w:val="auto"/>
              </w:rPr>
            </w:pPr>
          </w:p>
        </w:tc>
        <w:tc>
          <w:tcPr>
            <w:tcW w:w="5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January 1, 2018</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7,378,241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73,164,914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394,651</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(249,180)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145,481</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20,027</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20,027</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Vesting of restricted shares issued for</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w w:val="93"/>
              </w:rPr>
              <w:t>Tax payments related to shares withheld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for vested restricted stock units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(223)</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Common stock issued upon exercise of</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warrants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6,301,216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15,753</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15,754</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w w:val="96"/>
              </w:rPr>
              <w:t>Common stock issued upon exercise of</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1,336,514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9,959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9,959</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Conversion of convertible preferred</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into common stock</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(1,523,396)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2,273,396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rPr>
              <w:t>Common stock sold in public offering,</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net of offering costs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40,300,000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398,816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398,817</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Unrealized loss on short- term</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(123,580)</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(123,580)</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2018</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5,854,845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123,415,576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838,984</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(372,760)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466,193</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Adoption of ASU 2018-07</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296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(296)</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24,277</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24,277</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rPr>
              <w:t>Vesting of restricted shares issued for</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services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27,514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Tax payments related to shares withheld</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 vested restricted stock units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w w:val="96"/>
              </w:rPr>
              <w:t>Common stock issued upon exercise of</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727,492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6,443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6,443</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Conversion of convertible preferred</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into common stock</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(2,273,726)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2,273,726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rPr>
              <w:t>Unrealized loss on short- term</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262</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Cancellation of common shares from</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settlement of dispute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(32,500)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(335)</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(197,556)</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(197,556)</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2019</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3,581,119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126,411,808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869,354</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(570,612)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298,971</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Vesting of restricted stock shares issued</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 service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w w:val="93"/>
              </w:rPr>
              <w:t>Tax payments related to shares withheld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for vested restricted stock units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(284)</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Common stock issued upon exercise of</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973,854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r>
      <w:tr>
        <w:trPr>
          <w:trHeight w:val="121"/>
        </w:trPr>
        <w:tc>
          <w:tcPr>
            <w:tcW w:w="2320" w:type="dxa"/>
            <w:vAlign w:val="bottom"/>
          </w:tcPr>
          <w:p>
            <w:pPr>
              <w:ind w:left="120"/>
              <w:spacing w:after="0" w:line="121" w:lineRule="exact"/>
              <w:rPr>
                <w:sz w:val="20"/>
                <w:szCs w:val="20"/>
                <w:color w:val="auto"/>
              </w:rPr>
            </w:pPr>
            <w:r>
              <w:rPr>
                <w:rFonts w:ascii="Arial" w:cs="Arial" w:eastAsia="Arial" w:hAnsi="Arial"/>
                <w:sz w:val="13"/>
                <w:szCs w:val="13"/>
                <w:color w:val="auto"/>
              </w:rPr>
              <w:t>Common stock sold in public offering,</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320" w:type="dxa"/>
            <w:vAlign w:val="bottom"/>
          </w:tcPr>
          <w:p>
            <w:pPr>
              <w:ind w:left="120"/>
              <w:spacing w:after="0"/>
              <w:rPr>
                <w:sz w:val="20"/>
                <w:szCs w:val="20"/>
                <w:color w:val="auto"/>
              </w:rPr>
            </w:pPr>
            <w:r>
              <w:rPr>
                <w:rFonts w:ascii="Arial" w:cs="Arial" w:eastAsia="Arial" w:hAnsi="Arial"/>
                <w:sz w:val="13"/>
                <w:szCs w:val="13"/>
                <w:color w:val="auto"/>
              </w:rPr>
              <w:t>net of offering costs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19,475,806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567,042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567,043</w:t>
            </w:r>
          </w:p>
        </w:tc>
      </w:tr>
      <w:tr>
        <w:trPr>
          <w:trHeight w:val="121"/>
        </w:trPr>
        <w:tc>
          <w:tcPr>
            <w:tcW w:w="23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Unrealized gain on short- term</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(259,581)</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(259,581)</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2020</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3,581,119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146,874,917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1,486,662</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(830,193)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656,498</w:t>
            </w: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91"/>
              </w:rPr>
              <w:t>Years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(259,581)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(197,556)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of dispute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Operating lease liabilities (Right-of-use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Maturities of short-term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676,601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514,601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90,025</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567,043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82,152</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Supplemental disclosure of non-cash investing and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Net unrealized (loss) gain on short-term investments</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Acquisitions of property and equipment included in accounts payable and accrued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right="4340"/>
        <w:spacing w:after="0" w:line="464" w:lineRule="auto"/>
        <w:rPr>
          <w:sz w:val="20"/>
          <w:szCs w:val="20"/>
          <w:color w:val="auto"/>
        </w:rPr>
      </w:pPr>
      <w:r>
        <w:rPr>
          <w:rFonts w:ascii="Arial" w:cs="Arial" w:eastAsia="Arial" w:hAnsi="Arial"/>
          <w:sz w:val="18"/>
          <w:szCs w:val="18"/>
          <w:b w:val="1"/>
          <w:bCs w:val="1"/>
          <w:u w:val="single" w:color="auto"/>
          <w:color w:val="auto"/>
        </w:rPr>
        <w:t xml:space="preserve">NOTE 1. GENERAL ORGANIZATION, BUSINESS AND LIQUIDITY </w:t>
      </w:r>
      <w:r>
        <w:rPr>
          <w:rFonts w:ascii="Arial" w:cs="Arial" w:eastAsia="Arial" w:hAnsi="Arial"/>
          <w:sz w:val="18"/>
          <w:szCs w:val="18"/>
          <w:b w:val="1"/>
          <w:bCs w:val="1"/>
          <w:i w:val="1"/>
          <w:iCs w:val="1"/>
          <w:color w:val="auto"/>
        </w:rPr>
        <w:t>General Organization and Business</w:t>
      </w:r>
    </w:p>
    <w:p>
      <w:pPr>
        <w:ind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metastatic cervical cancer. Lifileucel for metastatic cervical cancer was formerly known as LN-145.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significant revenues from the sale or licensing of any of its product candidates during the 12 months from the date these financial statements are issued. The Company has incurred a net loss of $259.6 million for the year ended December 31, 2020 and used $205.1 million of cash in its operating activities during the year ended December 31, 2020. As of December 31, 2020, the Company had $635.0 million in cash, cash equivalents, short-term investments, and restricted cash ($67.3 million of cash and cash equivalents, $562.1 million in short-term investments and $5.5 million in restricted cash).</w:t>
      </w:r>
    </w:p>
    <w:p>
      <w:pPr>
        <w:spacing w:after="0" w:line="126"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Company expects to continue its research and development activities, increase pre-commercial activities and continue the construction of the tenant improvements for its new manufacturing facility, which will increase the amount of cash used during 2021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jc w:val="both"/>
        <w:ind w:right="320" w:firstLine="492"/>
        <w:spacing w:after="0" w:line="342" w:lineRule="auto"/>
        <w:rPr>
          <w:sz w:val="20"/>
          <w:szCs w:val="20"/>
          <w:color w:val="auto"/>
        </w:rPr>
      </w:pPr>
      <w:r>
        <w:rPr>
          <w:rFonts w:ascii="Arial" w:cs="Arial" w:eastAsia="Arial" w:hAnsi="Arial"/>
          <w:sz w:val="16"/>
          <w:szCs w:val="16"/>
          <w:color w:val="auto"/>
        </w:rPr>
        <w:t>The Company is subject to credit risk from its portfolio of cash equivalents and short-term investments. Under its investment policy, the Company limits amounts invested in such securities by credit rating, maturity, industry group, investment type and issuer,</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and liquidity of investments sufficient to meet cash flow requirements.</w:t>
      </w:r>
    </w:p>
    <w:p>
      <w:pPr>
        <w:spacing w:after="0" w:line="161" w:lineRule="exact"/>
        <w:rPr>
          <w:sz w:val="20"/>
          <w:szCs w:val="20"/>
          <w:color w:val="auto"/>
        </w:rPr>
      </w:pPr>
    </w:p>
    <w:p>
      <w:pPr>
        <w:ind w:right="430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PRACTICES </w:t>
      </w:r>
      <w:r>
        <w:rPr>
          <w:rFonts w:ascii="Arial" w:cs="Arial" w:eastAsia="Arial" w:hAnsi="Arial"/>
          <w:sz w:val="18"/>
          <w:szCs w:val="18"/>
          <w:b w:val="1"/>
          <w:bCs w:val="1"/>
          <w:i w:val="1"/>
          <w:iCs w:val="1"/>
          <w:color w:val="auto"/>
        </w:rPr>
        <w:t>Cash, Cash Equivalents, and Short-term Investments</w:t>
      </w:r>
    </w:p>
    <w:p>
      <w:pPr>
        <w:ind w:right="4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or income. Any impairment losses related to credit losses (if any) are included in an allowance for credit losses with an offsetting entry to net loss. No impairment losses related to credit losses were recognized for the years ended December 31, 2020 and 2019. The cost of debt securities is adjusted for the amortization of premiums and accretion of discounts to maturity. Such amortization and accretion are included in net interest income in the Consolidated Statements of Operations. Gains and losses on securities sold are recorded based on the specific identification method and are included in net interest income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except for securities issued by the U.S. government. Currently the Company invests excess cash only in obligations issued by the U.S. government and U.S. government agencies.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The Company maintains a certain minimum balance, approximately $5.5 million in a segregated bank account in connection with a letter of credit, one for $5.45 million for the benefit of the landlord for its commercial manufacturing facility used as a security deposit for the lease (See Note 10 - Leases), and a second one for $74,685 for the benefit of a utilities service provider. The total amount is classified as Restricted Cash on the Consolidated Balance Sheet. The letter of credit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$1,000,000, with a minimum security deposit of $1,450,000 maintained through the end of the lease term. The $74,685 letter of credit will expire on March 9, 2021, however, it will be automatically extended, without written agreement, to the expiration date of December 1, 2022. As of December 31, 2020 and 2019, restricted cash consisted of $5.5 million and this amount has been classified as a non-current asset on the Company’s Consolidated Balance Sheets.</w:t>
      </w:r>
    </w:p>
    <w:p>
      <w:pPr>
        <w:spacing w:after="0" w:line="141" w:lineRule="exact"/>
        <w:rPr>
          <w:sz w:val="20"/>
          <w:szCs w:val="20"/>
          <w:color w:val="auto"/>
        </w:rPr>
      </w:pPr>
    </w:p>
    <w:p>
      <w:pPr>
        <w:ind w:right="460" w:firstLine="492"/>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Restricted cash (included in non-current assets on the Consolidated Balance Sheets)</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Property and equipment is stated at cost, net of accumulated depreciation and amortization. The cost of property and equipment is depreciated or amortized on the straight-line method over the following estimated useful lives. The depreciation or amortization of capitalized construction in progress costs, a component of property and equipment, net, begins once the underlying asset is placed into service and is recognized over the estimated useful lives: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 years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980" w:type="dxa"/>
            <w:vAlign w:val="bottom"/>
          </w:tcPr>
          <w:p>
            <w:pPr>
              <w:ind w:left="700"/>
              <w:spacing w:after="0"/>
              <w:rPr>
                <w:sz w:val="20"/>
                <w:szCs w:val="20"/>
                <w:color w:val="auto"/>
              </w:rPr>
            </w:pPr>
            <w:r>
              <w:rPr>
                <w:rFonts w:ascii="Arial" w:cs="Arial" w:eastAsia="Arial" w:hAnsi="Arial"/>
                <w:sz w:val="18"/>
                <w:szCs w:val="18"/>
                <w:color w:val="auto"/>
              </w:rPr>
              <w:t>5 years</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 years</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980" w:type="dxa"/>
            <w:vAlign w:val="bottom"/>
          </w:tcPr>
          <w:p>
            <w:pPr>
              <w:ind w:left="700"/>
              <w:spacing w:after="0"/>
              <w:rPr>
                <w:sz w:val="20"/>
                <w:szCs w:val="20"/>
                <w:color w:val="auto"/>
              </w:rPr>
            </w:pPr>
            <w:r>
              <w:rPr>
                <w:rFonts w:ascii="Arial" w:cs="Arial" w:eastAsia="Arial" w:hAnsi="Arial"/>
                <w:sz w:val="18"/>
                <w:szCs w:val="18"/>
                <w:color w:val="auto"/>
              </w:rPr>
              <w:t>Lesser of the remaining economic life of the asset or the lease-term</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Expenditures for maintenance and repairs are charged to operations as incurred while renewals and betterments are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disposals are included within operating expenses in the Consolidated Statements of Operations.</w:t>
      </w:r>
    </w:p>
    <w:p>
      <w:pPr>
        <w:spacing w:after="0" w:line="184"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Management assesses the carrying value of property and equipment whenever events or changes in circumstances indicate that the carrying value may not be recoverable. If there is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2020, 2019, and 2018, the Company did not recognize any impairments for its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30"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purchases though the 2020 Employee Stock Purchase Plan (the “2020 ESPP”), (iii) vesting of restricted stock units and restricted stock awards, and (vi) conversion of preferred stock, are only included in the calculation of diluted net loss per share when their effect is dilutive.</w:t>
      </w:r>
    </w:p>
    <w:p>
      <w:pPr>
        <w:spacing w:after="0" w:line="165" w:lineRule="exact"/>
        <w:rPr>
          <w:sz w:val="20"/>
          <w:szCs w:val="20"/>
          <w:color w:val="auto"/>
        </w:rPr>
      </w:pPr>
    </w:p>
    <w:p>
      <w:pPr>
        <w:ind w:right="560" w:firstLine="492"/>
        <w:spacing w:after="0" w:line="277" w:lineRule="auto"/>
        <w:rPr>
          <w:sz w:val="20"/>
          <w:szCs w:val="20"/>
          <w:color w:val="auto"/>
        </w:rPr>
      </w:pPr>
      <w:r>
        <w:rPr>
          <w:rFonts w:ascii="Arial" w:cs="Arial" w:eastAsia="Arial" w:hAnsi="Arial"/>
          <w:sz w:val="18"/>
          <w:szCs w:val="18"/>
          <w:color w:val="auto"/>
        </w:rPr>
        <w:t>At December 31, 2020, 2019, and 2018,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As of December 31,</w:t>
            </w:r>
          </w:p>
        </w:tc>
        <w:tc>
          <w:tcPr>
            <w:tcW w:w="9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10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12,615,638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6,889,287</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97,000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5,854,845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2020 ESPP</w:t>
            </w:r>
          </w:p>
        </w:tc>
        <w:tc>
          <w:tcPr>
            <w:tcW w:w="880" w:type="dxa"/>
            <w:vAlign w:val="bottom"/>
          </w:tcPr>
          <w:p>
            <w:pPr>
              <w:jc w:val="right"/>
              <w:spacing w:after="0"/>
              <w:rPr>
                <w:sz w:val="20"/>
                <w:szCs w:val="20"/>
                <w:color w:val="auto"/>
              </w:rPr>
            </w:pPr>
            <w:r>
              <w:rPr>
                <w:rFonts w:ascii="Arial" w:cs="Arial" w:eastAsia="Arial" w:hAnsi="Arial"/>
                <w:sz w:val="18"/>
                <w:szCs w:val="18"/>
                <w:color w:val="auto"/>
              </w:rPr>
              <w:t>37,259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68,742</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16,331,016</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13,195,747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12,909,874</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an as-converted basis</w:t>
      </w:r>
    </w:p>
    <w:p>
      <w:pPr>
        <w:spacing w:after="0" w:line="18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320" w:firstLine="492"/>
        <w:spacing w:after="0" w:line="257" w:lineRule="auto"/>
        <w:rPr>
          <w:sz w:val="20"/>
          <w:szCs w:val="20"/>
          <w:color w:val="auto"/>
        </w:rPr>
      </w:pPr>
      <w:r>
        <w:rPr>
          <w:rFonts w:ascii="Arial" w:cs="Arial" w:eastAsia="Arial" w:hAnsi="Arial"/>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8"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2 as of December 31, 2020 and 2019.</w:t>
      </w:r>
    </w:p>
    <w:p>
      <w:pPr>
        <w:spacing w:after="0" w:line="198"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3 as of December 31, 2020 and 2019.</w:t>
      </w:r>
    </w:p>
    <w:p>
      <w:pPr>
        <w:spacing w:after="0" w:line="185"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and short-term investments, all of which are reported at their respective fair value on its Consolidated Balance Sheets.</w:t>
      </w:r>
    </w:p>
    <w:p>
      <w:pPr>
        <w:spacing w:after="0" w:line="143"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As of December 31, 2020 and 2019, financial assets measured at fair value on a recurring basis are categorized in the table below based upon the lowest level of significant input to the valuations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4"/>
                <w:szCs w:val="14"/>
                <w:b w:val="1"/>
                <w:bCs w:val="1"/>
                <w:color w:val="auto"/>
              </w:rPr>
              <w:t>Assets at Fair Value as of December 31, 2020</w:t>
            </w:r>
          </w:p>
        </w:tc>
        <w:tc>
          <w:tcPr>
            <w:tcW w:w="760" w:type="dxa"/>
            <w:vAlign w:val="bottom"/>
            <w:tcBorders>
              <w:bottom w:val="single" w:sz="8" w:color="auto"/>
            </w:tcBorders>
          </w:tcPr>
          <w:p>
            <w:pPr>
              <w:spacing w:after="0"/>
              <w:rPr>
                <w:sz w:val="14"/>
                <w:szCs w:val="1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470,109</w:t>
            </w: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4"/>
                <w:szCs w:val="14"/>
                <w:b w:val="1"/>
                <w:bCs w:val="1"/>
                <w:color w:val="auto"/>
              </w:rPr>
              <w:t>Assets at Fair Value as of December 31, 2019</w:t>
            </w:r>
          </w:p>
        </w:tc>
        <w:tc>
          <w:tcPr>
            <w:tcW w:w="760" w:type="dxa"/>
            <w:vAlign w:val="bottom"/>
            <w:tcBorders>
              <w:bottom w:val="single" w:sz="8" w:color="auto"/>
            </w:tcBorders>
          </w:tcPr>
          <w:p>
            <w:pPr>
              <w:spacing w:after="0"/>
              <w:rPr>
                <w:sz w:val="24"/>
                <w:szCs w:val="2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r>
      <w:tr>
        <w:trPr>
          <w:trHeight w:val="209"/>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accounting for potential liabilities, capitalization of internal-use software development costs, and the valuation allowance associated with the Company’s deferred tax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Iovance Biotherapeutics, Inc. and its wholly-owned subsidiaries, Iovance Biotherapeutics Manufacturing LLC and Iovance Biotherapeutics GmbH. All intercompany accounts and transactions have been eliminated. The U.S. dollar is the functional currency for all the Company's consolidated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its Consolidated Balance Sheet as Operating lease right-of-use assets and Operating lease liabilities as of December 31, 2020.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1"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The Company periodically grants stock options to employees in non-capital raising transactions as compensation for services rendered. The Company also offers employee stock purchase plans to employees. The Company accounts for all stock-based payment awards made to employee, including the employee stock purchase plans,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56"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61"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The Company has in the past issued restricted stock units (“RSU”) and restricted stock awards (“RSA”)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RSUs and RSAs is based on the closing price of the Company’s common stock on the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18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Company defers implementation costs incurred in cloud computing arrangements in accordance with ASC 2018-15 and amortizes it over the noncancelable term of the cloud computing arrangements plus any optional renewal periods (1) that are reasonably certain to be exercised by the Company or (2) for which exercises of the renewal option is controlled by the cloud service provider. Costs incurred during the application development stage that are directly attributable to developing or obtaining software for internal use are defined as implementation costs and capitalized. Costs incurred during operation and post-implementation stages are charged to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8"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Clinical development costs are a significant component of research and development expenses. The Company has a history of contracting with third parties that perform various clinical trial activities on its behalf in connection with the ongoing development of its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the percentage of work completed over the life of the individual trial in accordance with agreements established with contract research organizations and clinical trial sites. The Company determines its estimates through discussions with internal clinical personnel and outside service providers as to the progress or stage of completion of trials or services and the agreed upon fee to be paid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Securities and Exchange Commission (“SEC”) requirements, investor relations costs, and fees for accounting and consulting services.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61"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entities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the impact is immaterial.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98"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The Company is subject to credit risk from its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The Company maintains cash, cash equivalents and short-term investment balances at three financial institutions. Management believes that the financial institutions which hold its cash are financially sound and, accordingly, minimal credit risk exists. As of December 31, 2020, and 2019, respectively, the Company’s cash balances were in excess of insured limits maintained at the financial institutions.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ASU 2019-05, ASU 2019-11, and ASU 2020-03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requires modified retrospective application to all outstanding instruments, with a cumulative effect adjustment recorded to opening retained earnings as of the beginning of the first period in which the guidance becomes effective. The Company adopted this guidance on January 1, 2020, however, the adoption of this new guidance did not have any material impact on its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85"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(ASU 2018-15). The guidance requires a customer in a cloud computing arrangement that is a service contract to follow the internal use software guidance to determine which implementation costs to defer and recognize as an asset. It therefore requires a customer to defer potentially significant implementation costs incurred in a cloud computing arrangement that were often expensed as incurred under the legacy GAAP and recognize them as expense over the term of the hosting arrangement. ASU 2018-15 is effective for fiscal years beginning subsequent to December 15, 2019. The Company adopted this guidance on January 1, 2020. The Company recorded $1.4 million as prepaid expenses and long-term assets on the Consolidated Balance Sheet as of December 31, 2020. The Company recorded $0.2 million of amortization expense for the year ended December 31,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therapies using autologous TIL for the treatment of metastatic melanoma and other solid tumor cancers.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color w:val="auto"/>
        </w:rPr>
        <w:t>Management of the Company evaluates events that have occurred after the balance sheet date through the date the financial statements are issued. See Note 14 - Subsequent Events.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NOTE 3. CASH AND CASH EQUIVALENTS, AND SHORT-TERM INVESTMENTS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Cash equivalents, and short-term investments consist of the following (in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equivalents total</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$17.6 million and $3.9 million as of December 31, 2020 and 2019,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Short-term investments</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 total</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492"/>
        <w:spacing w:after="0" w:line="277" w:lineRule="auto"/>
        <w:rPr>
          <w:sz w:val="20"/>
          <w:szCs w:val="20"/>
          <w:color w:val="auto"/>
        </w:rPr>
      </w:pPr>
      <w:r>
        <w:rPr>
          <w:rFonts w:ascii="Arial" w:cs="Arial" w:eastAsia="Arial" w:hAnsi="Arial"/>
          <w:sz w:val="18"/>
          <w:szCs w:val="18"/>
          <w:color w:val="auto"/>
        </w:rPr>
        <w:t>The cost and fair value of cash equivalents and short-term investments at December 31, 2020 and 2019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Accretion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w w:val="94"/>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471,702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563,950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Accretion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241,709</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U.S. government agency securities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Unrealized gains and losses are included in accumulated other comprehensive loss. All short-term investments held by the Company as of December 31, 2020 and 2019 have a maturity of less than one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56,758</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Total Property and equipment, cost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59,159</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Depreciation expense for the years ended December 31, 2020, 2019, and 2018 was approximately $1.1 million, $1.2 million and $1.0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Accrued payroll and employee related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Commercial manufacturing facility related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Manufacturing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 of Common Stock</w:t>
      </w:r>
    </w:p>
    <w:p>
      <w:pPr>
        <w:spacing w:after="0" w:line="185"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121" w:lineRule="exact"/>
        <w:rPr>
          <w:sz w:val="20"/>
          <w:szCs w:val="20"/>
          <w:color w:val="auto"/>
        </w:rPr>
      </w:pPr>
    </w:p>
    <w:p>
      <w:pPr>
        <w:jc w:val="both"/>
        <w:ind w:right="100" w:firstLine="492"/>
        <w:spacing w:after="0" w:line="311" w:lineRule="auto"/>
        <w:rPr>
          <w:sz w:val="20"/>
          <w:szCs w:val="20"/>
          <w:color w:val="auto"/>
        </w:rPr>
      </w:pPr>
      <w:r>
        <w:rPr>
          <w:rFonts w:ascii="Arial" w:cs="Arial" w:eastAsia="Arial" w:hAnsi="Arial"/>
          <w:sz w:val="16"/>
          <w:szCs w:val="16"/>
          <w:color w:val="auto"/>
        </w:rPr>
        <w:t>In October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gross proceeds from the offering, before deducting the underwriting discounts and commissions and other estimated offering expenses payable by the Company, were $252.2 million, with net proceeds to the Company of $236.7 million.</w:t>
      </w:r>
    </w:p>
    <w:p>
      <w:pPr>
        <w:spacing w:after="0" w:line="10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85"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December 31, 2020, 17,000 shares were designated as Series A Convertible Preferred Stock and 11,500,000 shares were designated as Series B Convertible Preferred Stock (“Series B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right="200" w:firstLine="492"/>
        <w:spacing w:after="0" w:line="291" w:lineRule="auto"/>
        <w:rPr>
          <w:sz w:val="20"/>
          <w:szCs w:val="20"/>
          <w:color w:val="auto"/>
        </w:rPr>
      </w:pPr>
      <w:r>
        <w:rPr>
          <w:rFonts w:ascii="Arial" w:cs="Arial" w:eastAsia="Arial" w:hAnsi="Arial"/>
          <w:sz w:val="16"/>
          <w:szCs w:val="16"/>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26" w:lineRule="exact"/>
        <w:rPr>
          <w:sz w:val="20"/>
          <w:szCs w:val="20"/>
          <w:color w:val="auto"/>
        </w:rPr>
      </w:pPr>
    </w:p>
    <w:p>
      <w:pPr>
        <w:ind w:right="30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year ended December 31, 2020 and 2019. At December 31, 2020 and 2019, 194 shares of Series A Convertible Preferred Stock (that are convertible into 97,000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17"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No Shares of Series B Convertible Preferred Stock were converted during the year ended December 31, 2020. A total of 2,273,726 shares of Series B Convertible Preferred Stock were converted into 2,273,726 shares of common stock during the year ended December 31, 2019. At December 31, 2020 and 2019, 3,581,119 shares of Series B Preferred Stock (that are convertible into 3,581,119 shares of common stock) remained outstanding,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Shares</w:t>
      </w:r>
    </w:p>
    <w:p>
      <w:pPr>
        <w:spacing w:after="0" w:line="18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remaining outstanding warrants as of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60" w:firstLine="492"/>
        <w:spacing w:after="0" w:line="285" w:lineRule="auto"/>
        <w:rPr>
          <w:sz w:val="20"/>
          <w:szCs w:val="20"/>
          <w:color w:val="auto"/>
        </w:rPr>
      </w:pPr>
      <w:r>
        <w:rPr>
          <w:rFonts w:ascii="Arial" w:cs="Arial" w:eastAsia="Arial" w:hAnsi="Arial"/>
          <w:sz w:val="16"/>
          <w:szCs w:val="16"/>
          <w:color w:val="auto"/>
        </w:rPr>
        <w:t>On June 1, 2016, the Company entered into an RSU agreement with the Company’s Chief Executive Officer, Maria Fardis, Ph.D., pursuant to which the Company granted Dr. Fardis 550,000 non-transferrable RSU at fair market value of $5.87 per share as an inducement of employment pursuant to the exception to The Nasdaq Global Market rules that generally require stockholder approval of equity incentive plans. The 550,000 RSU vest in installments as follows: (i) 137,500 RSU vested upon the first anniversary of the effective date of Dr. Fardis’ employment agreement; (ii) 275,000 RSU vest upon the satisfaction of certain clinical trial milestones; and</w:t>
      </w:r>
    </w:p>
    <w:p>
      <w:pPr>
        <w:spacing w:after="0" w:line="2" w:lineRule="exact"/>
        <w:rPr>
          <w:sz w:val="20"/>
          <w:szCs w:val="20"/>
          <w:color w:val="auto"/>
        </w:rPr>
      </w:pPr>
    </w:p>
    <w:p>
      <w:pPr>
        <w:ind w:right="60" w:firstLine="8"/>
        <w:spacing w:after="0" w:line="255"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137,500 RSU vest in equal monthly installments over the 36-month period following the first anniversary of the effective date of Dr. Fardis’ employment, such that the RSUs were fully vested as of June 1, 2020. At December 31, 2020, the Company had no RSUs outstanding.</w:t>
      </w:r>
    </w:p>
    <w:p>
      <w:pPr>
        <w:spacing w:after="0" w:line="163"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$0.1 million, $0.3 million, and $0.3 million for the years ended December 31, 2020, 2019, and 2018, respectively, recorded as part of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Board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At December 31, 2020, 11,240 shares were available for future grant under the 2011 Plan.</w:t>
      </w:r>
    </w:p>
    <w:p>
      <w:pPr>
        <w:spacing w:after="0" w:line="155"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24"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At December 31, 2020, 61,575 shares were available for grant under the Company’s 2014 Plan.</w:t>
      </w:r>
    </w:p>
    <w:p>
      <w:pPr>
        <w:spacing w:after="0" w:line="143"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color w:val="auto"/>
        </w:rPr>
        <w:t>On April 22, 2018, the Board adopted the Iovance Biotherapeutics, Inc. 2018 Equity Incentive Plan (the “2018 Plan”). The 2018 Plan was approved by the Company’s stockholders at the annual meeting of stockholders held in June 2018. The 2018 Plan as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At December 31, 2020, 7,455,537 shares of common stock were available for grant under the Company’s 2018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A summary of the status of stock options at December 31, 2020, and the changes during the three years then ended, is presented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6,072,368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2,960,620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(807,187)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4,166,600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(833,683)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4,981,001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(886,221)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12,615,638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6,401,443</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outstanding and exercisable stock options as of December 31, 2020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rPr>
              <w:t>Options Outstanding</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6"/>
          </w:tcPr>
          <w:p>
            <w:pPr>
              <w:jc w:val="right"/>
              <w:ind w:right="1030"/>
              <w:spacing w:after="0"/>
              <w:rPr>
                <w:sz w:val="20"/>
                <w:szCs w:val="20"/>
                <w:color w:val="auto"/>
              </w:rPr>
            </w:pPr>
            <w:r>
              <w:rPr>
                <w:rFonts w:ascii="Arial" w:cs="Arial" w:eastAsia="Arial" w:hAnsi="Arial"/>
                <w:sz w:val="18"/>
                <w:szCs w:val="18"/>
                <w:b w:val="1"/>
                <w:bCs w:val="1"/>
                <w:color w:val="auto"/>
                <w:w w:val="92"/>
              </w:rPr>
              <w:t>Options Exercisable</w:t>
            </w:r>
          </w:p>
        </w:tc>
      </w:tr>
      <w:tr>
        <w:trPr>
          <w:trHeight w:val="191"/>
        </w:trPr>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Range of Exercise</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 Price</w:t>
            </w:r>
          </w:p>
        </w:tc>
      </w:tr>
      <w:tr>
        <w:trPr>
          <w:trHeight w:val="234"/>
        </w:trPr>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Prices</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$ 5.05-$ 7.3</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1,307,133</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1,307,133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89"/>
              </w:rPr>
              <w:t>$ 7.4-$ 8.17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1,309,536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1,300,911</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$ 8.3-$ 11.05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808,228</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$ 11.15-$ 11.26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1,377,597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812,887</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$ 11.44-$ 16.8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1,282,900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1"/>
              </w:rPr>
              <w:t>$ 16.94-$ 22.9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1,291,100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674,672</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$ 23-$ 23.87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0"/>
              </w:rPr>
              <w:t>$ 23.88-$ 23.88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1,369,946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23.88</w:t>
            </w:r>
          </w:p>
        </w:tc>
        <w:tc>
          <w:tcPr>
            <w:tcW w:w="200" w:type="dxa"/>
            <w:vAlign w:val="bottom"/>
          </w:tcPr>
          <w:p>
            <w:pPr>
              <w:spacing w:after="0"/>
              <w:rPr>
                <w:sz w:val="18"/>
                <w:szCs w:val="18"/>
                <w:color w:val="auto"/>
              </w:rPr>
            </w:pPr>
          </w:p>
        </w:tc>
        <w:tc>
          <w:tcPr>
            <w:tcW w:w="10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$ 23.93-$ 25.78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76,787</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16"/>
        </w:trPr>
        <w:tc>
          <w:tcPr>
            <w:tcW w:w="1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$ 27.5-$ 117</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1,743,650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125,550</w:t>
            </w: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36.54</w:t>
            </w:r>
          </w:p>
        </w:tc>
      </w:tr>
      <w:tr>
        <w:trPr>
          <w:trHeight w:val="209"/>
        </w:trPr>
        <w:tc>
          <w:tcPr>
            <w:tcW w:w="1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12,615,638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6,401,443</w:t>
            </w: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0"/>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124"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our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44"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The compensation expense related to the 2020 ESPP for the year ended December 31, 2020 was $0.06 million. As of December 31, 2020, no shares were issued under the 2020 ESPP and there was $0.5 million of unrecognized compensation cost associated with the 2020 ESPP, which will be recognized over 6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Consolidated Statements of Operations as follows (in thousands):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Years Ended December 31,</w:t>
            </w:r>
          </w:p>
        </w:tc>
        <w:tc>
          <w:tcPr>
            <w:tcW w:w="88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w:t>
            </w: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w w:val="91"/>
              </w:rPr>
              <w:t>Years Ended December 31,</w:t>
            </w:r>
          </w:p>
        </w:tc>
        <w:tc>
          <w:tcPr>
            <w:tcW w:w="98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stock unit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2020 ESPP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24,277</w:t>
            </w:r>
          </w:p>
        </w:tc>
        <w:tc>
          <w:tcPr>
            <w:tcW w:w="2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As of December 31, 2020, there was $75.9 million of total unrecognized compensation expenses related to non-vested employee options to be recognized over a weighted average period of 1.90 years.</w:t>
      </w:r>
    </w:p>
    <w:p>
      <w:pPr>
        <w:spacing w:after="0" w:line="143"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years ended December 31, 2020, 2019, and 2018 was $17.32, $9.48, and $14.44 per option respectively.</w:t>
      </w:r>
    </w:p>
    <w:p>
      <w:pPr>
        <w:spacing w:after="0" w:line="130"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year ended December 31, 2020 and the exercise price of the options, multiplied by the number of in-the-money stock options) that would have been received by the option holders had all option holders exercised their options on December 31, 2020. The intrinsic value of the Company’s stock options changes based on the closing price of the Company’s common stock.</w:t>
      </w:r>
    </w:p>
    <w:p>
      <w:pPr>
        <w:spacing w:after="0" w:line="147"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 total pre-tax intrinsic value of stock options exercised during the year ended December 31, 2020, 2019, and 2018 were $21.4 million, $5.3 million, and $2.3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years ended December 31, 2020, 2019, and 2018:</w:t>
      </w:r>
    </w:p>
    <w:p>
      <w:pPr>
        <w:spacing w:after="0" w:line="40"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4"/>
              </w:rPr>
              <w:t>Stock Option</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ESPP</w:t>
            </w:r>
          </w:p>
        </w:tc>
      </w:tr>
      <w:tr>
        <w:trPr>
          <w:trHeight w:val="133"/>
        </w:trPr>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1"/>
              </w:rPr>
              <w:t>Years Ended December 31,</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4"/>
                <w:szCs w:val="14"/>
                <w:b w:val="1"/>
                <w:bCs w:val="1"/>
                <w:color w:val="auto"/>
              </w:rPr>
              <w:t>Assumptions:</w:t>
            </w:r>
          </w:p>
        </w:tc>
        <w:tc>
          <w:tcPr>
            <w:tcW w:w="12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42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- 6.06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- 5.13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0.50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69.99%</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- 70.99%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71.62%</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w w:val="96"/>
              </w:rPr>
              <w:t>- 70.63%  200.28%</w:t>
            </w:r>
          </w:p>
        </w:tc>
        <w:tc>
          <w:tcPr>
            <w:tcW w:w="780" w:type="dxa"/>
            <w:vAlign w:val="bottom"/>
          </w:tcPr>
          <w:p>
            <w:pPr>
              <w:ind w:left="20"/>
              <w:spacing w:after="0"/>
              <w:rPr>
                <w:sz w:val="20"/>
                <w:szCs w:val="20"/>
                <w:color w:val="auto"/>
              </w:rPr>
            </w:pPr>
            <w:r>
              <w:rPr>
                <w:rFonts w:ascii="Arial" w:cs="Arial" w:eastAsia="Arial" w:hAnsi="Arial"/>
                <w:sz w:val="18"/>
                <w:szCs w:val="18"/>
                <w:color w:val="auto"/>
                <w:w w:val="90"/>
              </w:rPr>
              <w:t>- 167.54%</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54.90%</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0.09%</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color w:val="auto"/>
              </w:rPr>
              <w:t>0%</w:t>
            </w:r>
          </w:p>
        </w:tc>
        <w:tc>
          <w:tcPr>
            <w:tcW w:w="1420" w:type="dxa"/>
            <w:vAlign w:val="bottom"/>
            <w:gridSpan w:val="3"/>
          </w:tcPr>
          <w:p>
            <w:pPr>
              <w:jc w:val="right"/>
              <w:ind w:right="43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84"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30"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30"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EMPLOYEE BENEFIT PLAN</w:t>
      </w:r>
    </w:p>
    <w:p>
      <w:pPr>
        <w:spacing w:after="0" w:line="18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The Company maintains a defined contribution plan covering substantially all U.S. employees under Section 401(k) of the Internal Revenue Code of 1986, as amended (the “IRC”). The Company's matching contribution to the plan was $1.2 million, $0.9 million, and $0.5 million for the years ended December 31, 2020,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INCOME TAXES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deferred tax assets (liabilities) are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Net operating loss carry forward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144,087</w:t>
            </w:r>
          </w:p>
        </w:tc>
        <w:tc>
          <w:tcPr>
            <w:tcW w:w="160" w:type="dxa"/>
            <w:vAlign w:val="bottom"/>
          </w:tcPr>
          <w:p>
            <w:pPr>
              <w:spacing w:after="0"/>
              <w:rPr>
                <w:sz w:val="18"/>
                <w:szCs w:val="18"/>
                <w:color w:val="auto"/>
              </w:rPr>
            </w:pP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95,473</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Tax credit carry forwards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22,711</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131,072</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(128,720)</w:t>
            </w:r>
          </w:p>
        </w:tc>
      </w:tr>
      <w:tr>
        <w:trPr>
          <w:trHeight w:val="209"/>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deferred income tax assets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(11,714)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w:t>
            </w:r>
          </w:p>
        </w:tc>
      </w:tr>
      <w:tr>
        <w:trPr>
          <w:trHeight w:val="21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effective income tax rate to the U.S. statutory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0"/>
              </w:rPr>
              <w:t>Years ended December 31,</w:t>
            </w: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520" w:type="dxa"/>
            <w:vAlign w:val="bottom"/>
            <w:gridSpan w:val="2"/>
          </w:tcPr>
          <w:p>
            <w:pPr>
              <w:jc w:val="right"/>
              <w:ind w:right="43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Orphan Drug &amp; Research credits</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860" w:type="dxa"/>
            <w:vAlign w:val="bottom"/>
            <w:gridSpan w:val="3"/>
          </w:tcPr>
          <w:p>
            <w:pPr>
              <w:jc w:val="right"/>
              <w:ind w:right="25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 differences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rate change</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vMerge w:val="continue"/>
          </w:tcPr>
          <w:p>
            <w:pPr>
              <w:spacing w:after="0"/>
              <w:rPr>
                <w:sz w:val="18"/>
                <w:szCs w:val="18"/>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26 %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Effective tax rate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Current</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State and Local</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w:t>
            </w: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The Company had net operating loss carryovers (“NOLs”) for federal and state income tax purposes of approximately $662.4 million and $128.9 million, respectively, as of December 31, 2020. $142.4 million of federal NOLs will expire beginning in 2027, while $520.0 million generated after Tax Reform will have an indefinite life. The state NOLs will expire if unused in years 2030 through 2038.</w:t>
      </w:r>
    </w:p>
    <w:p>
      <w:pPr>
        <w:spacing w:after="0" w:line="108"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The Company’s utilization of NOLs is subject to an annual limitation due to ownership changes that have occurred previously or that could occur in the future as provided in Section 382 of the Code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an ownership change as defined by Section 382, and could result in an ownership change in the future upon subsequent disposition. The Company’s utilization of NOLs may also be adversely affected by future changes in federal and state tax laws and regulations.</w:t>
      </w:r>
    </w:p>
    <w:p>
      <w:pPr>
        <w:spacing w:after="0" w:line="150"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 December 31, 2020, 2019, and 2018, the change in the valuation allowance was approximately $60.7 million, $50.6 million, and $30.3 million respectively.</w:t>
      </w:r>
    </w:p>
    <w:p>
      <w:pPr>
        <w:spacing w:after="0" w:line="151"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reduced) for unrecognized tax benefit because it represents an enterprise’s potential future obligation to the taxing authority for a tax position that was not recognized as a result of applying the provisions of ASC 740.</w:t>
      </w:r>
    </w:p>
    <w:p>
      <w:pPr>
        <w:spacing w:after="0" w:line="130"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If applicable, interest costs related to the unrecognized tax benefits are required to be calculated and would be classified as income tax expenses in the Consolidated Statement of Operations. Penalties would be recognized as a component of “General and Administrative Expenses” in the Consolidated Statement of Operations.</w:t>
      </w:r>
    </w:p>
    <w:p>
      <w:pPr>
        <w:spacing w:after="0" w:line="157"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A reconciliation of the beginning and ending balances of the unrecognized tax benefits during the years ended December 31, 2020, 2019, and 2018 is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10,038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Gross decreases - prior period tax positions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current period tax positions</w:t>
            </w:r>
          </w:p>
        </w:tc>
        <w:tc>
          <w:tcPr>
            <w:tcW w:w="9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Unrecognized benefit - end of period</w:t>
            </w:r>
          </w:p>
        </w:tc>
        <w:tc>
          <w:tcPr>
            <w:tcW w:w="920" w:type="dxa"/>
            <w:vAlign w:val="bottom"/>
          </w:tcPr>
          <w:p>
            <w:pPr>
              <w:spacing w:after="0"/>
              <w:rPr>
                <w:sz w:val="18"/>
                <w:szCs w:val="18"/>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14,432</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 interest or penalties on unpaid tax were recorded during the years ended December 31, 2020,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any significant changes within 12 months of this reporting date of its uncertain tax positions.</w:t>
      </w:r>
    </w:p>
    <w:p>
      <w:pPr>
        <w:spacing w:after="0" w:line="182"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83"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57"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$2.0 million, $2.2 million, and $2.0 million for the years ended December 31, 2020, 2019 and 2018, respectively, as research and development expenses.</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20" w:firstLine="492"/>
        <w:spacing w:after="0" w:line="288" w:lineRule="auto"/>
        <w:rPr>
          <w:sz w:val="20"/>
          <w:szCs w:val="20"/>
          <w:color w:val="auto"/>
        </w:rPr>
      </w:pPr>
      <w:r>
        <w:rPr>
          <w:rFonts w:ascii="Arial" w:cs="Arial" w:eastAsia="Arial" w:hAnsi="Arial"/>
          <w:sz w:val="16"/>
          <w:szCs w:val="16"/>
          <w:color w:val="auto"/>
        </w:rPr>
        <w:t>Effective October 5, 2011, the Company entered into an Exclusive Patent License Agreement (the “Patent License Agreement”) with the NIH, an agency of the U.S.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The Company anticipates making a milestone payment in conjunction with the submission of a Biologics License Application for any of its product candidates covered by the Patent License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8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In the years ended December 31, 2020, 2019 and 2018, the Company recorded research and development costs of $0.6 million, $0.7 million, and $1.2 million, respectively, in connection with the research collaboration and clinical grant agreements with Moffitt.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w:t>
      </w:r>
    </w:p>
    <w:p>
      <w:pPr>
        <w:sectPr>
          <w:pgSz w:w="11900" w:h="16838" w:orient="portrait"/>
          <w:cols w:equalWidth="0" w:num="1">
            <w:col w:w="9880"/>
          </w:cols>
          <w:pgMar w:left="980" w:top="665"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year ended December 31, 2020, 2019, and 2018.</w:t>
      </w:r>
    </w:p>
    <w:p>
      <w:pPr>
        <w:spacing w:after="0" w:line="154"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$0.1 million for the years ended December 31, 2020, 2019 and 2018 as research and development expenses in connection with this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followed by subsequent payment of $2.5 million under this agreement. The Company recorded $1.1 million, $3.4 million and $0.8 million associated with the SAA for the year ended December 31, 2020, 2019, and 2018 as research and development expenses,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w:t>
      </w:r>
    </w:p>
    <w:p>
      <w:pPr>
        <w:spacing w:after="0" w:line="18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 Inc. (“WuXi”) pursuant to which WuXi agreed to provide manufacturing and other services, which has since been amended and assigned to our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the first suite were amended in 2019 and September 2020, and the second suite was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terms of the related statements of work for the first and second dedicated manufacturing suites currently extend to August 2022 and June 2021, respectively. The Company recorded costs associated with agreements with WuXi of $20.6 million, $28.4 million, and $15.1 million for the years ended December 31, 2020, 2019, and 2018 respectively, as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Cellectis</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On January 12, 2020, the Company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products. The Company recorded costs associated with the license agreement from Cellectis of $0.4 million the year ended December 31,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w:t>
      </w:r>
    </w:p>
    <w:p>
      <w:pPr>
        <w:spacing w:after="0" w:line="198"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189"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47"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6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June 5,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85"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5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6"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facility that expired on October 31, 2018. The term of the lease is 30 months subsequent to the commencement date, November 1, 2018, and will expire in April 2021. Monthly lease payments are approximately $59,000, subject to an annual increase of 3%.</w:t>
      </w:r>
    </w:p>
    <w:p>
      <w:pPr>
        <w:spacing w:after="0" w:line="106"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 On September 1, 2020, the Company entered into an agreement to extend the lease term to January 31, 2021, for approximately $4,000 a month. On January 31, 2021, the lease terminated, and we closed our New York office.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98" w:lineRule="exact"/>
        <w:rPr>
          <w:sz w:val="20"/>
          <w:szCs w:val="20"/>
          <w:color w:val="auto"/>
        </w:rPr>
      </w:pPr>
    </w:p>
    <w:p>
      <w:pPr>
        <w:jc w:val="both"/>
        <w:ind w:right="4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25"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twelve-month term at a rate of approximately $6,500 per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98"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leases approximately 136,000 rentable square feet of space in a building located at 300 Rouse Boulevard, Philadelphia, Pennsylvania (the “Premises”). The construction of the commercial manufacturing facility began in July 2019 and has been substantially completed.</w:t>
      </w:r>
    </w:p>
    <w:p>
      <w:pPr>
        <w:spacing w:after="0" w:line="136"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determined the commencement date of the Commercial Manufacturing Lease to be October 7, 2020 in accordance with Topic 842 when its landlord made the Premise available for the Company’s use and the Company obtained control over the use of the Premises.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 In determining the lease term, the Company did not include the periods covered by the option to extend the lease as it determined that it is not reasonably certain that the Company will exercise such option. Upon the commencement date, the Company recognized operating lease liabilities and right-of-use assets of $41.3 million and $45.7 million, respectively.</w:t>
      </w:r>
    </w:p>
    <w:p>
      <w:pPr>
        <w:spacing w:after="0" w:line="138" w:lineRule="exact"/>
        <w:rPr>
          <w:sz w:val="20"/>
          <w:szCs w:val="20"/>
          <w:color w:val="auto"/>
        </w:rPr>
      </w:pPr>
    </w:p>
    <w:p>
      <w:pPr>
        <w:jc w:val="both"/>
        <w:ind w:right="240" w:firstLine="492"/>
        <w:spacing w:after="0" w:line="311" w:lineRule="auto"/>
        <w:rPr>
          <w:sz w:val="20"/>
          <w:szCs w:val="20"/>
          <w:color w:val="auto"/>
        </w:rPr>
      </w:pPr>
      <w:r>
        <w:rPr>
          <w:rFonts w:ascii="Arial" w:cs="Arial" w:eastAsia="Arial" w:hAnsi="Arial"/>
          <w:sz w:val="16"/>
          <w:szCs w:val="16"/>
          <w:color w:val="auto"/>
        </w:rPr>
        <w:t>The Company’s monthly base rent under the Lease will be approximately $320,000, subject to an annual increase of 2% for the first ten years, and an annual increase of the greater of 2% or 75% of the average ten-year consumer price index. The Company is also responsible for paying operating expenses, which are expected to be approximately $72,000 per month in 2021.</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0"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2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8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54,756</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current liabilities</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28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lease liabilities</w:t>
            </w:r>
          </w:p>
        </w:tc>
        <w:tc>
          <w:tcPr>
            <w:tcW w:w="28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3280" w:type="dxa"/>
            <w:vAlign w:val="bottom"/>
            <w:gridSpan w:val="2"/>
          </w:tcPr>
          <w:p>
            <w:pPr>
              <w:jc w:val="right"/>
              <w:ind w:right="2376"/>
              <w:spacing w:after="0"/>
              <w:rPr>
                <w:sz w:val="20"/>
                <w:szCs w:val="20"/>
                <w:color w:val="auto"/>
              </w:rPr>
            </w:pPr>
            <w:r>
              <w:rPr>
                <w:rFonts w:ascii="Arial" w:cs="Arial" w:eastAsia="Arial" w:hAnsi="Arial"/>
                <w:sz w:val="18"/>
                <w:szCs w:val="18"/>
                <w:color w:val="auto"/>
              </w:rPr>
              <w:t>F-30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Consolidated Statement of Operations, and other information related to our operating leases as follows (in thousands except weighted-average remaining lease terms and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 the 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5,585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7"/>
              </w:rPr>
              <w:t>Cash paid for amounts included in the measurement of lease liabilities included in</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cashflows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8,372</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8,622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right-of-use assets from the adoption of Topic 842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Right-of-use assets obtained from entering new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50,327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the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embedded</w:t>
            </w: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74,206</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(51,474)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 As of December 31, 2020, the weighted average remaining lease term is 16.76 years and the weighted average discount rate used to determine the operating lease liabilities was 8.3%.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LEGAL PROCEEDINGS</w:t>
      </w:r>
    </w:p>
    <w:p>
      <w:pPr>
        <w:spacing w:after="0" w:line="20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July 31, 2020, the Solomon Plaintiffs, through new counsel, filed a motion for reconsideration of the dismissal of the First Solomon Suit for want of prosecution. On August 11, 2020, the Company filed an opposition brief against the Solomon Plaintiffs’ motion for reconsideration. On August 17, 2020, the Solomon Plaintiffs filed a reply brief in support of their motion for reconsideration. On September 2, 2020, the Solomon Plaintiffs filed a notice of appeal of the dismissal for want of prosecution. On January 4, 2021, the court granted the Solomon Plaintiffs motion for reconsideration, and reinstituted the case. On January 15, 2021, the Company filed a notice of appeal of the court’s grant of the Solomon Plaintiffs motion for reconsideration.</w:t>
      </w:r>
    </w:p>
    <w:p>
      <w:pPr>
        <w:spacing w:after="0" w:line="349"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The Company has not yet responded to the complaint in the Second Solomon Suit. On May 22, 2020, the Company moved to dismiss the Second Solomon Suit for lack of personal jurisdiction. On July 17, 2020, the Solomon Plaintiffs filed an opposition brief against the Company’s motion to dismiss for lack of personal jurisdiction. On August 7, 2020, the Company filed a reply brief in support of the Company’s motion to dismiss for lack of personal jurisdiction.</w:t>
      </w:r>
    </w:p>
    <w:p>
      <w:pPr>
        <w:spacing w:after="0" w:line="149"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Maria Fardis</w:t>
      </w:r>
      <w:r>
        <w:rPr>
          <w:rFonts w:ascii="Arial" w:cs="Arial" w:eastAsia="Arial" w:hAnsi="Arial"/>
          <w:sz w:val="16"/>
          <w:szCs w:val="16"/>
          <w:color w:val="auto"/>
        </w:rPr>
        <w:t>, Dr. Steven Fischkoff, the Company’s former Vice President and Chief Medical Officer, filed a lawsuit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owed to him, and seeks to recover amounts including severance pay and retention bonus (totaling $300,000), a prorated incentive bonus, and amounts relating to unvested options to 150,000 shares of the Company's common stock, together with prejudgment interest, costs, expenses and attorneys’ fees. On July 5, 2017, the Company filed a removal petition and removed the lawsuit to the U.S.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On September 23, 2020, the parties reached a confidential settlement in this matter, and on October 13, 2020, the court approved a stipulation of dismissal with prejudice filed by the parties.</w:t>
      </w:r>
    </w:p>
    <w:p>
      <w:pPr>
        <w:spacing w:after="0" w:line="130"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consolidated financial statements.</w:t>
      </w:r>
    </w:p>
    <w:p>
      <w:pPr>
        <w:spacing w:after="0" w:line="151"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QUARTERLY UNAUDITED RESULTS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by quarter for the years ended December 31, 2020 and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9"/>
          </w:tcPr>
          <w:p>
            <w:pPr>
              <w:jc w:val="right"/>
              <w:ind w:right="48"/>
              <w:spacing w:after="0" w:line="142" w:lineRule="exact"/>
              <w:rPr>
                <w:sz w:val="20"/>
                <w:szCs w:val="20"/>
                <w:color w:val="auto"/>
              </w:rPr>
            </w:pPr>
            <w:r>
              <w:rPr>
                <w:rFonts w:ascii="Arial" w:cs="Arial" w:eastAsia="Arial" w:hAnsi="Arial"/>
                <w:sz w:val="14"/>
                <w:szCs w:val="14"/>
                <w:b w:val="1"/>
                <w:bCs w:val="1"/>
                <w:color w:val="auto"/>
              </w:rPr>
              <w:t>(in thousands, except per share information)</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Q1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Q4</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Q1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Q4</w:t>
            </w:r>
          </w:p>
        </w:tc>
      </w:tr>
      <w:tr>
        <w:trPr>
          <w:trHeight w:val="142"/>
        </w:trPr>
        <w:tc>
          <w:tcPr>
            <w:tcW w:w="3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(69,595)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(63,018)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(58,571)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(68,397)</w:t>
            </w: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(36,950)</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(47,551)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(49,487)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(63,568)</w:t>
            </w: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and diluted</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(0.40)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(0.50)</w:t>
            </w:r>
          </w:p>
        </w:tc>
      </w:tr>
      <w:tr>
        <w:trPr>
          <w:trHeight w:val="130"/>
        </w:trPr>
        <w:tc>
          <w:tcPr>
            <w:tcW w:w="3060" w:type="dxa"/>
            <w:vAlign w:val="bottom"/>
          </w:tcPr>
          <w:p>
            <w:pPr>
              <w:spacing w:after="0" w:line="130" w:lineRule="exact"/>
              <w:rPr>
                <w:sz w:val="20"/>
                <w:szCs w:val="20"/>
                <w:color w:val="auto"/>
              </w:rPr>
            </w:pPr>
            <w:r>
              <w:rPr>
                <w:rFonts w:ascii="Arial" w:cs="Arial" w:eastAsia="Arial" w:hAnsi="Arial"/>
                <w:sz w:val="14"/>
                <w:szCs w:val="14"/>
                <w:color w:val="auto"/>
                <w:w w:val="94"/>
              </w:rPr>
              <w:t>Weighted average share used in computing net 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4"/>
                <w:szCs w:val="14"/>
                <w:color w:val="auto"/>
              </w:rPr>
              <w:t>per share, basic and 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126,568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133,162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146,492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146,738</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123,415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123,567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124,035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126,273</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89" w:lineRule="exact"/>
        <w:rPr>
          <w:sz w:val="20"/>
          <w:szCs w:val="20"/>
          <w:color w:val="auto"/>
        </w:rPr>
      </w:pPr>
    </w:p>
    <w:p>
      <w:pPr>
        <w:ind w:right="180" w:firstLine="492"/>
        <w:spacing w:after="0" w:line="290"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Company recognized $0.2 million, $0.4 million and $0.7 million in stock-based compensation expense related to this consulting agreement during the years ended December 31, 2020,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8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On February 3, 2021, the Company entered into a lease agreement with ARE-San Francisco No. 63, LLC (the “New Headquarters Lease”) for laboratories and offices to be constructed in Suite 400 of an existing building located at 825 Industrial Road, San Carlos, California (the “Building”), commonly known as The District. Under the New Headquarters Lease, the Company will lease approximately 49,918 rentable square feet of space in the Building (the “Premises”). The New Headquarters Lease is for a term of 120 months, commencing upon the first day of the first full month (the “Rent Commencement Date”) after the earlier to occur of (i) the date that is 12 months and one day after the execution date (the “Commencement Date”), which is January 30, 2022, or (ii) the date that the Tenant Improvements are substantially completed; provided, however, that the Rent Commencement Date shall be delayed 1 day for each day after the Commencement Date that (a) to the extent that, after the Commencement Date, any governmental authority having jurisdiction, as a result of the COVID-19 outbreak in the U.S., declares or implements any order or mandate that restricts construction activities in San Mateo County, California (any such order or mandate, a “Government Mandate”), to the extent that such Government Mandate precludes the construction of tenant improvements, or (b) a landlord delay occurs. Construction of the Company’s offices is expected to extend through 2021. The New Headquarters Lease includes an option to extend the term of the lease for 60 months, exercisable under certain conditions and at a market rate as described in the New Headquarters Lease.</w:t>
      </w:r>
    </w:p>
    <w:p>
      <w:pPr>
        <w:spacing w:after="0" w:line="174"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the Company’s monthly base rent under the New Headquarters Lease will be $279,540.80, subject to an annual increase of 3%. Beginning in 2022, the Company will also be responsible for paying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Existing Headquarters Leases</w:t>
      </w:r>
    </w:p>
    <w:p>
      <w:pPr>
        <w:spacing w:after="0" w:line="185"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On February 3, 2021, the Company entered into two amendments (the “Suite 150 Second Amendment” and the “Suite 100 and Suite 125 First Amendment”) to its previously disclosed lease agreements with Hudson Skyway Landing, LLC, for space located on the first floor of the building located at 999 Skyway Road, San Carlos, California, commonly known as Skyway Landing II.</w:t>
      </w:r>
    </w:p>
    <w:p>
      <w:pPr>
        <w:spacing w:after="0" w:line="149"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Under the Suite 100 and Suite 125 Second Amendment, the Company will extend its previously disclosed amended lease of approximately 20,432 rentable square feet of space, which would have expired on April 30, 2021, to December 31, 2021. The Company’s monthly base rent under the Suite 100 and Suite 125 Second Amendment will be $103,181.60. The Company is also responsible for paying its portion of operating expenses and real estate taxes. The Company has an option to extend the expiration of the Suite 100 and Suite 125 Second Amendment for one month or six months, at its discretion, by providing notice as specified in the Suite 100 and Suite 125 Second Amendment.</w:t>
      </w:r>
    </w:p>
    <w:p>
      <w:pPr>
        <w:spacing w:after="0" w:line="192"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Under the Suite 150 First Amendment, the Company will extend its previously disclosed lease of approximately 8,733 rentable square feet of space, which also would have expired on April 30, 2021, to December 31, 2021. The Company’s monthly base rent under the Suite 150 First Amendment will be $44,101.65. The Company is also responsible for paying its portion of operating expenses and real estate taxes. The Company has an option to extend the expiration of the Suite 150 First Amendment for one month or six months, at its discretion, by providing notice as specified in the Suite 150 First Amendment.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Stimulus Program Loan</w:t>
      </w:r>
    </w:p>
    <w:p>
      <w:pPr>
        <w:spacing w:after="0" w:line="198"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On January 26, 2021, the Company entered into a Loan Note dated January 26, 2021 (the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w:t>
      </w:r>
    </w:p>
    <w:p>
      <w:pPr>
        <w:sectPr>
          <w:pgSz w:w="11900" w:h="16838" w:orient="portrait"/>
          <w:cols w:equalWidth="0" w:num="1">
            <w:col w:w="9880"/>
          </w:cols>
          <w:pgMar w:left="980" w:top="665"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FT Employees employed at the Company’s premises during the period of the 5-year term beginning on the date that is six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a Material Definitive Agreement</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par value $0.000041666 per share (the “Common Shares”). The issuance and sale, if any, of the Common Shares by the Company under the Sales Agreement will be made pursuant to a prospectus supplement, dated February 8, 2021, to the Company’s registration statement on Form S-3ASR, originally filed with the Securities and Exchange Commission on May 27, 2020, which became effective immediately upon filing.</w:t>
      </w:r>
    </w:p>
    <w:p>
      <w:pPr>
        <w:spacing w:after="0" w:line="154"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Pursuant to the Sales Agreement, Jefferies may sell the Common Shares by any method permitted by law deemed to be an “at the market” offering as defined in Rule 415 of the Securities Act of 1933, as amended (the “Securities Act”).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w:t>
      </w:r>
    </w:p>
    <w:p>
      <w:pPr>
        <w:spacing w:after="0" w:line="147"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The Company will pay Jefferies a commission of up to 3.0% of the gross sales proceeds of any Common Shares sold through Jefferies under the Sales Agreement.</w:t>
      </w:r>
    </w:p>
    <w:p>
      <w:pPr>
        <w:spacing w:after="0" w:line="143" w:lineRule="exact"/>
        <w:rPr>
          <w:sz w:val="20"/>
          <w:szCs w:val="20"/>
          <w:color w:val="auto"/>
        </w:rPr>
      </w:pPr>
    </w:p>
    <w:p>
      <w:pPr>
        <w:ind w:right="3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137" w:name="page138"/>
    <w:bookmarkEnd w:id="137"/>
    <w:p>
      <w:pPr>
        <w:ind w:left="8800"/>
        <w:spacing w:after="0"/>
        <w:rPr>
          <w:sz w:val="20"/>
          <w:szCs w:val="20"/>
          <w:color w:val="auto"/>
        </w:rPr>
      </w:pPr>
      <w:r>
        <w:rPr>
          <w:rFonts w:ascii="Arial" w:cs="Arial" w:eastAsia="Arial" w:hAnsi="Arial"/>
          <w:sz w:val="18"/>
          <w:szCs w:val="18"/>
          <w:b w:val="1"/>
          <w:bCs w:val="1"/>
          <w:color w:val="auto"/>
        </w:rPr>
        <w:t>Exhibit 10.30</w:t>
      </w:r>
    </w:p>
    <w:p>
      <w:pPr>
        <w:spacing w:after="0" w:line="48" w:lineRule="exact"/>
        <w:rPr>
          <w:sz w:val="20"/>
          <w:szCs w:val="20"/>
          <w:color w:val="auto"/>
        </w:rPr>
      </w:pPr>
    </w:p>
    <w:p>
      <w:pPr>
        <w:jc w:val="center"/>
        <w:ind w:left="1000" w:right="180"/>
        <w:spacing w:after="0" w:line="321" w:lineRule="auto"/>
        <w:rPr>
          <w:sz w:val="20"/>
          <w:szCs w:val="20"/>
          <w:color w:val="auto"/>
        </w:rPr>
      </w:pPr>
      <w:r>
        <w:rPr>
          <w:rFonts w:ascii="Arial" w:cs="Arial" w:eastAsia="Arial" w:hAnsi="Arial"/>
          <w:sz w:val="16"/>
          <w:szCs w:val="16"/>
          <w:i w:val="1"/>
          <w:iCs w:val="1"/>
          <w:color w:val="auto"/>
        </w:rPr>
        <w:t>Portions of this Exhibit have been redacted because they are both (i) not material and (ii) would be competitively harmful if publicly disclosed. Information that was omitted has been noted in this document with a placeholder identified by the mark “[***]”</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EXECUTIVE EMPLOYMENT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EXECUTIVE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November 23, 2020 by and between Iovance Biotherapeutics,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Jean-Marc Bellemin (“</w:t>
      </w:r>
      <w:r>
        <w:rPr>
          <w:rFonts w:ascii="Arial" w:cs="Arial" w:eastAsia="Arial" w:hAnsi="Arial"/>
          <w:sz w:val="20"/>
          <w:szCs w:val="20"/>
          <w:b w:val="1"/>
          <w:bCs w:val="1"/>
          <w:color w:val="auto"/>
        </w:rPr>
        <w:t>Executive</w:t>
      </w:r>
      <w:r>
        <w:rPr>
          <w:rFonts w:ascii="Arial" w:cs="Arial" w:eastAsia="Arial" w:hAnsi="Arial"/>
          <w:sz w:val="20"/>
          <w:szCs w:val="20"/>
          <w:color w:val="auto"/>
        </w:rPr>
        <w:t>”) (either party individually, a “</w:t>
      </w:r>
      <w:r>
        <w:rPr>
          <w:rFonts w:ascii="Arial" w:cs="Arial" w:eastAsia="Arial" w:hAnsi="Arial"/>
          <w:sz w:val="20"/>
          <w:szCs w:val="20"/>
          <w:b w:val="1"/>
          <w:bCs w:val="1"/>
          <w:color w:val="auto"/>
        </w:rPr>
        <w:t>Party</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desires to employ Executive to serve as the Company’s Chief Financial Officer;</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Parties desire to enter into this Agreement to set forth the terms and conditions of Executive’s employment by the Company and to address certain matters related to Executive’s employment with the Company;</w:t>
      </w:r>
    </w:p>
    <w:p>
      <w:pPr>
        <w:spacing w:after="0" w:line="16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the promises and obligations set forth below and for other good and valuable consideration, the receipt of which is hereby acknowledged by the Parties, the Company and Executive agree and intend to be legally bound, as follows:</w:t>
      </w:r>
    </w:p>
    <w:p>
      <w:pPr>
        <w:spacing w:after="0" w:line="193" w:lineRule="exact"/>
        <w:rPr>
          <w:sz w:val="20"/>
          <w:szCs w:val="20"/>
          <w:color w:val="auto"/>
        </w:rPr>
      </w:pPr>
    </w:p>
    <w:p>
      <w:pPr>
        <w:ind w:firstLine="656"/>
        <w:spacing w:after="0" w:line="293" w:lineRule="auto"/>
        <w:tabs>
          <w:tab w:leader="none" w:pos="16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Effective December 14, 2020 (the “</w:t>
      </w:r>
      <w:r>
        <w:rPr>
          <w:rFonts w:ascii="Arial" w:cs="Arial" w:eastAsia="Arial" w:hAnsi="Arial"/>
          <w:sz w:val="19"/>
          <w:szCs w:val="19"/>
          <w:b w:val="1"/>
          <w:bCs w:val="1"/>
          <w:color w:val="auto"/>
        </w:rPr>
        <w:t>Effective Date</w:t>
      </w:r>
      <w:r>
        <w:rPr>
          <w:rFonts w:ascii="Arial" w:cs="Arial" w:eastAsia="Arial" w:hAnsi="Arial"/>
          <w:sz w:val="19"/>
          <w:szCs w:val="19"/>
          <w:color w:val="auto"/>
        </w:rPr>
        <w:t>”), the Company hereby employs Executive, and Executive hereby accepts such employment, upon the terms and conditions set forth herein.</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The Company agrees to employ Executive in the position of Chief Financial Officer reporting to the Chief Executive Officer. The Executive shall have the duties and responsibilities consistent with the office of a Chief Financial Officer of a publicly traded corporation, and such other duties and responsibilities as determined from time to time by the Company, including but not limited to the Chief Executive Officer. Executive shall perform faithfully and diligently such duties as are reasonable and customary for Executive’s position, as well as such other duties as the Company and/or Chief Executive Officer shall reasonably assign from time to time. Executive shall perform his duties in the Company’s offices in San Carlos, California subject to customary travel as reasonably required.</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Best Efforts/Full-Time</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2.2(a) Executive understands and agrees that Executive will faithfully devote Executive’s best efforts and substantially all of his time during business hours to the faithful and loyal performance of his job duties to the Company (except for permitted vacation periods and reasonable periods of illness or other incapacity).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194" w:lineRule="exact"/>
        <w:rPr>
          <w:sz w:val="20"/>
          <w:szCs w:val="20"/>
          <w:color w:val="auto"/>
        </w:rPr>
      </w:pPr>
    </w:p>
    <w:p>
      <w:pPr>
        <w:jc w:val="center"/>
        <w:ind w:right="280"/>
        <w:spacing w:after="0"/>
        <w:tabs>
          <w:tab w:leader="none" w:pos="180" w:val="left"/>
        </w:tabs>
        <w:rPr>
          <w:sz w:val="20"/>
          <w:szCs w:val="20"/>
          <w:color w:val="auto"/>
        </w:rPr>
      </w:pPr>
      <w:r>
        <w:rPr>
          <w:rFonts w:ascii="Arial" w:cs="Arial" w:eastAsia="Arial" w:hAnsi="Arial"/>
          <w:sz w:val="20"/>
          <w:szCs w:val="20"/>
          <w:color w:val="auto"/>
        </w:rPr>
        <w:t>2.2(b)</w:t>
      </w:r>
      <w:r>
        <w:rPr>
          <w:sz w:val="20"/>
          <w:szCs w:val="20"/>
          <w:color w:val="auto"/>
        </w:rPr>
        <w:tab/>
      </w:r>
      <w:r>
        <w:rPr>
          <w:rFonts w:ascii="Arial" w:cs="Arial" w:eastAsia="Arial" w:hAnsi="Arial"/>
          <w:sz w:val="18"/>
          <w:szCs w:val="18"/>
          <w:color w:val="auto"/>
        </w:rPr>
        <w:t>Executive agrees that he shall not, directly or indirectly, (i) engage or participate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38" w:name="page139"/>
    <w:bookmarkEnd w:id="138"/>
    <w:p>
      <w:pPr>
        <w:jc w:val="both"/>
        <w:spacing w:after="0" w:line="250" w:lineRule="auto"/>
        <w:rPr>
          <w:sz w:val="20"/>
          <w:szCs w:val="20"/>
          <w:color w:val="auto"/>
        </w:rPr>
      </w:pPr>
      <w:r>
        <w:rPr>
          <w:rFonts w:ascii="Arial" w:cs="Arial" w:eastAsia="Arial" w:hAnsi="Arial"/>
          <w:sz w:val="20"/>
          <w:szCs w:val="20"/>
          <w:color w:val="auto"/>
        </w:rPr>
        <w:t>in any outside activity that would, or may be perceived to, conflict with the best interests of the Company or Executive’s duties to the Company, or (ii) provide services to or invest in any corporation or entity that competes or intends to compete with the business of the Company.</w:t>
      </w:r>
    </w:p>
    <w:p>
      <w:pPr>
        <w:spacing w:after="0" w:line="19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2.2(c)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 Notwithstanding the foregoing, nothing herein shall prohibit Executive from (i) serving as a member of the board of directors of an entity engaged solely in charitable activities or community affairs, provided that, such activity shall be limited by Executive so as not to interfere with the performance of Executive’s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203" w:lineRule="exact"/>
        <w:rPr>
          <w:sz w:val="20"/>
          <w:szCs w:val="20"/>
          <w:color w:val="auto"/>
        </w:rPr>
      </w:pPr>
    </w:p>
    <w:p>
      <w:pPr>
        <w:jc w:val="both"/>
        <w:ind w:firstLine="656"/>
        <w:spacing w:after="0" w:line="244" w:lineRule="auto"/>
        <w:tabs>
          <w:tab w:leader="none" w:pos="135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Executive’s employment with the Company will be “at-will”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207" w:lineRule="exact"/>
        <w:rPr>
          <w:rFonts w:ascii="Arial" w:cs="Arial" w:eastAsia="Arial" w:hAnsi="Arial"/>
          <w:sz w:val="20"/>
          <w:szCs w:val="20"/>
          <w:color w:val="auto"/>
        </w:rPr>
      </w:pPr>
    </w:p>
    <w:p>
      <w:pPr>
        <w:ind w:left="1300" w:hanging="644"/>
        <w:spacing w:after="0"/>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the performance of all duties to be performed by Executive hereunder, the Company shall pay to Executive a base salary of $450,000 per year,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Signing Bonus</w:t>
      </w:r>
      <w:r>
        <w:rPr>
          <w:rFonts w:ascii="Arial" w:cs="Arial" w:eastAsia="Arial" w:hAnsi="Arial"/>
          <w:sz w:val="18"/>
          <w:szCs w:val="18"/>
          <w:color w:val="auto"/>
        </w:rPr>
        <w:t>. As a signing bonus, Executive shall receive two payments of $65,000 (subject to payroll taxes) (the “</w:t>
      </w:r>
      <w:r>
        <w:rPr>
          <w:rFonts w:ascii="Arial" w:cs="Arial" w:eastAsia="Arial" w:hAnsi="Arial"/>
          <w:sz w:val="18"/>
          <w:szCs w:val="18"/>
          <w:b w:val="1"/>
          <w:bCs w:val="1"/>
          <w:color w:val="auto"/>
        </w:rPr>
        <w:t>Signing Bonus Payments</w:t>
      </w:r>
      <w:r>
        <w:rPr>
          <w:rFonts w:ascii="Arial" w:cs="Arial" w:eastAsia="Arial" w:hAnsi="Arial"/>
          <w:sz w:val="18"/>
          <w:szCs w:val="18"/>
          <w:color w:val="auto"/>
        </w:rPr>
        <w:t>”). The first payment of the Signing Bonus Payments will be paid on the Company’s first regular payroll date in January 2021, and the second payment will be paid in 2021 on the date on which annual bonus payments for 2020 are made to all other Company employees. The Signing Bonus Payments shall be considered earned eighteen (18) months following the Effective Date or, if applicable, the date on which Executive’s employment is terminated by the Company without Cause (as defined herein), due to death or Disability (as defined herein), or by Executive for Good Reason (as defined herein) prior to eighteen (18) months from the Effective Date. If Executive’s employment is terminated by the Company for Cause or by Executive without Good Reason (including by Executive’s resignation) prior to or on the date that is eighteen (18) months from the Effective Date (the “</w:t>
      </w:r>
      <w:r>
        <w:rPr>
          <w:rFonts w:ascii="Arial" w:cs="Arial" w:eastAsia="Arial" w:hAnsi="Arial"/>
          <w:sz w:val="18"/>
          <w:szCs w:val="18"/>
          <w:b w:val="1"/>
          <w:bCs w:val="1"/>
          <w:color w:val="auto"/>
        </w:rPr>
        <w:t>Separation Date</w:t>
      </w:r>
      <w:r>
        <w:rPr>
          <w:rFonts w:ascii="Arial" w:cs="Arial" w:eastAsia="Arial" w:hAnsi="Arial"/>
          <w:sz w:val="18"/>
          <w:szCs w:val="18"/>
          <w:color w:val="auto"/>
        </w:rPr>
        <w:t>”), he shall, within ten (10) days after the Separation Date, repay to the Company a portion of the total value of the Signing Bonus Payments (before the deduction of any applicable taxes) in accordance with the table below based on his Separation Date.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Months from the Effective Date through the</w:t>
            </w:r>
          </w:p>
        </w:tc>
        <w:tc>
          <w:tcPr>
            <w:tcW w:w="5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Portion of total value of Signing Bonus Payments</w:t>
            </w:r>
          </w:p>
        </w:tc>
      </w:tr>
      <w:tr>
        <w:trPr>
          <w:trHeight w:val="234"/>
        </w:trPr>
        <w:tc>
          <w:tcPr>
            <w:tcW w:w="4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Separation Date</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repayable by Executive to Company</w:t>
            </w:r>
          </w:p>
        </w:tc>
      </w:tr>
      <w:tr>
        <w:trPr>
          <w:trHeight w:val="209"/>
        </w:trPr>
        <w:tc>
          <w:tcPr>
            <w:tcW w:w="4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&lt; 12 months</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0"/>
        </w:trPr>
        <w:tc>
          <w:tcPr>
            <w:tcW w:w="4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12 - 18 months</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10"/>
        </w:trPr>
        <w:tc>
          <w:tcPr>
            <w:tcW w:w="4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&gt; 18 months</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avoidance of doubt, the Signing Bonus Payments are an advance only and shall not be deemed earned unless the foregoing requirements for the Signing Bonus Payments are satisfied.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39" w:name="page140"/>
    <w:bookmarkEnd w:id="139"/>
    <w:p>
      <w:pPr>
        <w:jc w:val="both"/>
        <w:ind w:firstLine="1296"/>
        <w:spacing w:after="0" w:line="25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Stock Options</w:t>
      </w:r>
      <w:r>
        <w:rPr>
          <w:rFonts w:ascii="Arial" w:cs="Arial" w:eastAsia="Arial" w:hAnsi="Arial"/>
          <w:sz w:val="19"/>
          <w:szCs w:val="19"/>
          <w:color w:val="auto"/>
        </w:rPr>
        <w:t>. As of the Effective Date, Executive shall receive stock options to purchase an aggregate of 150,000 shares of the Company’s common stock. To the extent legally permitted, the stock options shall be incentive stock options. The stock options will have an exercise price equal to the closing trading price of the common stock on the Effective Date. Provided that Executive is still employed with the Company on the following dates, the foregoing stock options will vest in installments as follows: (i) Options for the purchase of one-third of the 150,000 shares shall vest on one year anniversary of the Effective Date; and (ii) the remaining stock options shall vest as to one-twelfth of the 150,000 shares at the end of each quarter over the next two years, commencing with the first quarter following the first anniversary of the Effective Date. Upon the termination of Executive’s employment with the Company, except as provided herein, the unvested options will be forfeited and returned to the Company.</w:t>
      </w:r>
    </w:p>
    <w:p>
      <w:pPr>
        <w:spacing w:after="0" w:line="19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such participation to begin on January 1, 2021. The Incentive Compensation shall be paid in accordance with the terms and conditions outlined in the Incentive Plan and based upon the achievement of certain goals, objectives, and other metrics as decided by the Board. The maximum potential amount payable to Executive under the Incentive Plan, if earned, shall be 40% of Executive’s Base Salary earned during the applicable calendar year. 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No Incentive Compensation will be payable to Executive to the extent Executive is not employed on the Incentive Compensation payment date. The payment of any Incentive Compensation pursuant to this Section 4.3 is in the sole discretion of the Board, in accordance with the Incentive Plan, and shall be made in accordance with the normal payroll practices of the Company, less required deductions for state and federal withholding tax, social security and all other employment taxes and authorized payroll deductions.</w:t>
      </w:r>
    </w:p>
    <w:p>
      <w:pPr>
        <w:spacing w:after="0" w:line="18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Performance Review</w:t>
      </w:r>
      <w:r>
        <w:rPr>
          <w:rFonts w:ascii="Arial" w:cs="Arial" w:eastAsia="Arial" w:hAnsi="Arial"/>
          <w:sz w:val="20"/>
          <w:szCs w:val="20"/>
          <w:color w:val="auto"/>
        </w:rPr>
        <w:t>. The Company will periodically review Executive’s performance on no less than an annual basis and may increase (but not decrease) Executive’s salary or other compensation, as it deems appropriate in its sole and absolute discretion and with any necessary Board approval requirements.</w:t>
      </w:r>
    </w:p>
    <w:p>
      <w:pPr>
        <w:spacing w:after="0" w:line="19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insurances and participation in a 401(k) plan. Executive will be eligible to receive paid time off benefits in the form of vacation, sick and holidays. The amount, eligibility and extent of these benefits shall be governed by the Company’s applicable policy in effect and as amended from time to time and in compliance with applicable law.</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Business Expenses</w:t>
      </w:r>
      <w:r>
        <w:rPr>
          <w:rFonts w:ascii="Arial" w:cs="Arial" w:eastAsia="Arial" w:hAnsi="Arial"/>
          <w:sz w:val="20"/>
          <w:szCs w:val="20"/>
          <w:color w:val="auto"/>
        </w:rPr>
        <w:t>. Executive will be reimbursed for all reasonable and necessary out- of-pocket business expenses incurred in the performance of Executive’s duties on behalf of the Company, including travel-related expenses. To obtain reimbursement, Executive shall provide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0"/>
          <w:szCs w:val="20"/>
          <w:color w:val="auto"/>
        </w:rPr>
        <w:t>Company with reasonable documentation and receipts establishing the amount and nature of such expenses. Executive shall comply with such reasonable budget limitations and pre-approval, approval, and reporting requirements with respect to expenses as the Company may establish from time to time.</w:t>
      </w:r>
    </w:p>
    <w:p>
      <w:pPr>
        <w:spacing w:after="0" w:line="199" w:lineRule="exact"/>
        <w:rPr>
          <w:sz w:val="20"/>
          <w:szCs w:val="20"/>
          <w:color w:val="auto"/>
        </w:rPr>
      </w:pPr>
    </w:p>
    <w:p>
      <w:pPr>
        <w:jc w:val="both"/>
        <w:ind w:firstLine="656"/>
        <w:spacing w:after="0" w:line="250" w:lineRule="auto"/>
        <w:tabs>
          <w:tab w:leader="none" w:pos="154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Confidentiality and Proprietary Agreement</w:t>
      </w:r>
      <w:r>
        <w:rPr>
          <w:rFonts w:ascii="Arial" w:cs="Arial" w:eastAsia="Arial" w:hAnsi="Arial"/>
          <w:sz w:val="20"/>
          <w:szCs w:val="20"/>
          <w:color w:val="auto"/>
        </w:rPr>
        <w:t>. Executive agrees to abide by the Company’s Employee Proprietary Information and Inventions Agreement (the “</w:t>
      </w:r>
      <w:r>
        <w:rPr>
          <w:rFonts w:ascii="Arial" w:cs="Arial" w:eastAsia="Arial" w:hAnsi="Arial"/>
          <w:sz w:val="20"/>
          <w:szCs w:val="20"/>
          <w:b w:val="1"/>
          <w:bCs w:val="1"/>
          <w:color w:val="auto"/>
        </w:rPr>
        <w:t>EPIIA</w:t>
      </w:r>
      <w:r>
        <w:rPr>
          <w:rFonts w:ascii="Arial" w:cs="Arial" w:eastAsia="Arial" w:hAnsi="Arial"/>
          <w:sz w:val="20"/>
          <w:szCs w:val="20"/>
          <w:color w:val="auto"/>
        </w:rPr>
        <w:t>”), which Executive has signed and is incorporated herein by reference.</w:t>
      </w:r>
    </w:p>
    <w:p>
      <w:pPr>
        <w:spacing w:after="0" w:line="199" w:lineRule="exact"/>
        <w:rPr>
          <w:rFonts w:ascii="Arial" w:cs="Arial" w:eastAsia="Arial" w:hAnsi="Arial"/>
          <w:sz w:val="20"/>
          <w:szCs w:val="20"/>
          <w:color w:val="auto"/>
        </w:rPr>
      </w:pPr>
    </w:p>
    <w:p>
      <w:pPr>
        <w:ind w:left="1300" w:hanging="644"/>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Termination of Executive’s Employment</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Termination for Cause by the Company</w:t>
      </w:r>
      <w:r>
        <w:rPr>
          <w:rFonts w:ascii="Arial" w:cs="Arial" w:eastAsia="Arial" w:hAnsi="Arial"/>
          <w:sz w:val="19"/>
          <w:szCs w:val="19"/>
          <w:color w:val="auto"/>
        </w:rPr>
        <w:t>. The Company may terminate Executive’s employment immediately at any time and without notice for “Cause.”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shall mean (i) a material breach by Executive of this Agreement or the EPIIA; (ii) the death of Executive or his disability resulting in his inability to perform his reasonable duties assigned hereunder for a period of 180 days; (iii) Executive’s theft, dishonesty, or falsification of any Company documents or records; (iv) Executive’s improper use or disclosure of the Company’s confidential or proprietary information; (v) Executive’s conviction (including any plea of guilty or nolo contendere) of any criminal act which impairs Executive’s ability to perform his duties hereunder or which in the Board’s judgment may materially damage the business or reputation of the Company; (vi) failure or refusal to comply with reasonable and lawful Company policies and procedures; or (vii) Executive’s failure and/or inability to comply with or meet the requirements of any performance improvement plan reasonably provided to Executive by the Chief Executive Officer and/or the Board; provided, however, that prior to termination for cause arising under clause (i),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or the EPIIA. In the event Executive’s employment is terminated in accordance with this subsection 6.1, Executive shall be entitled to receive only the Base Salary, prorated to the date of termination. All other obligations of the Company to Executive pursuant to this Agreement will be automatically terminated and completely extinguished.</w:t>
      </w:r>
    </w:p>
    <w:p>
      <w:pPr>
        <w:spacing w:after="0" w:line="19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Termination Without Cause by The Company/Separation Package</w:t>
      </w:r>
      <w:r>
        <w:rPr>
          <w:rFonts w:ascii="Arial" w:cs="Arial" w:eastAsia="Arial" w:hAnsi="Arial"/>
          <w:sz w:val="19"/>
          <w:szCs w:val="19"/>
          <w:color w:val="auto"/>
        </w:rPr>
        <w:t>. The Company may terminate Executive’s employment under this Agreement without Cause (as defined in Section 6.1 above) at any time on thirty (30) days’ advance written notice to Executive. In the event of such termination, Executive will receive Executive’s Base Salary through the date of termination. Upon such termination of employment without Cause, Executive will be eligible to receive a “</w:t>
      </w:r>
      <w:r>
        <w:rPr>
          <w:rFonts w:ascii="Arial" w:cs="Arial" w:eastAsia="Arial" w:hAnsi="Arial"/>
          <w:sz w:val="19"/>
          <w:szCs w:val="19"/>
          <w:b w:val="1"/>
          <w:bCs w:val="1"/>
          <w:color w:val="auto"/>
        </w:rPr>
        <w:t>Severance Payment</w:t>
      </w:r>
      <w:r>
        <w:rPr>
          <w:rFonts w:ascii="Arial" w:cs="Arial" w:eastAsia="Arial" w:hAnsi="Arial"/>
          <w:sz w:val="19"/>
          <w:szCs w:val="19"/>
          <w:color w:val="auto"/>
        </w:rPr>
        <w:t>” equivalent to six months of Executive’s then Base Salary, payable in full within thirty (30) days after termination, provided that Executive first satisfies the Severance Conditions. For purposes of this Agreement, the “</w:t>
      </w:r>
      <w:r>
        <w:rPr>
          <w:rFonts w:ascii="Arial" w:cs="Arial" w:eastAsia="Arial" w:hAnsi="Arial"/>
          <w:sz w:val="19"/>
          <w:szCs w:val="19"/>
          <w:b w:val="1"/>
          <w:bCs w:val="1"/>
          <w:color w:val="auto"/>
        </w:rPr>
        <w:t>Severance Conditions</w:t>
      </w:r>
      <w:r>
        <w:rPr>
          <w:rFonts w:ascii="Arial" w:cs="Arial" w:eastAsia="Arial" w:hAnsi="Arial"/>
          <w:sz w:val="19"/>
          <w:szCs w:val="19"/>
          <w:color w:val="auto"/>
        </w:rPr>
        <w:t>” are defined as (1) Executive’s execution and non- revocation of a full general release, and such release has become effective in accordance with its terms prior to the 30th day following the termination date; and (2) Executive’s reaffirmation of Executive’s commitment to comply, and actual compliance, with all surviving provisions of this Agreement, as well as any other agreements concerning his employment with and separation from employment, including without limitation, and confidentiality and proprietary information agreements.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99"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Termination Upon a Change of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shall mean: (1) a merger or consolidation or the sale or exchange by the stockholders of the Company of capital stock of the Company, where the stockholders of the Company immediately before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1" w:name="page142"/>
    <w:bookmarkEnd w:id="141"/>
    <w:p>
      <w:pPr>
        <w:jc w:val="both"/>
        <w:spacing w:after="0" w:line="268" w:lineRule="auto"/>
        <w:rPr>
          <w:sz w:val="20"/>
          <w:szCs w:val="20"/>
          <w:color w:val="auto"/>
        </w:rPr>
      </w:pPr>
      <w:r>
        <w:rPr>
          <w:rFonts w:ascii="Arial" w:cs="Arial" w:eastAsia="Arial" w:hAnsi="Arial"/>
          <w:sz w:val="18"/>
          <w:szCs w:val="18"/>
          <w:color w:val="auto"/>
        </w:rPr>
        <w:t>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provided, however,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within six (6) months immediately preceding a Change of Control or within twelve (12) months immediately following a Change of Control, the Executive’s employment is terminated by the Company for any reason other than Cause, then the Executive shall be entitled to receive the following compensation, provided that Executive first satisfies the Severance Conditions: (i) the Severance Payment set forth in Section 6.2 and (ii) any then time-based unvested stock options granted to Executive by the Company to the extent then outstanding at the time of such termination will become fully vested on the last day of Executive’s employment with the Company, and Executive shall have three months from the date of termination within which to exercise his vested options.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Resignation</w:t>
      </w:r>
      <w:r>
        <w:rPr>
          <w:rFonts w:ascii="Arial" w:cs="Arial" w:eastAsia="Arial" w:hAnsi="Arial"/>
          <w:sz w:val="19"/>
          <w:szCs w:val="19"/>
          <w:color w:val="auto"/>
        </w:rPr>
        <w:t>.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shall not be entitled to any Severance Pay. Executive will only be entitled to receive Executive’s Base Salary earned up to the date of termination. Notwithstanding the foregoing, Executive has the right upon thirty (30) days written notice to the Company to terminate Executive’s employment for “</w:t>
      </w:r>
      <w:r>
        <w:rPr>
          <w:rFonts w:ascii="Arial" w:cs="Arial" w:eastAsia="Arial" w:hAnsi="Arial"/>
          <w:sz w:val="19"/>
          <w:szCs w:val="19"/>
          <w:b w:val="1"/>
          <w:bCs w:val="1"/>
          <w:color w:val="auto"/>
        </w:rPr>
        <w:t>Good Reason</w:t>
      </w:r>
      <w:r>
        <w:rPr>
          <w:rFonts w:ascii="Arial" w:cs="Arial" w:eastAsia="Arial" w:hAnsi="Arial"/>
          <w:sz w:val="19"/>
          <w:szCs w:val="19"/>
          <w:color w:val="auto"/>
        </w:rPr>
        <w:t>” due to occurrence of any of the following: (i) a material adverse change in Executive’s title, duties or responsibilities; (ii) any failure by the Company to pay, or any reduction by Company of, the base salary or any failure by Company to pay any non-discretionary Incentive Compensation to which Executive is entitled pursuant to Section 4; (iii) the Company creates a work environment designed to constructively terminate Executive or to unlawfully harass or retaliate against Executive; or (iv) a Change of Control occurs in which the Company is not the surviving entity and the surviving entity fails to offer Executive an executive position at a compensation level at least equal to Executive’s then compensation level under this Agreement. In the event that Executive terminates his employment for Good Reason, then Executive shall be entitled to receive the Base Salary, and Severance Payment as if Executive were terminated by the Company without Cause under Section 6.2, subject to Executive’s compliance with all of the Severance Conditions.</w:t>
      </w:r>
    </w:p>
    <w:p>
      <w:pPr>
        <w:spacing w:after="0" w:line="20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6.5(a)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9"/>
          <w:szCs w:val="19"/>
          <w:b w:val="1"/>
          <w:bCs w:val="1"/>
          <w:color w:val="auto"/>
        </w:rPr>
        <w:t>Section 409A Regulations</w:t>
      </w:r>
      <w:r>
        <w:rPr>
          <w:rFonts w:ascii="Arial" w:cs="Arial" w:eastAsia="Arial" w:hAnsi="Arial"/>
          <w:sz w:val="19"/>
          <w:szCs w:val="19"/>
          <w:color w:val="auto"/>
        </w:rPr>
        <w:t>”) shall be paid unless and until Executive has incurred a “separation from service” within the meaning of the Section 409A Regulations.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2" w:name="page143"/>
    <w:bookmarkEnd w:id="142"/>
    <w:p>
      <w:pPr>
        <w:jc w:val="both"/>
        <w:ind w:firstLine="1296"/>
        <w:spacing w:after="0" w:line="243" w:lineRule="auto"/>
        <w:rPr>
          <w:sz w:val="20"/>
          <w:szCs w:val="20"/>
          <w:color w:val="auto"/>
        </w:rPr>
      </w:pPr>
      <w:r>
        <w:rPr>
          <w:rFonts w:ascii="Arial" w:cs="Arial" w:eastAsia="Arial" w:hAnsi="Arial"/>
          <w:sz w:val="20"/>
          <w:szCs w:val="20"/>
          <w:color w:val="auto"/>
        </w:rPr>
        <w:t>6.5(b)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However, Company does not guarantee any particular tax effect for income provided to Executive pursuant to this Agreement.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20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b w:val="1"/>
          <w:bCs w:val="1"/>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7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20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6.5(e) For purposes of Section 409A of the Code, the right to a series of installment payments under this Agreement shall be treated as a right to a series of separate payments.</w:t>
      </w:r>
    </w:p>
    <w:p>
      <w:pPr>
        <w:spacing w:after="0" w:line="19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Employment and Post-Employment Covenants</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Non-Solicitation</w:t>
      </w:r>
      <w:r>
        <w:rPr>
          <w:rFonts w:ascii="Arial" w:cs="Arial" w:eastAsia="Arial" w:hAnsi="Arial"/>
          <w:sz w:val="18"/>
          <w:szCs w:val="18"/>
          <w:color w:val="auto"/>
        </w:rPr>
        <w:t>. Executive agrees that during a period of 12 months following the termination of the Executive’s employment (the “</w:t>
      </w:r>
      <w:r>
        <w:rPr>
          <w:rFonts w:ascii="Arial" w:cs="Arial" w:eastAsia="Arial" w:hAnsi="Arial"/>
          <w:sz w:val="18"/>
          <w:szCs w:val="18"/>
          <w:b w:val="1"/>
          <w:bCs w:val="1"/>
          <w:color w:val="auto"/>
        </w:rPr>
        <w:t>Restrictive Period</w:t>
      </w:r>
      <w:r>
        <w:rPr>
          <w:rFonts w:ascii="Arial" w:cs="Arial" w:eastAsia="Arial" w:hAnsi="Arial"/>
          <w:sz w:val="18"/>
          <w:szCs w:val="18"/>
          <w:color w:val="auto"/>
        </w:rPr>
        <w:t>”), Executive shall not (a) solicit or in any manner encourage, either directly or indirectly, any existing employee of the Company to leave the Company for any reason; nor will he interfere in any other manner with the employment or business relationships at the time existing between the Company and its current or prospective employees or consultants; or (b) 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18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7.2; provided, however, that Executive shall not be prohibited by this Section 7.2 from making truthful statements (i) when required by order of a court or other body of competent jurisdiction or as required by law or (ii) solely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within the context of seeking judicial enforcement of legal or contractual rights against a person or entity.</w:t>
      </w:r>
    </w:p>
    <w:p>
      <w:pPr>
        <w:spacing w:after="0" w:line="22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Remedies</w:t>
      </w:r>
      <w:r>
        <w:rPr>
          <w:rFonts w:ascii="Arial" w:cs="Arial" w:eastAsia="Arial" w:hAnsi="Arial"/>
          <w:sz w:val="18"/>
          <w:szCs w:val="18"/>
          <w:color w:val="auto"/>
        </w:rPr>
        <w:t>. Executive acknowledges that the duration of the Restrictive Period is fair is reasonably required for the protection of the Company's business interests, including its goodwill. The Executive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spacing w:after="0" w:line="182"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Waiver</w:t>
      </w:r>
      <w:r>
        <w:rPr>
          <w:rFonts w:ascii="Arial" w:cs="Arial" w:eastAsia="Arial" w:hAnsi="Arial"/>
          <w:sz w:val="20"/>
          <w:szCs w:val="20"/>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9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20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209"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United States and the internal laws of the State of California.</w:t>
      </w:r>
    </w:p>
    <w:p>
      <w:pPr>
        <w:spacing w:after="0" w:line="19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4" w:name="page145"/>
    <w:bookmarkEnd w:id="144"/>
    <w:p>
      <w:pPr>
        <w:jc w:val="both"/>
        <w:spacing w:after="0" w:line="260" w:lineRule="auto"/>
        <w:rPr>
          <w:sz w:val="20"/>
          <w:szCs w:val="20"/>
          <w:color w:val="auto"/>
        </w:rPr>
      </w:pPr>
      <w:r>
        <w:rPr>
          <w:rFonts w:ascii="Arial" w:cs="Arial" w:eastAsia="Arial" w:hAnsi="Arial"/>
          <w:sz w:val="20"/>
          <w:szCs w:val="20"/>
          <w:color w:val="auto"/>
        </w:rPr>
        <w:t>Notice shall be sent to the addresses set forth below each party’s signature, or such other address as either party may specify in writing.</w:t>
      </w:r>
    </w:p>
    <w:p>
      <w:pPr>
        <w:spacing w:after="0" w:line="19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Execution Page Follows</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0"/>
          <w:szCs w:val="20"/>
          <w:color w:val="auto"/>
        </w:rPr>
        <w:t>THE PARTIES TO THIS AGREEMENT HAVE READ THE FOREGOING AGREEMENT AND FULLY UNDERSTAND EACH AND EVERY PROVISION CONTAINED HEREIN. WHEREFORE, THE PARTIES HAVE EXECUTED THIS AGREEMENT AS SHOWN BELOW.</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Jean-Marc Bellemin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Jean-Marc Bellemin</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Iovance Biotherapeutics,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Maria Fardis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Maria Fardis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999 Skyway Road, Suite 150</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San Carlos, CA 94070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Subsidiaries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GmbH, a company formed under the laws of Switzerland.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B.V., a company formed under the laws of The Netherlands.</w:t>
      </w:r>
    </w:p>
    <w:p>
      <w:pPr>
        <w:spacing w:after="0" w:line="206" w:lineRule="exact"/>
        <w:rPr>
          <w:sz w:val="20"/>
          <w:szCs w:val="20"/>
          <w:color w:val="auto"/>
        </w:rPr>
      </w:pPr>
    </w:p>
    <w:p>
      <w:pPr>
        <w:ind w:right="1040"/>
        <w:spacing w:after="0" w:line="250" w:lineRule="auto"/>
        <w:rPr>
          <w:sz w:val="20"/>
          <w:szCs w:val="20"/>
          <w:color w:val="auto"/>
        </w:rPr>
      </w:pPr>
      <w:r>
        <w:rPr>
          <w:rFonts w:ascii="Arial" w:cs="Arial" w:eastAsia="Arial" w:hAnsi="Arial"/>
          <w:sz w:val="22"/>
          <w:szCs w:val="22"/>
          <w:color w:val="auto"/>
        </w:rPr>
        <w:t>Iovance Biotherapeutics Manufacturing LLC, a limited liability company formed under the laws of the Commonwealth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of Iovance Biotherapeutics, Inc. on Form S-3 (File No. 333-238724), Form S-3 (File No. 333-214073), Form S-3 (File No. 333-212373), Form S-8 (File No. 333-239317), Form S-8 (File No. 333-</w:t>
      </w:r>
    </w:p>
    <w:p>
      <w:pPr>
        <w:jc w:val="both"/>
        <w:spacing w:after="0" w:line="252" w:lineRule="auto"/>
        <w:rPr>
          <w:sz w:val="20"/>
          <w:szCs w:val="20"/>
          <w:color w:val="auto"/>
        </w:rPr>
      </w:pPr>
      <w:r>
        <w:rPr>
          <w:rFonts w:ascii="Arial" w:cs="Arial" w:eastAsia="Arial" w:hAnsi="Arial"/>
          <w:sz w:val="18"/>
          <w:szCs w:val="18"/>
          <w:color w:val="auto"/>
        </w:rPr>
        <w:t>239316), Form S-8 (File No. 333-227242), Form S-8 (File No. 333-205097), Form S-8 (File No. 333-217638) and Form S-8 (File No. 333-214567) of our report dated February 25, 2021, with respect to our audits of the consolidated financial statements of Iovance Biotherapeutics, Inc. as of December 31, 2020 and 2019 and for each of the three years in the period ended December 31, 2020 and our report dated February 25, 2021 with respect to our audit of internal control over financial reporting of Iovance Biotherapeutics, Inc. as of December 31, 2020, which reports are included in this Annual Report on Form 10-K of Iovance Biotherapeutics, Inc. for the year ended December 31, 2020.</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4131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Maria Fardis, certify that:</w:t>
      </w:r>
    </w:p>
    <w:p>
      <w:pPr>
        <w:spacing w:after="0" w:line="225" w:lineRule="exact"/>
        <w:rPr>
          <w:sz w:val="20"/>
          <w:szCs w:val="20"/>
          <w:color w:val="auto"/>
        </w:rPr>
      </w:pPr>
    </w:p>
    <w:p>
      <w:pPr>
        <w:ind w:left="360" w:hanging="22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80" w:right="200" w:hanging="242"/>
        <w:spacing w:after="0" w:line="263" w:lineRule="auto"/>
        <w:tabs>
          <w:tab w:leader="none" w:pos="3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375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Maria Fardis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Jean-Marc Bellemin, certify that:</w:t>
      </w:r>
    </w:p>
    <w:p>
      <w:pPr>
        <w:spacing w:after="0" w:line="225" w:lineRule="exact"/>
        <w:rPr>
          <w:sz w:val="20"/>
          <w:szCs w:val="20"/>
          <w:color w:val="auto"/>
        </w:rPr>
      </w:pPr>
    </w:p>
    <w:p>
      <w:pPr>
        <w:ind w:left="360" w:hanging="22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80" w:right="200" w:hanging="242"/>
        <w:spacing w:after="0" w:line="263" w:lineRule="auto"/>
        <w:tabs>
          <w:tab w:leader="none" w:pos="3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Maria Fardis, Chief Executive Officer of Iovance Biotherapeutics, Inc.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51" w:lineRule="exact"/>
        <w:rPr>
          <w:sz w:val="20"/>
          <w:szCs w:val="20"/>
          <w:color w:val="auto"/>
        </w:rPr>
      </w:pPr>
    </w:p>
    <w:p>
      <w:pPr>
        <w:ind w:left="660" w:right="500" w:hanging="652"/>
        <w:spacing w:after="0" w:line="277" w:lineRule="auto"/>
        <w:tabs>
          <w:tab w:leader="none" w:pos="6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Maria Fardis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Jean-Marc Bellemin, Chief Financial Officer of Iovance Biotherapeutics, Inc.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38" w:lineRule="exact"/>
        <w:rPr>
          <w:sz w:val="20"/>
          <w:szCs w:val="20"/>
          <w:color w:val="auto"/>
        </w:rPr>
      </w:pPr>
    </w:p>
    <w:p>
      <w:pPr>
        <w:ind w:left="660" w:right="540" w:hanging="652"/>
        <w:spacing w:after="0" w:line="277" w:lineRule="auto"/>
        <w:tabs>
          <w:tab w:leader="none" w:pos="5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80" w:hanging="652"/>
        <w:spacing w:after="0" w:line="277" w:lineRule="auto"/>
        <w:tabs>
          <w:tab w:leader="none" w:pos="5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lvl w:ilvl="1">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lvl w:ilvl="1">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01"/>
    </w:lvl>
  </w:abstractNum>
  <w:abstractNum w:abstractNumId="35">
    <w:nsid w:val="4B588F54"/>
    <w:multiLevelType w:val="hybridMultilevel"/>
    <w:lvl w:ilvl="0">
      <w:lvlJc w:val="left"/>
      <w:lvlText w:val="%1"/>
      <w:numFmt w:val="decimal"/>
      <w:start w:val="104"/>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lowerRoman"/>
      <w:start w:val="3"/>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3"/>
    </w:lvl>
  </w:abstractNum>
  <w:abstractNum w:abstractNumId="43">
    <w:nsid w:val="749ABB43"/>
    <w:multiLevelType w:val="hybridMultilevel"/>
    <w:lvl w:ilvl="0">
      <w:lvlJc w:val="left"/>
      <w:lvlText w:val="%1."/>
      <w:numFmt w:val="decimal"/>
      <w:start w:val="5"/>
    </w:lvl>
  </w:abstractNum>
  <w:abstractNum w:abstractNumId="44">
    <w:nsid w:val="3DC240FB"/>
    <w:multiLevelType w:val="hybridMultilevel"/>
    <w:lvl w:ilvl="0">
      <w:lvlJc w:val="left"/>
      <w:lvlText w:val="%1."/>
      <w:numFmt w:val="decimal"/>
      <w:start w:val="7"/>
    </w:lvl>
  </w:abstractNum>
  <w:abstractNum w:abstractNumId="45">
    <w:nsid w:val="1BA026FA"/>
    <w:multiLevelType w:val="hybridMultilevel"/>
    <w:lvl w:ilvl="0">
      <w:lvlJc w:val="left"/>
      <w:lvlText w:val="%1."/>
      <w:numFmt w:val="decimal"/>
      <w:start w:val="8"/>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4" Type="http://schemas.openxmlformats.org/officeDocument/2006/relationships/image" Target="media/image106.png"/><Relationship Id="rId152"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113" Type="http://schemas.openxmlformats.org/officeDocument/2006/relationships/hyperlink" Target="https://www.sec.gov/Archives/edgar/data/1425205/000114420417030892/v468249_ex2-1.htm" TargetMode="External"/><Relationship Id="rId114" Type="http://schemas.openxmlformats.org/officeDocument/2006/relationships/hyperlink" Target="https://www.sec.gov/Archives/edgar/data/1425205/000114420417030892/v468249_ex3-1.htm" TargetMode="External"/><Relationship Id="rId115" Type="http://schemas.openxmlformats.org/officeDocument/2006/relationships/hyperlink" Target="https://www.sec.gov/Archives/edgar/data/1425205/000114420417030892/v468249_ex3-2.htm" TargetMode="External"/><Relationship Id="rId116" Type="http://schemas.openxmlformats.org/officeDocument/2006/relationships/hyperlink" Target="https://www.sec.gov/Archives/edgar/data/1425205/000114420417030892/v468249_ex3-3.htm" TargetMode="External"/><Relationship Id="rId117" Type="http://schemas.openxmlformats.org/officeDocument/2006/relationships/hyperlink" Target="https://www.sec.gov/Archives/edgar/data/1425205/000114420417039309/v471615_ex3-4.htm" TargetMode="External"/><Relationship Id="rId118" Type="http://schemas.openxmlformats.org/officeDocument/2006/relationships/hyperlink" Target="https://www.sec.gov/Archives/edgar/data/1425205/000114420417039309/v471615_ex3-5.htm" TargetMode="External"/><Relationship Id="rId119" Type="http://schemas.openxmlformats.org/officeDocument/2006/relationships/hyperlink" Target="https://www.sec.gov/Archives/edgar/data/1425205/000114420417034350/v469760_ex3-1.htm" TargetMode="External"/><Relationship Id="rId120" Type="http://schemas.openxmlformats.org/officeDocument/2006/relationships/hyperlink" Target="https://www.sec.gov/Archives/edgar/data/1425205/000114420419030502/tv523383_ex3-1.htm" TargetMode="External"/><Relationship Id="rId121" Type="http://schemas.openxmlformats.org/officeDocument/2006/relationships/hyperlink" Target="https://www.sec.gov/Archives/edgar/data/1425205/000110465920066367/tm2021089d1_ex3-1.htm" TargetMode="External"/><Relationship Id="rId122" Type="http://schemas.openxmlformats.org/officeDocument/2006/relationships/hyperlink" Target="https://www.sec.gov/Archives/edgar/data/1425205/000114420418014151/tv485173_ex4-2.htm" TargetMode="External"/><Relationship Id="rId123" Type="http://schemas.openxmlformats.org/officeDocument/2006/relationships/hyperlink" Target="https://www.sec.gov/Archives/edgar/data/1425205/000110465920024830/ex-4d3.htm" TargetMode="External"/><Relationship Id="rId124" Type="http://schemas.openxmlformats.org/officeDocument/2006/relationships/hyperlink" Target="https://www.sec.gov/Archives/edgar/data/1425205/000114420411058601/v237591_ex10-3.htm" TargetMode="External"/><Relationship Id="rId125" Type="http://schemas.openxmlformats.org/officeDocument/2006/relationships/hyperlink" Target="https://www.sec.gov/Archives/edgar/data/1425205/000110465920024830/ex-10d4.htm" TargetMode="External"/><Relationship Id="rId126" Type="http://schemas.openxmlformats.org/officeDocument/2006/relationships/hyperlink" Target="https://www.sec.gov/Archives/edgar/data/1425205/000110465920024830/ex-10d5.htm" TargetMode="External"/><Relationship Id="rId127" Type="http://schemas.openxmlformats.org/officeDocument/2006/relationships/hyperlink" Target="https://www.sec.gov/Archives/edgar/data/1425205/000114420416111940/v443869_def14a.htm" TargetMode="External"/><Relationship Id="rId128" Type="http://schemas.openxmlformats.org/officeDocument/2006/relationships/hyperlink" Target="https://www.sec.gov/Archives/edgar/data/1425205/000110465920024830/ex-10d7.htm" TargetMode="External"/><Relationship Id="rId129" Type="http://schemas.openxmlformats.org/officeDocument/2006/relationships/hyperlink" Target="https://www.sec.gov/Archives/edgar/data/1425205/000110465920024830/ex-10d8.htm" TargetMode="External"/><Relationship Id="rId130" Type="http://schemas.openxmlformats.org/officeDocument/2006/relationships/hyperlink" Target="https://www.sec.gov/Archives/edgar/data/1425205/000110465920071492/tm2022183d1_ex10-2.htm" TargetMode="External"/><Relationship Id="rId131" Type="http://schemas.openxmlformats.org/officeDocument/2006/relationships/hyperlink" Target="https://www.sec.gov/Archives/edgar/data/1425205/000110465920024830/ex-10d10.htm" TargetMode="External"/><Relationship Id="rId132" Type="http://schemas.openxmlformats.org/officeDocument/2006/relationships/hyperlink" Target="https://www.sec.gov/Archives/edgar/data/1425205/000110465920024830/ex-10d11.htm" TargetMode="External"/><Relationship Id="rId133" Type="http://schemas.openxmlformats.org/officeDocument/2006/relationships/hyperlink" Target="https://www.sec.gov/Archives/edgar/data/1425205/000110465920071492/tm2022183d1_ex10-1.htm" TargetMode="External"/><Relationship Id="rId135" Type="http://schemas.openxmlformats.org/officeDocument/2006/relationships/hyperlink" Target="https://www.sec.gov/Archives/edgar/data/1425205/000114420411069602/v242935_ex10-1.htm" TargetMode="External"/><Relationship Id="rId136" Type="http://schemas.openxmlformats.org/officeDocument/2006/relationships/hyperlink" Target="https://www.sec.gov/Archives/edgar/data/1425205/000114420411067480/v241925_ex10-1.htm" TargetMode="External"/><Relationship Id="rId137" Type="http://schemas.openxmlformats.org/officeDocument/2006/relationships/hyperlink" Target="https://www.sec.gov/Archives/edgar/data/1425205/000151316013000040/ex102.htm" TargetMode="External"/><Relationship Id="rId138" Type="http://schemas.openxmlformats.org/officeDocument/2006/relationships/hyperlink" Target="https://www.sec.gov/Archives/edgar/data/1425205/000151316013000065/ex102.htm" TargetMode="External"/><Relationship Id="rId139" Type="http://schemas.openxmlformats.org/officeDocument/2006/relationships/hyperlink" Target="https://www.sec.gov/Archives/edgar/data/1425205/000114420415003901/v399590_ex10-1.htm" TargetMode="External"/><Relationship Id="rId140" Type="http://schemas.openxmlformats.org/officeDocument/2006/relationships/hyperlink" Target="https://www.sec.gov/Archives/edgar/data/1425205/000114420415016315/v403564_ex10-47.htm" TargetMode="External"/><Relationship Id="rId141" Type="http://schemas.openxmlformats.org/officeDocument/2006/relationships/hyperlink" Target="https://www.sec.gov/Archives/edgar/data/1425205/000114420415016315/v403564_ex10-46.htm" TargetMode="External"/><Relationship Id="rId142" Type="http://schemas.openxmlformats.org/officeDocument/2006/relationships/hyperlink" Target="https://www.sec.gov/Archives/edgar/data/1425205/000114420415063327/v423195_ex10-47.htm" TargetMode="External"/><Relationship Id="rId143" Type="http://schemas.openxmlformats.org/officeDocument/2006/relationships/hyperlink" Target="https://www.sec.gov/Archives/edgar/data/1425205/000114420416106835/v441731_ex10-1.htm" TargetMode="External"/><Relationship Id="rId144" Type="http://schemas.openxmlformats.org/officeDocument/2006/relationships/hyperlink" Target="https://www.sec.gov/Archives/edgar/data/1425205/000114420416106835/v441731_ex10-2.htm" TargetMode="External"/><Relationship Id="rId145" Type="http://schemas.openxmlformats.org/officeDocument/2006/relationships/hyperlink" Target="https://www.sec.gov/Archives/edgar/data/1425205/000114420416122251/v448086_ex10-3.htm" TargetMode="External"/><Relationship Id="rId146" Type="http://schemas.openxmlformats.org/officeDocument/2006/relationships/hyperlink" Target="https://www.sec.gov/Archives/edgar/data/1425205/000114420417013535/v460270_ex10-36.htm" TargetMode="External"/><Relationship Id="rId147" Type="http://schemas.openxmlformats.org/officeDocument/2006/relationships/hyperlink" Target="https://www.sec.gov/Archives/edgar/data/1425205/000114420417040380/v471203_ex10-1.htm" TargetMode="External"/><Relationship Id="rId148" Type="http://schemas.openxmlformats.org/officeDocument/2006/relationships/hyperlink" Target="https://www.sec.gov/Archives/edgar/data/1425205/000114420418014151/tv485173_ex10-34.htm" TargetMode="External"/><Relationship Id="rId149" Type="http://schemas.openxmlformats.org/officeDocument/2006/relationships/hyperlink" Target="https://www.sec.gov/Archives/edgar/data/1425205/000114420418014151/tv485173_ex10-35.htm" TargetMode="External"/><Relationship Id="rId150" Type="http://schemas.openxmlformats.org/officeDocument/2006/relationships/hyperlink" Target="https://www.sec.gov/Archives/edgar/data/1425205/000114420416117596/v445492_ex10-3.htm" TargetMode="External"/><Relationship Id="rId151" Type="http://schemas.openxmlformats.org/officeDocument/2006/relationships/hyperlink" Target="https://www.sec.gov/Archives/edgar/data/1425205/000110465920091526/iova-20200630xex10d4.htm" TargetMode="External"/><Relationship Id="rId153" Type="http://schemas.openxmlformats.org/officeDocument/2006/relationships/hyperlink" Target="https://www.sec.gov/Archives/edgar/data/1425205/000114420418014151/tv485173_ex10-32.htm" TargetMode="External"/><Relationship Id="rId154" Type="http://schemas.openxmlformats.org/officeDocument/2006/relationships/hyperlink" Target="https://www.sec.gov/Archives/edgar/data/1425205/000114420419037248/iova-20190630ex1010a68ed.htm" TargetMode="External"/><Relationship Id="rId155" Type="http://schemas.openxmlformats.org/officeDocument/2006/relationships/hyperlink" Target="https://www.sec.gov/Archives/edgar/data/1425205/000114420416117275/v446243_ex10-1.htm" TargetMode="External"/><Relationship Id="rId156" Type="http://schemas.openxmlformats.org/officeDocument/2006/relationships/hyperlink" Target="https://www.sec.gov/Archives/edgar/data/1425205/000114420418055365/tv505364_ex10-1.htm" TargetMode="External"/><Relationship Id="rId157" Type="http://schemas.openxmlformats.org/officeDocument/2006/relationships/hyperlink" Target="https://www.sec.gov/Archives/edgar/data/1425205/000110465919059564/ex-10d1.htm" TargetMode="External"/><Relationship Id="rId158" Type="http://schemas.openxmlformats.org/officeDocument/2006/relationships/hyperlink" Target="https://www.sec.gov/Archives/edgar/data/1425205/000110465921016221/tm215703d2_ex10-2.htm" TargetMode="External"/><Relationship Id="rId159" Type="http://schemas.openxmlformats.org/officeDocument/2006/relationships/hyperlink" Target="https://www.sec.gov/Archives/edgar/data/1425205/000110465921016221/tm215703d2_ex10-3.htm" TargetMode="External"/><Relationship Id="rId160" Type="http://schemas.openxmlformats.org/officeDocument/2006/relationships/hyperlink" Target="https://www.sec.gov/Archives/edgar/data/1425205/000114420419029469/tv522894_ex10-1.htm" TargetMode="External"/><Relationship Id="rId161" Type="http://schemas.openxmlformats.org/officeDocument/2006/relationships/hyperlink" Target="https://www.sec.gov/Archives/edgar/data/1425205/000110465919059564/ex-10d2.htm" TargetMode="External"/><Relationship Id="rId162" Type="http://schemas.openxmlformats.org/officeDocument/2006/relationships/hyperlink" Target="https://www.sec.gov/Archives/edgar/data/1425205/000110465920091526/iova-20200630xex10d3.htm" TargetMode="External"/><Relationship Id="rId163" Type="http://schemas.openxmlformats.org/officeDocument/2006/relationships/hyperlink" Target="https://www.sec.gov/Archives/edgar/data/1425205/000110465921016221/tm215703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2021-02-25T16:50:57Z</dcterms:created>
  <dcterms:modified xsi:type="dcterms:W3CDTF">2021-02-25T16:50:57Z</dcterms:modified>
</cp:coreProperties>
</file>