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36" w:lineRule="exact"/>
        <w:rPr>
          <w:rFonts w:ascii="MS PGothic" w:cs="MS PGothic" w:eastAsia="MS PGothic" w:hAnsi="MS PGothic"/>
          <w:sz w:val="17"/>
          <w:szCs w:val="17"/>
          <w:color w:val="auto"/>
        </w:rPr>
      </w:pPr>
    </w:p>
    <w:p>
      <w:pPr>
        <w:ind w:left="3100"/>
        <w:spacing w:after="0"/>
        <w:rPr>
          <w:rFonts w:ascii="MS PGothic" w:cs="MS PGothic" w:eastAsia="MS PGothic" w:hAnsi="MS PGothic"/>
          <w:sz w:val="17"/>
          <w:szCs w:val="17"/>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September 30, 2023</w:t>
      </w:r>
    </w:p>
    <w:p>
      <w:pPr>
        <w:spacing w:after="0" w:line="11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37" w:lineRule="exact"/>
        <w:rPr>
          <w:sz w:val="24"/>
          <w:szCs w:val="24"/>
          <w:color w:val="auto"/>
        </w:rPr>
      </w:pPr>
    </w:p>
    <w:p>
      <w:pPr>
        <w:ind w:left="3600"/>
        <w:spacing w:after="0"/>
        <w:tabs>
          <w:tab w:leader="none" w:pos="5940" w:val="left"/>
          <w:tab w:leader="none" w:pos="6260" w:val="left"/>
        </w:tabs>
        <w:rPr>
          <w:sz w:val="20"/>
          <w:szCs w:val="20"/>
          <w:color w:val="auto"/>
        </w:rPr>
      </w:pPr>
      <w:r>
        <w:rPr>
          <w:rFonts w:ascii="Arial" w:cs="Arial" w:eastAsia="Arial" w:hAnsi="Arial"/>
          <w:sz w:val="18"/>
          <w:szCs w:val="18"/>
          <w:color w:val="auto"/>
        </w:rPr>
        <w:t>For the transition period from</w:t>
        <w:tab/>
        <w:t>to</w:t>
      </w:r>
      <w:r>
        <w:rPr>
          <w:sz w:val="20"/>
          <w:szCs w:val="20"/>
          <w:color w:val="auto"/>
        </w:rPr>
        <w:tab/>
      </w:r>
      <w:r>
        <w:rPr>
          <w:rFonts w:ascii="Arial" w:cs="Arial" w:eastAsia="Arial" w:hAnsi="Arial"/>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3672840</wp:posOffset>
            </wp:positionH>
            <wp:positionV relativeFrom="paragraph">
              <wp:posOffset>-20320</wp:posOffset>
            </wp:positionV>
            <wp:extent cx="85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-20320</wp:posOffset>
            </wp:positionV>
            <wp:extent cx="85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95"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Commission File Number 001-36860</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IOVANCE BIOTHERAPEUTICS,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as specified in its charter)</w:t>
      </w:r>
    </w:p>
    <w:p>
      <w:pPr>
        <w:spacing w:after="0" w:line="124" w:lineRule="exact"/>
        <w:rPr>
          <w:sz w:val="24"/>
          <w:szCs w:val="24"/>
          <w:color w:val="auto"/>
        </w:rPr>
      </w:pPr>
    </w:p>
    <w:tbl>
      <w:tblPr>
        <w:tblLayout w:type="fixed"/>
        <w:tblInd w:w="1400" w:type="dxa"/>
        <w:tblCellMar>
          <w:top w:w="0" w:type="dxa"/>
          <w:left w:w="0" w:type="dxa"/>
          <w:bottom w:w="0" w:type="dxa"/>
          <w:right w:w="0" w:type="dxa"/>
        </w:tblCellMar>
      </w:tblPr>
      <w:tr>
        <w:trPr>
          <w:trHeight w:val="220"/>
        </w:trPr>
        <w:tc>
          <w:tcPr>
            <w:tcW w:w="37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75-3254381</w:t>
            </w:r>
          </w:p>
        </w:tc>
      </w:tr>
      <w:tr>
        <w:trPr>
          <w:trHeight w:val="216"/>
        </w:trPr>
        <w:tc>
          <w:tcPr>
            <w:tcW w:w="3700" w:type="dxa"/>
            <w:vAlign w:val="bottom"/>
          </w:tcPr>
          <w:p>
            <w:pPr>
              <w:jc w:val="center"/>
              <w:ind w:right="145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left="1450"/>
              <w:spacing w:after="0"/>
              <w:rPr>
                <w:sz w:val="20"/>
                <w:szCs w:val="20"/>
                <w:color w:val="auto"/>
              </w:rPr>
            </w:pPr>
            <w:r>
              <w:rPr>
                <w:rFonts w:ascii="Arial" w:cs="Arial" w:eastAsia="Arial" w:hAnsi="Arial"/>
                <w:sz w:val="18"/>
                <w:szCs w:val="18"/>
                <w:color w:val="auto"/>
                <w:w w:val="92"/>
              </w:rPr>
              <w:t>(I.R.S. employer</w:t>
            </w:r>
          </w:p>
        </w:tc>
      </w:tr>
      <w:tr>
        <w:trPr>
          <w:trHeight w:val="230"/>
        </w:trPr>
        <w:tc>
          <w:tcPr>
            <w:tcW w:w="3700" w:type="dxa"/>
            <w:vAlign w:val="bottom"/>
          </w:tcPr>
          <w:p>
            <w:pPr>
              <w:jc w:val="center"/>
              <w:ind w:right="145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left="1450"/>
              <w:spacing w:after="0"/>
              <w:rPr>
                <w:sz w:val="20"/>
                <w:szCs w:val="20"/>
                <w:color w:val="auto"/>
              </w:rPr>
            </w:pPr>
            <w:r>
              <w:rPr>
                <w:rFonts w:ascii="Arial" w:cs="Arial" w:eastAsia="Arial" w:hAnsi="Arial"/>
                <w:sz w:val="18"/>
                <w:szCs w:val="18"/>
                <w:color w:val="auto"/>
                <w:w w:val="92"/>
              </w:rPr>
              <w:t>identification number)</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825 Industrial Road, Suite 400, San Carlos, CA 94070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and zip code)</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(650) 260-7120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p>
      <w:pPr>
        <w:ind w:right="160" w:firstLine="648"/>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1" w:lineRule="exact"/>
        <w:rPr>
          <w:sz w:val="24"/>
          <w:szCs w:val="24"/>
          <w:color w:val="auto"/>
        </w:rPr>
      </w:pPr>
    </w:p>
    <w:p>
      <w:pPr>
        <w:ind w:right="140" w:firstLine="648"/>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1" w:lineRule="exact"/>
        <w:rPr>
          <w:sz w:val="24"/>
          <w:szCs w:val="24"/>
          <w:color w:val="auto"/>
        </w:rPr>
      </w:pPr>
    </w:p>
    <w:p>
      <w:pPr>
        <w:ind w:right="20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89" w:lineRule="exact"/>
        <w:rPr>
          <w:sz w:val="24"/>
          <w:szCs w:val="24"/>
          <w:color w:val="auto"/>
        </w:rPr>
      </w:pPr>
    </w:p>
    <w:p>
      <w:pPr>
        <w:ind w:left="1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3">
            <w:col w:w="1780" w:space="40"/>
            <w:col w:w="2420" w:space="720"/>
            <w:col w:w="4960"/>
          </w:cols>
          <w:pgMar w:left="980" w:top="665" w:right="999" w:bottom="1440" w:gutter="0" w:footer="0" w:header="0"/>
          <w:type w:val="continuous"/>
        </w:sectPr>
      </w:pPr>
    </w:p>
    <w:p>
      <w:pPr>
        <w:ind w:right="20" w:firstLine="648"/>
        <w:spacing w:after="0" w:line="23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5" w:lineRule="exact"/>
        <w:rPr>
          <w:sz w:val="24"/>
          <w:szCs w:val="24"/>
          <w:color w:val="auto"/>
        </w:rPr>
      </w:pPr>
    </w:p>
    <w:p>
      <w:pPr>
        <w:jc w:val="center"/>
        <w:ind w:left="1540" w:right="100"/>
        <w:spacing w:after="0" w:line="3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 registered pursuant to Section 12(b) of the Act:</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$0.000041666</w:t>
            </w:r>
          </w:p>
        </w:tc>
        <w:tc>
          <w:tcPr>
            <w:tcW w:w="140" w:type="dxa"/>
            <w:vAlign w:val="bottom"/>
          </w:tcPr>
          <w:p>
            <w:pPr>
              <w:spacing w:after="0"/>
              <w:rPr>
                <w:sz w:val="19"/>
                <w:szCs w:val="19"/>
                <w:color w:val="auto"/>
              </w:rPr>
            </w:pPr>
          </w:p>
        </w:tc>
        <w:tc>
          <w:tcPr>
            <w:tcW w:w="2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IOVA</w:t>
            </w:r>
          </w:p>
        </w:tc>
        <w:tc>
          <w:tcPr>
            <w:tcW w:w="12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93"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At October 30, 2023, the issuer had 255,918,448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1075055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106680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149225</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360" w:type="dxa"/>
            <w:vAlign w:val="bottom"/>
            <w:tcBorders>
              <w:top w:val="single" w:sz="8" w:color="CCEEFF"/>
            </w:tcBorders>
            <w:gridSpan w:val="18"/>
            <w:shd w:val="clear" w:color="auto" w:fill="CCEEFF"/>
          </w:tcPr>
          <w:p>
            <w:pPr>
              <w:spacing w:after="0" w:line="169" w:lineRule="exact"/>
              <w:rPr>
                <w:sz w:val="20"/>
                <w:szCs w:val="20"/>
                <w:color w:val="auto"/>
              </w:rPr>
            </w:pPr>
            <w:r>
              <w:rPr>
                <w:rFonts w:ascii="Arial" w:cs="Arial" w:eastAsia="Arial" w:hAnsi="Arial"/>
                <w:sz w:val="18"/>
                <w:szCs w:val="18"/>
                <w:color w:val="0000EE"/>
              </w:rPr>
              <w:t>PART I FINANCIAL INFORMATION</w:t>
            </w:r>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sz w:val="20"/>
                <w:szCs w:val="20"/>
                <w:color w:val="auto"/>
              </w:rPr>
            </w:pPr>
            <w:r>
              <w:rPr>
                <w:rFonts w:ascii="Arial" w:cs="Arial" w:eastAsia="Arial" w:hAnsi="Arial"/>
                <w:sz w:val="18"/>
                <w:szCs w:val="18"/>
                <w:color w:val="0000EE"/>
              </w:rPr>
              <w:t>Item 1.</w:t>
            </w:r>
          </w:p>
        </w:tc>
        <w:tc>
          <w:tcPr>
            <w:tcW w:w="8460" w:type="dxa"/>
            <w:vAlign w:val="bottom"/>
            <w:gridSpan w:val="15"/>
          </w:tcPr>
          <w:p>
            <w:pPr>
              <w:spacing w:after="0" w:line="176" w:lineRule="exact"/>
              <w:rPr>
                <w:sz w:val="20"/>
                <w:szCs w:val="20"/>
                <w:color w:val="auto"/>
              </w:rPr>
            </w:pPr>
            <w:r>
              <w:rPr>
                <w:rFonts w:ascii="Arial" w:cs="Arial" w:eastAsia="Arial" w:hAnsi="Arial"/>
                <w:sz w:val="18"/>
                <w:szCs w:val="18"/>
                <w:color w:val="0000EE"/>
              </w:rPr>
              <w:t>Condensed Consolidated Financial Statements (Unaudited)</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7"/>
              </w:rPr>
              <w:t>Item 2.</w:t>
            </w: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646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000" w:type="dxa"/>
            <w:vAlign w:val="bottom"/>
            <w:tcBorders>
              <w:bottom w:val="single" w:sz="8" w:color="CCEEFF"/>
            </w:tcBorders>
            <w:gridSpan w:val="2"/>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3"/>
          </w:tcPr>
          <w:p>
            <w:pPr>
              <w:spacing w:after="0" w:line="176" w:lineRule="exact"/>
              <w:rPr>
                <w:sz w:val="20"/>
                <w:szCs w:val="20"/>
                <w:color w:val="auto"/>
              </w:rPr>
            </w:pPr>
            <w:r>
              <w:rPr>
                <w:rFonts w:ascii="Arial" w:cs="Arial" w:eastAsia="Arial" w:hAnsi="Arial"/>
                <w:sz w:val="18"/>
                <w:szCs w:val="18"/>
                <w:color w:val="0000EE"/>
              </w:rPr>
              <w:t>Item 3.</w:t>
            </w:r>
          </w:p>
        </w:tc>
        <w:tc>
          <w:tcPr>
            <w:tcW w:w="8460" w:type="dxa"/>
            <w:vAlign w:val="bottom"/>
            <w:gridSpan w:val="15"/>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sz w:val="20"/>
                <w:szCs w:val="20"/>
                <w:color w:val="auto"/>
              </w:rPr>
            </w:pPr>
            <w:r>
              <w:rPr>
                <w:rFonts w:ascii="Arial" w:cs="Arial" w:eastAsia="Arial" w:hAnsi="Arial"/>
                <w:sz w:val="18"/>
                <w:szCs w:val="18"/>
                <w:color w:val="0000EE"/>
                <w:w w:val="87"/>
              </w:rPr>
              <w:t>Item 4.</w:t>
            </w:r>
          </w:p>
        </w:tc>
        <w:tc>
          <w:tcPr>
            <w:tcW w:w="400" w:type="dxa"/>
            <w:vAlign w:val="bottom"/>
            <w:gridSpan w:val="2"/>
            <w:shd w:val="clear" w:color="auto" w:fill="CCEEFF"/>
          </w:tcPr>
          <w:p>
            <w:pPr>
              <w:spacing w:after="0"/>
              <w:rPr>
                <w:sz w:val="15"/>
                <w:szCs w:val="15"/>
                <w:color w:val="auto"/>
              </w:rPr>
            </w:pPr>
          </w:p>
        </w:tc>
        <w:tc>
          <w:tcPr>
            <w:tcW w:w="846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60" w:type="dxa"/>
            <w:vAlign w:val="bottom"/>
            <w:gridSpan w:val="18"/>
          </w:tcPr>
          <w:p>
            <w:pPr>
              <w:spacing w:after="0" w:line="176" w:lineRule="exact"/>
              <w:rPr>
                <w:sz w:val="20"/>
                <w:szCs w:val="20"/>
                <w:color w:val="auto"/>
              </w:rPr>
            </w:pPr>
            <w:r>
              <w:rPr>
                <w:rFonts w:ascii="Arial" w:cs="Arial" w:eastAsia="Arial" w:hAnsi="Arial"/>
                <w:sz w:val="18"/>
                <w:szCs w:val="18"/>
                <w:color w:val="0000EE"/>
              </w:rPr>
              <w:t>PART II OTHER INFORMATION</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sz w:val="20"/>
                <w:szCs w:val="20"/>
                <w:color w:val="auto"/>
              </w:rPr>
            </w:pPr>
            <w:r>
              <w:rPr>
                <w:rFonts w:ascii="Arial" w:cs="Arial" w:eastAsia="Arial" w:hAnsi="Arial"/>
                <w:sz w:val="18"/>
                <w:szCs w:val="18"/>
                <w:color w:val="0000EE"/>
                <w:w w:val="87"/>
              </w:rPr>
              <w:t>Item 1.</w:t>
            </w:r>
          </w:p>
        </w:tc>
        <w:tc>
          <w:tcPr>
            <w:tcW w:w="400" w:type="dxa"/>
            <w:vAlign w:val="bottom"/>
            <w:gridSpan w:val="2"/>
            <w:shd w:val="clear" w:color="auto" w:fill="CCEEFF"/>
          </w:tcPr>
          <w:p>
            <w:pPr>
              <w:spacing w:after="0"/>
              <w:rPr>
                <w:sz w:val="15"/>
                <w:szCs w:val="15"/>
                <w:color w:val="auto"/>
              </w:rPr>
            </w:pPr>
          </w:p>
        </w:tc>
        <w:tc>
          <w:tcPr>
            <w:tcW w:w="846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sz w:val="20"/>
                <w:szCs w:val="20"/>
                <w:color w:val="auto"/>
              </w:rPr>
            </w:pPr>
            <w:r>
              <w:rPr>
                <w:rFonts w:ascii="Arial" w:cs="Arial" w:eastAsia="Arial" w:hAnsi="Arial"/>
                <w:sz w:val="18"/>
                <w:szCs w:val="18"/>
                <w:color w:val="0000EE"/>
              </w:rPr>
              <w:t>Item 1A.</w:t>
            </w:r>
          </w:p>
        </w:tc>
        <w:tc>
          <w:tcPr>
            <w:tcW w:w="8460" w:type="dxa"/>
            <w:vAlign w:val="bottom"/>
            <w:gridSpan w:val="15"/>
          </w:tcPr>
          <w:p>
            <w:pPr>
              <w:spacing w:after="0" w:line="176" w:lineRule="exact"/>
              <w:rPr>
                <w:sz w:val="20"/>
                <w:szCs w:val="20"/>
                <w:color w:val="auto"/>
              </w:rPr>
            </w:pPr>
            <w:r>
              <w:rPr>
                <w:rFonts w:ascii="Arial" w:cs="Arial" w:eastAsia="Arial" w:hAnsi="Arial"/>
                <w:sz w:val="18"/>
                <w:szCs w:val="18"/>
                <w:color w:val="0000EE"/>
              </w:rPr>
              <w:t>Risk Factors</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7"/>
              </w:rPr>
              <w:t>Item 2.</w:t>
            </w: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6620" w:type="dxa"/>
            <w:vAlign w:val="bottom"/>
            <w:tcBorders>
              <w:bottom w:val="single" w:sz="8" w:color="0000EE"/>
            </w:tcBorders>
            <w:gridSpan w:val="14"/>
            <w:shd w:val="clear" w:color="auto" w:fill="CCEEFF"/>
          </w:tcPr>
          <w:p>
            <w:pPr>
              <w:spacing w:after="0" w:line="176" w:lineRule="exact"/>
              <w:rPr>
                <w:sz w:val="20"/>
                <w:szCs w:val="20"/>
                <w:color w:val="auto"/>
              </w:rPr>
            </w:pPr>
            <w:r>
              <w:rPr>
                <w:rFonts w:ascii="Arial" w:cs="Arial" w:eastAsia="Arial" w:hAnsi="Arial"/>
                <w:sz w:val="18"/>
                <w:szCs w:val="18"/>
                <w:color w:val="0000EE"/>
                <w:w w:val="88"/>
              </w:rPr>
              <w:t>Unregistered Sales of Securities, Use of Proceeds, and Issuer Purchases of Equity Securities</w:t>
            </w:r>
          </w:p>
        </w:tc>
        <w:tc>
          <w:tcPr>
            <w:tcW w:w="18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gridSpan w:val="3"/>
          </w:tcPr>
          <w:p>
            <w:pPr>
              <w:spacing w:after="0" w:line="176" w:lineRule="exact"/>
              <w:rPr>
                <w:sz w:val="20"/>
                <w:szCs w:val="20"/>
                <w:color w:val="auto"/>
              </w:rPr>
            </w:pPr>
            <w:r>
              <w:rPr>
                <w:rFonts w:ascii="Arial" w:cs="Arial" w:eastAsia="Arial" w:hAnsi="Arial"/>
                <w:sz w:val="18"/>
                <w:szCs w:val="18"/>
                <w:color w:val="0000EE"/>
              </w:rPr>
              <w:t>Item 3.</w:t>
            </w:r>
          </w:p>
        </w:tc>
        <w:tc>
          <w:tcPr>
            <w:tcW w:w="8460" w:type="dxa"/>
            <w:vAlign w:val="bottom"/>
            <w:gridSpan w:val="15"/>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7"/>
              </w:rPr>
              <w:t>Item 4.</w:t>
            </w: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170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91"/>
              </w:rPr>
              <w:t>Mine Safety Disclosure</w:t>
            </w:r>
          </w:p>
        </w:tc>
        <w:tc>
          <w:tcPr>
            <w:tcW w:w="6760" w:type="dxa"/>
            <w:vAlign w:val="bottom"/>
            <w:tcBorders>
              <w:bottom w:val="single" w:sz="8" w:color="CCEEFF"/>
            </w:tcBorders>
            <w:gridSpan w:val="8"/>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gridSpan w:val="3"/>
          </w:tcPr>
          <w:p>
            <w:pPr>
              <w:spacing w:after="0" w:line="176" w:lineRule="exact"/>
              <w:rPr>
                <w:sz w:val="20"/>
                <w:szCs w:val="20"/>
                <w:color w:val="auto"/>
              </w:rPr>
            </w:pPr>
            <w:r>
              <w:rPr>
                <w:rFonts w:ascii="Arial" w:cs="Arial" w:eastAsia="Arial" w:hAnsi="Arial"/>
                <w:sz w:val="18"/>
                <w:szCs w:val="18"/>
                <w:color w:val="0000EE"/>
              </w:rPr>
              <w:t>Item 5.</w:t>
            </w:r>
          </w:p>
        </w:tc>
        <w:tc>
          <w:tcPr>
            <w:tcW w:w="8460" w:type="dxa"/>
            <w:vAlign w:val="bottom"/>
            <w:gridSpan w:val="15"/>
          </w:tcPr>
          <w:p>
            <w:pPr>
              <w:spacing w:after="0" w:line="176" w:lineRule="exact"/>
              <w:rPr>
                <w:sz w:val="20"/>
                <w:szCs w:val="20"/>
                <w:color w:val="auto"/>
              </w:rPr>
            </w:pPr>
            <w:r>
              <w:rPr>
                <w:rFonts w:ascii="Arial" w:cs="Arial" w:eastAsia="Arial" w:hAnsi="Arial"/>
                <w:sz w:val="18"/>
                <w:szCs w:val="18"/>
                <w:color w:val="0000EE"/>
              </w:rPr>
              <w:t>Other Information</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7"/>
              </w:rPr>
              <w:t>Item 6.</w:t>
            </w: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91"/>
              </w:rPr>
              <w:t>Exhibits</w:t>
            </w:r>
          </w:p>
        </w:tc>
        <w:tc>
          <w:tcPr>
            <w:tcW w:w="7860" w:type="dxa"/>
            <w:vAlign w:val="bottom"/>
            <w:tcBorders>
              <w:bottom w:val="single" w:sz="8" w:color="CCEEFF"/>
            </w:tcBorders>
            <w:gridSpan w:val="1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60" w:type="dxa"/>
            <w:vAlign w:val="bottom"/>
            <w:gridSpan w:val="18"/>
          </w:tcPr>
          <w:p>
            <w:pPr>
              <w:spacing w:after="0" w:line="176" w:lineRule="exact"/>
              <w:rPr>
                <w:sz w:val="20"/>
                <w:szCs w:val="20"/>
                <w:color w:val="auto"/>
              </w:rPr>
            </w:pPr>
            <w:r>
              <w:rPr>
                <w:rFonts w:ascii="Arial" w:cs="Arial" w:eastAsia="Arial" w:hAnsi="Arial"/>
                <w:sz w:val="18"/>
                <w:szCs w:val="18"/>
                <w:color w:val="0000EE"/>
              </w:rPr>
              <w:t>SIGNATURES</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 and Market Data</w:t>
      </w:r>
    </w:p>
    <w:p>
      <w:pPr>
        <w:spacing w:after="0" w:line="229"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are based on management’s beliefs and assumptions and on information currently available to management. All statements other than statements of historical facts contained in this report are forward-looking statements. In some cases, you can identify forward-looking statements by the following words: “may,” “will,” “might,” “could,” “would,” “should,” “expect,” “intend,” “plan,” “anticipate,” “believe,” “estimate,” “predict,” “project,” “aim,” “potential,” “continue,” “ongoing,” “goal,” “forecast,” “guidance,” “outlook,” or the negative of these terms or other similar expressions, although not all forward-looking statements contain these words.</w:t>
      </w:r>
    </w:p>
    <w:p>
      <w:pPr>
        <w:spacing w:after="0" w:line="192"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report, we caution you that these statements are based on a combination of facts and factors currently known by us and our projections of the future, about which we cannot be certain. Forward-looking statements in this Quarterly Report on Form 10-Q include, but are not limited to, statements about:</w:t>
      </w:r>
    </w:p>
    <w:p>
      <w:pPr>
        <w:spacing w:after="0" w:line="161" w:lineRule="exact"/>
        <w:rPr>
          <w:sz w:val="20"/>
          <w:szCs w:val="20"/>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enrollment, and timing of our clinical trials;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w:t>
      </w:r>
    </w:p>
    <w:p>
      <w:pPr>
        <w:spacing w:after="0" w:line="9" w:lineRule="exact"/>
        <w:rPr>
          <w:rFonts w:ascii="Arial" w:cs="Arial" w:eastAsia="Arial" w:hAnsi="Arial"/>
          <w:sz w:val="18"/>
          <w:szCs w:val="18"/>
          <w:color w:val="auto"/>
        </w:rPr>
      </w:pPr>
    </w:p>
    <w:p>
      <w:pPr>
        <w:ind w:left="680" w:right="10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us or our third-party contract manufacturers to continue to manufacture tumor infiltrating lymphocytes, or TIL, in accordance with our selected process;</w:t>
      </w:r>
    </w:p>
    <w:p>
      <w:pPr>
        <w:ind w:left="680" w:hanging="321"/>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design, construct and staff our own manufacturing facility on a timely basis and within the estimated expenses;</w:t>
      </w:r>
    </w:p>
    <w:p>
      <w:pPr>
        <w:spacing w:after="0" w:line="32" w:lineRule="exact"/>
        <w:rPr>
          <w:rFonts w:ascii="Arial" w:cs="Arial" w:eastAsia="Arial" w:hAnsi="Arial"/>
          <w:sz w:val="16"/>
          <w:szCs w:val="16"/>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of America, or U.S., and foreign countries;</w:t>
      </w:r>
    </w:p>
    <w:p>
      <w:pPr>
        <w:spacing w:after="0" w:line="9" w:lineRule="exact"/>
        <w:rPr>
          <w:rFonts w:ascii="Arial" w:cs="Arial" w:eastAsia="Arial" w:hAnsi="Arial"/>
          <w:sz w:val="18"/>
          <w:szCs w:val="18"/>
          <w:color w:val="auto"/>
        </w:rPr>
      </w:pPr>
    </w:p>
    <w:p>
      <w:pPr>
        <w:ind w:left="680" w:right="4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U.S. Food and Drug Administration, or the FDA, or other regulatory authority approval of, or other action with respect to, our product candidates, including with respect to the approval of the Biologics License Application (BLA) for lifileucel for patients with advanced melanoma;</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0" w:lineRule="exact"/>
        <w:rPr>
          <w:rFonts w:ascii="Arial" w:cs="Arial" w:eastAsia="Arial" w:hAnsi="Arial"/>
          <w:sz w:val="17"/>
          <w:szCs w:val="17"/>
          <w:color w:val="auto"/>
        </w:rPr>
      </w:pPr>
    </w:p>
    <w:p>
      <w:pPr>
        <w:ind w:left="680" w:right="106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ind w:left="680" w:right="4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Proleukin® and any other product candidates for which we obtain FDA or other regulatory approvals;</w:t>
      </w:r>
    </w:p>
    <w:p>
      <w:pPr>
        <w:ind w:left="680" w:right="1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our other research and development and strategic collaborations;</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manufacturing methods and product candidates;</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trading price of our common stock;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cash and other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Actual results may differ from those set forth in this Quarterly Report on Form 10-Q due to the risks and uncertainties inherent in our business, including, without limitation: the FDA may not agree with our interpretation of the results of its clinical trials; later developments with the FDA that may be inconsistent with already completed FDA meetings; the preliminary clinical results, including efficacy and safety results, from ongoing Phase 2 and Phase 3 trials may not be reflected in the final analyses of these trials including new cohorts within these trials; the results obtained in our ongoing clinical trials, such as the studies and trials referred to in this Quarterly Report on Form 10-Q, may not be indicative of results obtained in future clinical trials or supportive of product approval; regulatory authorities may potentially delay the timing of FDA or other regulatory authority approval of, or other action with respect to, our product candidates, specifically, our description of FDA interactions are subject to FDA’s interpretation, as well as FDA’s authority to request new or additional information; we may not be able to obtain or maintain FDA or other regulatory authority approval of its product candidates; our ability to address FDA or other regulatory authority requirements relating to our clinical programs and registrational plans, such requirements including, but not limited to, clinical and safety requirements as well as manufacturing and control requirements; risks related to our accelerated FDA review designations; our ability to obtain and maintain intellectual property rights relating to our product pipeline; and the acceptance by the market of our product candidates and their potential reimbursement by payors, if approved.</w:t>
      </w:r>
    </w:p>
    <w:p>
      <w:pPr>
        <w:spacing w:after="0" w:line="184"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caution you that the risks, uncertainties and other factors referenced above may not contain all the risks, uncertainties and other factors that are important to you. In addition, we cannot guarantee future results, level of activity, performance or achievements. Any forward-looking statement made by us in this Quarterly Report on Form 10-Q speaks only as of the date of this Quarterly Report on Form 10-Q or as of the date on which it is made. Except as required by law, we undertake no obligation to publicly update any forward-looking statements, whether because of new information, future events or otherwise, after the date of this Quarterly Report on Form 10-Q.</w:t>
      </w:r>
    </w:p>
    <w:p>
      <w:pPr>
        <w:spacing w:after="0" w:line="192"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Unless the context requires otherwise, in this report the terms “Iovance,” the “Company,” “we,” “us” and “our” refer to Iovance Biotherapeutics,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7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information)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267,720</w:t>
            </w:r>
          </w:p>
        </w:tc>
        <w:tc>
          <w:tcPr>
            <w:tcW w:w="220" w:type="dxa"/>
            <w:vAlign w:val="bottom"/>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231,731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investments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93,654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200"/>
              <w:spacing w:after="0"/>
              <w:rPr>
                <w:sz w:val="20"/>
                <w:szCs w:val="20"/>
                <w:color w:val="auto"/>
              </w:rPr>
            </w:pPr>
            <w:r>
              <w:rPr>
                <w:rFonts w:ascii="Arial" w:cs="Arial" w:eastAsia="Arial" w:hAnsi="Arial"/>
                <w:sz w:val="16"/>
                <w:szCs w:val="16"/>
                <w:color w:val="auto"/>
              </w:rPr>
              <w:t>Inventory</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9,195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assets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Pr>
          <w:p>
            <w:pPr>
              <w:ind w:left="200"/>
              <w:spacing w:after="0"/>
              <w:rPr>
                <w:sz w:val="20"/>
                <w:szCs w:val="20"/>
                <w:color w:val="auto"/>
              </w:rPr>
            </w:pPr>
            <w:r>
              <w:rPr>
                <w:rFonts w:ascii="Arial" w:cs="Arial" w:eastAsia="Arial" w:hAnsi="Arial"/>
                <w:sz w:val="16"/>
                <w:szCs w:val="16"/>
                <w:b w:val="1"/>
                <w:bCs w:val="1"/>
                <w:color w:val="auto"/>
              </w:rPr>
              <w:t>Total Current Assets</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382,586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479,116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200"/>
              <w:spacing w:after="0"/>
              <w:rPr>
                <w:sz w:val="20"/>
                <w:szCs w:val="20"/>
                <w:color w:val="auto"/>
              </w:rPr>
            </w:pPr>
            <w:r>
              <w:rPr>
                <w:rFonts w:ascii="Arial" w:cs="Arial" w:eastAsia="Arial" w:hAnsi="Arial"/>
                <w:sz w:val="16"/>
                <w:szCs w:val="16"/>
                <w:color w:val="auto"/>
              </w:rPr>
              <w:t>Property and equipment, net</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113,142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Intangible assets, net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223,610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66,265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Restricted cash</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66,430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Long-term assets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852,315</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19,274</w:t>
            </w:r>
          </w:p>
        </w:tc>
        <w:tc>
          <w:tcPr>
            <w:tcW w:w="220" w:type="dxa"/>
            <w:vAlign w:val="bottom"/>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26,603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61,213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Operating lease liabilities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10,468</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Current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90,955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91,485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Liabilities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200"/>
              <w:spacing w:after="0"/>
              <w:rPr>
                <w:sz w:val="20"/>
                <w:szCs w:val="20"/>
                <w:color w:val="auto"/>
              </w:rPr>
            </w:pPr>
            <w:r>
              <w:rPr>
                <w:rFonts w:ascii="Arial" w:cs="Arial" w:eastAsia="Arial" w:hAnsi="Arial"/>
                <w:sz w:val="16"/>
                <w:szCs w:val="16"/>
                <w:color w:val="auto"/>
              </w:rPr>
              <w:t>Operating lease liabilities – non-current</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68,009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71,859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tax liabilities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Long-term note payable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Non-Current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87,352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Liabilities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178,307</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164,344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4"/>
              </w:rPr>
              <w:t>Series A Convertible Preferred stock, $0.001 par value; 17,000 shares designated, 194 shares issued and</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outstanding as of September 30, 2023 and December 31, 2022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40" w:type="dxa"/>
            <w:vAlign w:val="bottom"/>
          </w:tcPr>
          <w:p>
            <w:pPr>
              <w:ind w:left="100"/>
              <w:spacing w:after="0"/>
              <w:rPr>
                <w:sz w:val="20"/>
                <w:szCs w:val="20"/>
                <w:color w:val="auto"/>
              </w:rPr>
            </w:pPr>
            <w:r>
              <w:rPr>
                <w:rFonts w:ascii="Arial" w:cs="Arial" w:eastAsia="Arial" w:hAnsi="Arial"/>
                <w:sz w:val="16"/>
                <w:szCs w:val="16"/>
                <w:color w:val="auto"/>
                <w:w w:val="95"/>
              </w:rPr>
              <w:t>Series B Convertible Preferred stock, $0.001 par value; 11,500,000 shares designated, 2,842,158 shares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Arial" w:cs="Arial" w:eastAsia="Arial" w:hAnsi="Arial"/>
                <w:sz w:val="16"/>
                <w:szCs w:val="16"/>
                <w:color w:val="auto"/>
              </w:rPr>
              <w:t>issued and outstanding as of September 30, 2023 and December 31, 2022</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Common stock, $0.000041666 par value; 500,000,000 shares authorized, 255,833,679 and 187,812,072</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shares issued and outstanding as of September 30, 2023 and December 31, 2022, respectively</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00"/>
              <w:spacing w:after="0"/>
              <w:rPr>
                <w:sz w:val="20"/>
                <w:szCs w:val="20"/>
                <w:color w:val="auto"/>
              </w:rPr>
            </w:pPr>
            <w:r>
              <w:rPr>
                <w:rFonts w:ascii="Arial" w:cs="Arial" w:eastAsia="Arial" w:hAnsi="Arial"/>
                <w:sz w:val="16"/>
                <w:szCs w:val="16"/>
                <w:color w:val="auto"/>
              </w:rPr>
              <w:t>Accumulated other comprehensive income (loss)</w:t>
            </w:r>
          </w:p>
        </w:tc>
        <w:tc>
          <w:tcPr>
            <w:tcW w:w="10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(9,097)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2,579,087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00"/>
              <w:spacing w:after="0"/>
              <w:rPr>
                <w:sz w:val="20"/>
                <w:szCs w:val="20"/>
                <w:color w:val="auto"/>
              </w:rPr>
            </w:pPr>
            <w:r>
              <w:rPr>
                <w:rFonts w:ascii="Arial" w:cs="Arial" w:eastAsia="Arial" w:hAnsi="Arial"/>
                <w:sz w:val="16"/>
                <w:szCs w:val="16"/>
                <w:color w:val="auto"/>
              </w:rPr>
              <w:t>Accumulated deficit</w:t>
            </w:r>
          </w:p>
        </w:tc>
        <w:tc>
          <w:tcPr>
            <w:tcW w:w="10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(1,895,996)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(1,568,338)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674,008</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499,638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Pr>
          <w:p>
            <w:pPr>
              <w:ind w:left="100"/>
              <w:spacing w:after="0"/>
              <w:rPr>
                <w:sz w:val="20"/>
                <w:szCs w:val="20"/>
                <w:color w:val="auto"/>
              </w:rPr>
            </w:pPr>
            <w:r>
              <w:rPr>
                <w:rFonts w:ascii="Arial" w:cs="Arial" w:eastAsia="Arial" w:hAnsi="Arial"/>
                <w:sz w:val="16"/>
                <w:szCs w:val="16"/>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852,315</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9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Product revenue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469</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Cost of sales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4,340</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6,390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77,013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118,830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100,395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340,010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(118,361)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(100,395)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(339,303)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(291,842)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net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Net Loss before income taxes</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(115,003)</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(99,618)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8"/>
              </w:rPr>
              <w:t>(329,378)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8"/>
              </w:rPr>
              <w:t>(290,574)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benefit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(113,760)</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(99,618)</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(327,658)</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(290,574)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Loss Per Share of Common Stock, Basic and Diluted</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spacing w:after="0" w:line="191" w:lineRule="exact"/>
              <w:rPr>
                <w:sz w:val="20"/>
                <w:szCs w:val="20"/>
                <w:color w:val="auto"/>
              </w:rPr>
            </w:pPr>
            <w:r>
              <w:rPr>
                <w:rFonts w:ascii="Arial" w:cs="Arial" w:eastAsia="Arial" w:hAnsi="Arial"/>
                <w:sz w:val="18"/>
                <w:szCs w:val="18"/>
                <w:b w:val="1"/>
                <w:bCs w:val="1"/>
                <w:color w:val="auto"/>
                <w:w w:val="91"/>
              </w:rPr>
              <w:t>Weighted Average Shares of Common Stock Outstanding, Basic and</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4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245,817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157,817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228,115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157,404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Diluted</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0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4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89"/>
              </w:rPr>
              <w:t>2022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(113,760)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(99,618)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(290,574)</w:t>
            </w: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gain/(loss) on investments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(9,440)</w:t>
            </w:r>
          </w:p>
        </w:tc>
        <w:tc>
          <w:tcPr>
            <w:tcW w:w="3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(9,107)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(123,182)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(98,959)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(335,853)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(292,011)</w:t>
            </w: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For the Three Months Ended September 30, 2023 and 2022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4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2"/>
              </w:rPr>
              <w:t>Series A</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4"/>
          </w:tcPr>
          <w:p>
            <w:pPr>
              <w:jc w:val="center"/>
              <w:ind w:left="148"/>
              <w:spacing w:after="0"/>
              <w:rPr>
                <w:sz w:val="20"/>
                <w:szCs w:val="20"/>
                <w:color w:val="auto"/>
              </w:rPr>
            </w:pPr>
            <w:r>
              <w:rPr>
                <w:rFonts w:ascii="Arial" w:cs="Arial" w:eastAsia="Arial" w:hAnsi="Arial"/>
                <w:sz w:val="14"/>
                <w:szCs w:val="14"/>
                <w:b w:val="1"/>
                <w:bCs w:val="1"/>
                <w:color w:val="auto"/>
                <w:w w:val="89"/>
              </w:rPr>
              <w:t>Series B</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14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9"/>
              </w:rPr>
              <w:t>Accumulated Other</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040" w:type="dxa"/>
            <w:vAlign w:val="bottom"/>
            <w:gridSpan w:val="4"/>
          </w:tcPr>
          <w:p>
            <w:pPr>
              <w:jc w:val="center"/>
              <w:ind w:left="148"/>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9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Preferred Sock</w:t>
            </w:r>
          </w:p>
        </w:tc>
        <w:tc>
          <w:tcPr>
            <w:tcW w:w="14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2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3"/>
            <w:vMerge w:val="continue"/>
          </w:tcPr>
          <w:p>
            <w:pPr>
              <w:spacing w:after="0"/>
              <w:rPr>
                <w:sz w:val="14"/>
                <w:szCs w:val="14"/>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7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92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70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2"/>
                <w:szCs w:val="12"/>
                <w:color w:val="auto"/>
              </w:rPr>
            </w:pPr>
          </w:p>
        </w:tc>
        <w:tc>
          <w:tcPr>
            <w:tcW w:w="8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June 30, 2023</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2,842,158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224,688,434</w:t>
            </w: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$2,360,468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(1,782,236)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578,569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15,821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15,821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restricted shares</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issued for services</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195,243</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Tax payments related to</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shares retired for vested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restricted stock units</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(49,998)</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sold in public</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and/or at the market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offerings, net of offering costs</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31,000,000</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203,177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Unrealized gain 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 cumulative</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translation adjustment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(113,760)</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(113,760)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8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6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6"/>
              </w:rPr>
              <w:t>2,842,158</w:t>
            </w:r>
          </w:p>
        </w:tc>
        <w:tc>
          <w:tcPr>
            <w:tcW w:w="14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255,833,679</w:t>
            </w:r>
          </w:p>
        </w:tc>
        <w:tc>
          <w:tcPr>
            <w:tcW w:w="14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2,579,087</w:t>
            </w:r>
          </w:p>
        </w:tc>
        <w:tc>
          <w:tcPr>
            <w:tcW w:w="2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(9,097)</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(1,895,996)</w:t>
            </w:r>
          </w:p>
        </w:tc>
        <w:tc>
          <w:tcPr>
            <w:tcW w:w="80" w:type="dxa"/>
            <w:vAlign w:val="bottom"/>
            <w:shd w:val="clear" w:color="auto" w:fill="CCEEFF"/>
          </w:tcPr>
          <w:p>
            <w:pPr>
              <w:spacing w:after="0"/>
              <w:rPr>
                <w:sz w:val="9"/>
                <w:szCs w:val="9"/>
                <w:color w:val="auto"/>
              </w:rPr>
            </w:pPr>
          </w:p>
        </w:tc>
        <w:tc>
          <w:tcPr>
            <w:tcW w:w="22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674,008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8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September 30, 2023</w:t>
            </w:r>
          </w:p>
        </w:tc>
        <w:tc>
          <w:tcPr>
            <w:tcW w:w="4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June 30, 2022</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2,842,158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157,800,581</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$1,838,778</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(1,363,401)</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19,780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19,780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Unrealized loss on short-term</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(99,618)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(99,618)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80" w:type="dxa"/>
            <w:vAlign w:val="bottom"/>
          </w:tcPr>
          <w:p>
            <w:pPr>
              <w:spacing w:after="0" w:line="106" w:lineRule="exact"/>
              <w:rPr>
                <w:sz w:val="20"/>
                <w:szCs w:val="20"/>
                <w:color w:val="auto"/>
              </w:rPr>
            </w:pPr>
            <w:r>
              <w:rPr>
                <w:rFonts w:ascii="Arial" w:cs="Arial" w:eastAsia="Arial" w:hAnsi="Arial"/>
                <w:sz w:val="12"/>
                <w:szCs w:val="12"/>
                <w:b w:val="1"/>
                <w:bCs w:val="1"/>
                <w:color w:val="auto"/>
              </w:rPr>
              <w:t>Balance -</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194</w:t>
            </w:r>
          </w:p>
        </w:tc>
        <w:tc>
          <w:tcPr>
            <w:tcW w:w="160" w:type="dxa"/>
            <w:vAlign w:val="bottom"/>
          </w:tcPr>
          <w:p>
            <w:pPr>
              <w:spacing w:after="0"/>
              <w:rPr>
                <w:sz w:val="9"/>
                <w:szCs w:val="9"/>
                <w:color w:val="auto"/>
              </w:rPr>
            </w:pPr>
          </w:p>
        </w:tc>
        <w:tc>
          <w:tcPr>
            <w:tcW w:w="260" w:type="dxa"/>
            <w:vAlign w:val="bottom"/>
            <w:vMerge w:val="restart"/>
          </w:tcPr>
          <w:p>
            <w:pPr>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86"/>
              </w:rPr>
              <w:t>2,842,158</w:t>
            </w:r>
          </w:p>
        </w:tc>
        <w:tc>
          <w:tcPr>
            <w:tcW w:w="140" w:type="dxa"/>
            <w:vAlign w:val="bottom"/>
          </w:tcPr>
          <w:p>
            <w:pPr>
              <w:spacing w:after="0"/>
              <w:rPr>
                <w:sz w:val="9"/>
                <w:szCs w:val="9"/>
                <w:color w:val="auto"/>
              </w:rPr>
            </w:pP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89"/>
              </w:rPr>
              <w:t>157,840,581</w:t>
            </w:r>
          </w:p>
        </w:tc>
        <w:tc>
          <w:tcPr>
            <w:tcW w:w="140" w:type="dxa"/>
            <w:vAlign w:val="bottom"/>
          </w:tcPr>
          <w:p>
            <w:pPr>
              <w:spacing w:after="0"/>
              <w:rPr>
                <w:sz w:val="9"/>
                <w:szCs w:val="9"/>
                <w:color w:val="auto"/>
              </w:rPr>
            </w:pPr>
          </w:p>
        </w:tc>
        <w:tc>
          <w:tcPr>
            <w:tcW w:w="340" w:type="dxa"/>
            <w:vAlign w:val="bottom"/>
            <w:vMerge w:val="restart"/>
          </w:tcPr>
          <w:p>
            <w:pPr>
              <w:jc w:val="right"/>
              <w:ind w:right="188"/>
              <w:spacing w:after="0"/>
              <w:rPr>
                <w:sz w:val="20"/>
                <w:szCs w:val="20"/>
                <w:color w:val="auto"/>
              </w:rPr>
            </w:pPr>
            <w:r>
              <w:rPr>
                <w:rFonts w:ascii="Arial" w:cs="Arial" w:eastAsia="Arial" w:hAnsi="Arial"/>
                <w:sz w:val="14"/>
                <w:szCs w:val="14"/>
                <w:color w:val="auto"/>
                <w:w w:val="76"/>
              </w:rPr>
              <w:t>$</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1,858,783</w:t>
            </w:r>
          </w:p>
        </w:tc>
        <w:tc>
          <w:tcPr>
            <w:tcW w:w="26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(2,038)</w:t>
            </w:r>
          </w:p>
        </w:tc>
        <w:tc>
          <w:tcPr>
            <w:tcW w:w="80" w:type="dxa"/>
            <w:vAlign w:val="bottom"/>
          </w:tcPr>
          <w:p>
            <w:pPr>
              <w:spacing w:after="0"/>
              <w:rPr>
                <w:sz w:val="9"/>
                <w:szCs w:val="9"/>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 (1,463,019)</w:t>
            </w:r>
          </w:p>
        </w:tc>
        <w:tc>
          <w:tcPr>
            <w:tcW w:w="80" w:type="dxa"/>
            <w:vAlign w:val="bottom"/>
          </w:tcPr>
          <w:p>
            <w:pPr>
              <w:spacing w:after="0"/>
              <w:rPr>
                <w:sz w:val="9"/>
                <w:szCs w:val="9"/>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393,736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9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September 30, 2022</w:t>
            </w:r>
          </w:p>
        </w:tc>
        <w:tc>
          <w:tcPr>
            <w:tcW w:w="4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Nine Months Ended September 30, 2023 and 2022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information)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60" w:type="dxa"/>
            <w:vAlign w:val="bottom"/>
            <w:gridSpan w:val="4"/>
          </w:tcPr>
          <w:p>
            <w:pPr>
              <w:jc w:val="center"/>
              <w:ind w:left="110"/>
              <w:spacing w:after="0"/>
              <w:rPr>
                <w:sz w:val="20"/>
                <w:szCs w:val="20"/>
                <w:color w:val="auto"/>
              </w:rPr>
            </w:pPr>
            <w:r>
              <w:rPr>
                <w:rFonts w:ascii="Arial" w:cs="Arial" w:eastAsia="Arial" w:hAnsi="Arial"/>
                <w:sz w:val="13"/>
                <w:szCs w:val="13"/>
                <w:b w:val="1"/>
                <w:bCs w:val="1"/>
                <w:color w:val="auto"/>
                <w:w w:val="84"/>
              </w:rPr>
              <w:t>Series A</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4"/>
          </w:tcPr>
          <w:p>
            <w:pPr>
              <w:jc w:val="center"/>
              <w:ind w:left="110"/>
              <w:spacing w:after="0"/>
              <w:rPr>
                <w:sz w:val="20"/>
                <w:szCs w:val="20"/>
                <w:color w:val="auto"/>
              </w:rPr>
            </w:pPr>
            <w:r>
              <w:rPr>
                <w:rFonts w:ascii="Arial" w:cs="Arial" w:eastAsia="Arial" w:hAnsi="Arial"/>
                <w:sz w:val="13"/>
                <w:szCs w:val="13"/>
                <w:b w:val="1"/>
                <w:bCs w:val="1"/>
                <w:color w:val="auto"/>
                <w:w w:val="84"/>
              </w:rPr>
              <w:t>Series B</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60" w:type="dxa"/>
            <w:vAlign w:val="bottom"/>
            <w:gridSpan w:val="4"/>
          </w:tcPr>
          <w:p>
            <w:pPr>
              <w:jc w:val="center"/>
              <w:ind w:left="15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jc w:val="center"/>
              <w:ind w:left="11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320" w:type="dxa"/>
            <w:vAlign w:val="bottom"/>
            <w:gridSpan w:val="4"/>
          </w:tcPr>
          <w:p>
            <w:pPr>
              <w:ind w:left="120"/>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0" w:type="dxa"/>
            <w:vAlign w:val="bottom"/>
            <w:gridSpan w:val="6"/>
          </w:tcPr>
          <w:p>
            <w:pPr>
              <w:jc w:val="center"/>
              <w:ind w:right="140"/>
              <w:spacing w:after="0" w:line="131" w:lineRule="exact"/>
              <w:rPr>
                <w:sz w:val="20"/>
                <w:szCs w:val="20"/>
                <w:color w:val="auto"/>
              </w:rPr>
            </w:pPr>
            <w:r>
              <w:rPr>
                <w:rFonts w:ascii="Arial" w:cs="Arial" w:eastAsia="Arial" w:hAnsi="Arial"/>
                <w:sz w:val="13"/>
                <w:szCs w:val="13"/>
                <w:b w:val="1"/>
                <w:bCs w:val="1"/>
                <w:color w:val="auto"/>
                <w:w w:val="88"/>
              </w:rPr>
              <w:t>Preferred Sock</w:t>
            </w:r>
          </w:p>
        </w:tc>
        <w:tc>
          <w:tcPr>
            <w:tcW w:w="1060" w:type="dxa"/>
            <w:vAlign w:val="bottom"/>
            <w:gridSpan w:val="4"/>
          </w:tcPr>
          <w:p>
            <w:pPr>
              <w:jc w:val="center"/>
              <w:ind w:left="110"/>
              <w:spacing w:after="0" w:line="131" w:lineRule="exact"/>
              <w:rPr>
                <w:sz w:val="20"/>
                <w:szCs w:val="20"/>
                <w:color w:val="auto"/>
              </w:rPr>
            </w:pPr>
            <w:r>
              <w:rPr>
                <w:rFonts w:ascii="Arial" w:cs="Arial" w:eastAsia="Arial" w:hAnsi="Arial"/>
                <w:sz w:val="13"/>
                <w:szCs w:val="13"/>
                <w:b w:val="1"/>
                <w:bCs w:val="1"/>
                <w:color w:val="auto"/>
                <w:w w:val="86"/>
              </w:rPr>
              <w:t>Preferred Stock</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4"/>
          </w:tcPr>
          <w:p>
            <w:pPr>
              <w:ind w:left="340"/>
              <w:spacing w:after="0" w:line="131" w:lineRule="exact"/>
              <w:rPr>
                <w:sz w:val="20"/>
                <w:szCs w:val="20"/>
                <w:color w:val="auto"/>
              </w:rPr>
            </w:pPr>
            <w:r>
              <w:rPr>
                <w:rFonts w:ascii="Arial" w:cs="Arial" w:eastAsia="Arial" w:hAnsi="Arial"/>
                <w:sz w:val="13"/>
                <w:szCs w:val="13"/>
                <w:b w:val="1"/>
                <w:bCs w:val="1"/>
                <w:color w:val="auto"/>
                <w:w w:val="92"/>
              </w:rPr>
              <w:t>Common Stock</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90"/>
              <w:spacing w:after="0" w:line="131"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40"/>
              <w:spacing w:after="0" w:line="131" w:lineRule="exact"/>
              <w:rPr>
                <w:sz w:val="20"/>
                <w:szCs w:val="20"/>
                <w:color w:val="auto"/>
              </w:rPr>
            </w:pPr>
            <w:r>
              <w:rPr>
                <w:rFonts w:ascii="Arial" w:cs="Arial" w:eastAsia="Arial" w:hAnsi="Arial"/>
                <w:sz w:val="13"/>
                <w:szCs w:val="13"/>
                <w:b w:val="1"/>
                <w:bCs w:val="1"/>
                <w:color w:val="auto"/>
              </w:rPr>
              <w:t>Comprehensive</w:t>
            </w:r>
          </w:p>
        </w:tc>
        <w:tc>
          <w:tcPr>
            <w:tcW w:w="760" w:type="dxa"/>
            <w:vAlign w:val="bottom"/>
            <w:gridSpan w:val="2"/>
          </w:tcPr>
          <w:p>
            <w:pPr>
              <w:ind w:left="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880" w:type="dxa"/>
            <w:vAlign w:val="bottom"/>
            <w:gridSpan w:val="4"/>
          </w:tcPr>
          <w:p>
            <w:pPr>
              <w:ind w:left="140"/>
              <w:spacing w:after="0" w:line="131" w:lineRule="exact"/>
              <w:rPr>
                <w:sz w:val="20"/>
                <w:szCs w:val="20"/>
                <w:color w:val="auto"/>
              </w:rPr>
            </w:pPr>
            <w:r>
              <w:rPr>
                <w:rFonts w:ascii="Arial" w:cs="Arial" w:eastAsia="Arial" w:hAnsi="Arial"/>
                <w:sz w:val="13"/>
                <w:szCs w:val="13"/>
                <w:b w:val="1"/>
                <w:bCs w:val="1"/>
                <w:color w:val="auto"/>
                <w:w w:val="83"/>
              </w:rPr>
              <w:t>Stockholders’</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vMerge w:val="restart"/>
          </w:tcPr>
          <w:p>
            <w:pPr>
              <w:jc w:val="right"/>
              <w:ind w:right="9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line="20" w:lineRule="exact"/>
              <w:rPr>
                <w:sz w:val="1"/>
                <w:szCs w:val="1"/>
                <w:color w:val="auto"/>
              </w:rPr>
            </w:pPr>
          </w:p>
        </w:tc>
        <w:tc>
          <w:tcPr>
            <w:tcW w:w="68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56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Shares</w:t>
            </w:r>
          </w:p>
        </w:tc>
        <w:tc>
          <w:tcPr>
            <w:tcW w:w="500" w:type="dxa"/>
            <w:vAlign w:val="bottom"/>
            <w:gridSpan w:val="3"/>
          </w:tcPr>
          <w:p>
            <w:pPr>
              <w:ind w:left="40"/>
              <w:spacing w:after="0" w:line="129"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vMerge w:val="continue"/>
          </w:tcPr>
          <w:p>
            <w:pPr>
              <w:spacing w:after="0"/>
              <w:rPr>
                <w:sz w:val="11"/>
                <w:szCs w:val="11"/>
                <w:color w:val="auto"/>
              </w:rPr>
            </w:pPr>
          </w:p>
        </w:tc>
        <w:tc>
          <w:tcPr>
            <w:tcW w:w="760" w:type="dxa"/>
            <w:vAlign w:val="bottom"/>
            <w:gridSpan w:val="2"/>
          </w:tcPr>
          <w:p>
            <w:pPr>
              <w:ind w:left="120"/>
              <w:spacing w:after="0" w:line="129" w:lineRule="exact"/>
              <w:rPr>
                <w:sz w:val="20"/>
                <w:szCs w:val="20"/>
                <w:color w:val="auto"/>
              </w:rPr>
            </w:pPr>
            <w:r>
              <w:rPr>
                <w:rFonts w:ascii="Arial" w:cs="Arial" w:eastAsia="Arial" w:hAnsi="Arial"/>
                <w:sz w:val="13"/>
                <w:szCs w:val="13"/>
                <w:b w:val="1"/>
                <w:bCs w:val="1"/>
                <w:color w:val="auto"/>
              </w:rPr>
              <w:t>Shares</w:t>
            </w:r>
          </w:p>
        </w:tc>
        <w:tc>
          <w:tcPr>
            <w:tcW w:w="500" w:type="dxa"/>
            <w:vAlign w:val="bottom"/>
            <w:gridSpan w:val="3"/>
          </w:tcPr>
          <w:p>
            <w:pPr>
              <w:jc w:val="right"/>
              <w:spacing w:after="0" w:line="129"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vMerge w:val="continue"/>
          </w:tcPr>
          <w:p>
            <w:pPr>
              <w:spacing w:after="0"/>
              <w:rPr>
                <w:sz w:val="11"/>
                <w:szCs w:val="11"/>
                <w:color w:val="auto"/>
              </w:rPr>
            </w:pPr>
          </w:p>
        </w:tc>
        <w:tc>
          <w:tcPr>
            <w:tcW w:w="920" w:type="dxa"/>
            <w:vAlign w:val="bottom"/>
            <w:gridSpan w:val="2"/>
          </w:tcPr>
          <w:p>
            <w:pPr>
              <w:ind w:left="220"/>
              <w:spacing w:after="0" w:line="129" w:lineRule="exact"/>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jc w:val="right"/>
              <w:ind w:right="8"/>
              <w:spacing w:after="0" w:line="129"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December 31, 2022</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2,842,158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187,812,072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$2,068,867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(902)</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$(1,568,338)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499,638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5"/>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48,226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48,226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restricted stock shares</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issued for services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1,112,864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tcPr>
          <w:p>
            <w:pPr>
              <w:spacing w:after="0" w:line="130" w:lineRule="exact"/>
              <w:rPr>
                <w:sz w:val="20"/>
                <w:szCs w:val="20"/>
                <w:color w:val="auto"/>
              </w:rPr>
            </w:pPr>
            <w:r>
              <w:rPr>
                <w:rFonts w:ascii="Arial" w:cs="Arial" w:eastAsia="Arial" w:hAnsi="Arial"/>
                <w:sz w:val="14"/>
                <w:szCs w:val="14"/>
                <w:color w:val="auto"/>
                <w:w w:val="95"/>
              </w:rPr>
              <w:t>Tax payments related to shares retired</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40" w:type="dxa"/>
            <w:vAlign w:val="bottom"/>
            <w:gridSpan w:val="2"/>
          </w:tcPr>
          <w:p>
            <w:pPr>
              <w:spacing w:after="0"/>
              <w:rPr>
                <w:sz w:val="20"/>
                <w:szCs w:val="20"/>
                <w:color w:val="auto"/>
              </w:rPr>
            </w:pPr>
            <w:r>
              <w:rPr>
                <w:rFonts w:ascii="Arial" w:cs="Arial" w:eastAsia="Arial" w:hAnsi="Arial"/>
                <w:sz w:val="14"/>
                <w:szCs w:val="14"/>
                <w:color w:val="auto"/>
              </w:rPr>
              <w:t>for vested restricted stock units</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(405,539)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(2,609)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Common stock issued upon purchase</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w w:val="95"/>
              </w:rPr>
              <w:t>through employee stock purchase plan</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226,196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1,271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tcPr>
          <w:p>
            <w:pPr>
              <w:spacing w:after="0" w:line="130" w:lineRule="exact"/>
              <w:rPr>
                <w:sz w:val="20"/>
                <w:szCs w:val="20"/>
                <w:color w:val="auto"/>
              </w:rPr>
            </w:pPr>
            <w:r>
              <w:rPr>
                <w:rFonts w:ascii="Arial" w:cs="Arial" w:eastAsia="Arial" w:hAnsi="Arial"/>
                <w:sz w:val="14"/>
                <w:szCs w:val="14"/>
                <w:color w:val="auto"/>
              </w:rPr>
              <w:t>Common stock issued upon exercise</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40" w:type="dxa"/>
            <w:vAlign w:val="bottom"/>
            <w:gridSpan w:val="2"/>
          </w:tcPr>
          <w:p>
            <w:pPr>
              <w:spacing w:after="0"/>
              <w:rPr>
                <w:sz w:val="20"/>
                <w:szCs w:val="20"/>
                <w:color w:val="auto"/>
              </w:rPr>
            </w:pPr>
            <w:r>
              <w:rPr>
                <w:rFonts w:ascii="Arial" w:cs="Arial" w:eastAsia="Arial" w:hAnsi="Arial"/>
                <w:sz w:val="14"/>
                <w:szCs w:val="14"/>
                <w:color w:val="auto"/>
              </w:rPr>
              <w:t>of stock options</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7,860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sold in public and/or</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at the market offerings, net of offering</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costs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67,080,226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463,277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463,280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Unrealized loss on investments</w:t>
            </w: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5"/>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 cumulative</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translation adjustment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5"/>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5"/>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(327,658)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(327,658)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September 30, 2023</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2,842,158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255,833,679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2,579,087</w:t>
            </w:r>
          </w:p>
        </w:tc>
        <w:tc>
          <w:tcPr>
            <w:tcW w:w="200" w:type="dxa"/>
            <w:vAlign w:val="bottom"/>
            <w:tcBorders>
              <w:top w:val="single" w:sz="8" w:color="CCEEFF"/>
            </w:tcBorders>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(9,097)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u w:val="single" w:color="auto"/>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(1,895,996)</w:t>
            </w:r>
          </w:p>
        </w:tc>
        <w:tc>
          <w:tcPr>
            <w:tcW w:w="220" w:type="dxa"/>
            <w:vAlign w:val="bottom"/>
            <w:tcBorders>
              <w:top w:val="single" w:sz="8" w:color="CCEEFF"/>
            </w:tcBorders>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674,008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December 31, 2021</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2,842,158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157,004,742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$1,794,695</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$(1,172,445)</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621,659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5"/>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64,513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64,513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Common stock issued upon purchase</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w w:val="95"/>
              </w:rPr>
              <w:t>through employee stock purchase plan</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80,203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tcPr>
          <w:p>
            <w:pPr>
              <w:spacing w:after="0" w:line="130" w:lineRule="exact"/>
              <w:rPr>
                <w:sz w:val="20"/>
                <w:szCs w:val="20"/>
                <w:color w:val="auto"/>
              </w:rPr>
            </w:pPr>
            <w:r>
              <w:rPr>
                <w:rFonts w:ascii="Arial" w:cs="Arial" w:eastAsia="Arial" w:hAnsi="Arial"/>
                <w:sz w:val="14"/>
                <w:szCs w:val="14"/>
                <w:color w:val="auto"/>
                <w:w w:val="98"/>
              </w:rPr>
              <w:t>Vesting of restricted shares issued for</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40" w:type="dxa"/>
            <w:vAlign w:val="bottom"/>
            <w:gridSpan w:val="2"/>
          </w:tcPr>
          <w:p>
            <w:pPr>
              <w:spacing w:after="0"/>
              <w:rPr>
                <w:sz w:val="20"/>
                <w:szCs w:val="20"/>
                <w:color w:val="auto"/>
              </w:rPr>
            </w:pPr>
            <w:r>
              <w:rPr>
                <w:rFonts w:ascii="Arial" w:cs="Arial" w:eastAsia="Arial" w:hAnsi="Arial"/>
                <w:sz w:val="14"/>
                <w:szCs w:val="14"/>
                <w:color w:val="auto"/>
              </w:rPr>
              <w:t>services</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898,392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Tax payments related to shares retired</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for vested restricted stock units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(346,335)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(2,649)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tcPr>
          <w:p>
            <w:pPr>
              <w:spacing w:after="0" w:line="130" w:lineRule="exact"/>
              <w:rPr>
                <w:sz w:val="20"/>
                <w:szCs w:val="20"/>
                <w:color w:val="auto"/>
              </w:rPr>
            </w:pPr>
            <w:r>
              <w:rPr>
                <w:rFonts w:ascii="Arial" w:cs="Arial" w:eastAsia="Arial" w:hAnsi="Arial"/>
                <w:sz w:val="14"/>
                <w:szCs w:val="14"/>
                <w:color w:val="auto"/>
              </w:rPr>
              <w:t>Common stock issued upon exercise</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40" w:type="dxa"/>
            <w:vAlign w:val="bottom"/>
            <w:gridSpan w:val="2"/>
          </w:tcPr>
          <w:p>
            <w:pPr>
              <w:spacing w:after="0"/>
              <w:rPr>
                <w:sz w:val="20"/>
                <w:szCs w:val="20"/>
                <w:color w:val="auto"/>
              </w:rPr>
            </w:pPr>
            <w:r>
              <w:rPr>
                <w:rFonts w:ascii="Arial" w:cs="Arial" w:eastAsia="Arial" w:hAnsi="Arial"/>
                <w:sz w:val="14"/>
                <w:szCs w:val="14"/>
                <w:color w:val="auto"/>
              </w:rPr>
              <w:t>of stock options</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203,579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1,642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loss on investments</w:t>
            </w: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5"/>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5"/>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(290,574)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(290,574)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September 30, 2022</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2,842,158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157,840,581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1,858,783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(2,038)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(1,463,019)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393,736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w w:val="89"/>
              </w:rPr>
              <w:t>2022</w:t>
            </w:r>
          </w:p>
        </w:tc>
        <w:tc>
          <w:tcPr>
            <w:tcW w:w="28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(327,658)</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(290,574)</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6640" w:type="dxa"/>
            <w:vAlign w:val="bottom"/>
          </w:tcPr>
          <w:p>
            <w:pPr>
              <w:ind w:left="10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48,226</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64,513</w:t>
            </w:r>
          </w:p>
        </w:tc>
        <w:tc>
          <w:tcPr>
            <w:tcW w:w="280" w:type="dxa"/>
            <w:vAlign w:val="bottom"/>
          </w:tcPr>
          <w:p>
            <w:pPr>
              <w:spacing w:after="0"/>
              <w:rPr>
                <w:sz w:val="18"/>
                <w:szCs w:val="18"/>
                <w:color w:val="auto"/>
              </w:rPr>
            </w:pPr>
          </w:p>
        </w:tc>
      </w:tr>
      <w:tr>
        <w:trPr>
          <w:trHeight w:val="216"/>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Unrealized exchange gains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ind w:left="10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5,939</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right-of-use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w:t>
            </w:r>
          </w:p>
        </w:tc>
        <w:tc>
          <w:tcPr>
            <w:tcW w:w="280" w:type="dxa"/>
            <w:vAlign w:val="bottom"/>
            <w:shd w:val="clear" w:color="auto" w:fill="CCEEFF"/>
          </w:tcPr>
          <w:p>
            <w:pPr>
              <w:spacing w:after="0"/>
              <w:rPr>
                <w:sz w:val="18"/>
                <w:szCs w:val="18"/>
                <w:color w:val="auto"/>
              </w:rPr>
            </w:pPr>
          </w:p>
        </w:tc>
      </w:tr>
      <w:tr>
        <w:trPr>
          <w:trHeight w:val="216"/>
        </w:trPr>
        <w:tc>
          <w:tcPr>
            <w:tcW w:w="6640" w:type="dxa"/>
            <w:vAlign w:val="bottom"/>
          </w:tcPr>
          <w:p>
            <w:pPr>
              <w:ind w:left="100"/>
              <w:spacing w:after="0"/>
              <w:rPr>
                <w:sz w:val="20"/>
                <w:szCs w:val="20"/>
                <w:color w:val="auto"/>
              </w:rPr>
            </w:pPr>
            <w:r>
              <w:rPr>
                <w:rFonts w:ascii="Arial" w:cs="Arial" w:eastAsia="Arial" w:hAnsi="Arial"/>
                <w:sz w:val="18"/>
                <w:szCs w:val="18"/>
                <w:color w:val="auto"/>
              </w:rPr>
              <w:t>Depreciation and amortization of property and equipment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8,619</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6,496</w:t>
            </w:r>
          </w:p>
        </w:tc>
        <w:tc>
          <w:tcPr>
            <w:tcW w:w="280" w:type="dxa"/>
            <w:vAlign w:val="bottom"/>
          </w:tcPr>
          <w:p>
            <w:pPr>
              <w:spacing w:after="0"/>
              <w:rPr>
                <w:sz w:val="18"/>
                <w:szCs w:val="18"/>
                <w:color w:val="auto"/>
              </w:rPr>
            </w:pPr>
          </w:p>
        </w:tc>
      </w:tr>
      <w:tr>
        <w:trPr>
          <w:trHeight w:val="216"/>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tax benefit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(1,720)</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ind w:left="100"/>
              <w:spacing w:after="0"/>
              <w:rPr>
                <w:sz w:val="20"/>
                <w:szCs w:val="20"/>
                <w:color w:val="auto"/>
              </w:rPr>
            </w:pPr>
            <w:r>
              <w:rPr>
                <w:rFonts w:ascii="Arial" w:cs="Arial" w:eastAsia="Arial" w:hAnsi="Arial"/>
                <w:sz w:val="18"/>
                <w:szCs w:val="18"/>
                <w:color w:val="auto"/>
              </w:rPr>
              <w:t>Accretion of discounts and premiums on investments</w:t>
            </w: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(1,878)</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1,128</w:t>
            </w:r>
          </w:p>
        </w:tc>
        <w:tc>
          <w:tcPr>
            <w:tcW w:w="280" w:type="dxa"/>
            <w:vAlign w:val="bottom"/>
          </w:tcPr>
          <w:p>
            <w:pPr>
              <w:spacing w:after="0"/>
              <w:rPr>
                <w:sz w:val="18"/>
                <w:szCs w:val="18"/>
                <w:color w:val="auto"/>
              </w:rPr>
            </w:pPr>
          </w:p>
        </w:tc>
      </w:tr>
      <w:tr>
        <w:trPr>
          <w:trHeight w:val="216"/>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write-off of fixed assets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other assets and long-term assets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(4,914)</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(4,976)</w:t>
            </w:r>
          </w:p>
        </w:tc>
      </w:tr>
      <w:tr>
        <w:trPr>
          <w:trHeight w:val="216"/>
        </w:trPr>
        <w:tc>
          <w:tcPr>
            <w:tcW w:w="6640" w:type="dxa"/>
            <w:vAlign w:val="bottom"/>
          </w:tcPr>
          <w:p>
            <w:pPr>
              <w:ind w:left="10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(9,195)</w:t>
            </w:r>
          </w:p>
        </w:tc>
        <w:tc>
          <w:tcPr>
            <w:tcW w:w="5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(8,074)</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80" w:type="dxa"/>
            <w:vAlign w:val="bottom"/>
            <w:shd w:val="clear" w:color="auto" w:fill="CCEEFF"/>
          </w:tcPr>
          <w:p>
            <w:pPr>
              <w:spacing w:after="0"/>
              <w:rPr>
                <w:sz w:val="18"/>
                <w:szCs w:val="18"/>
                <w:color w:val="auto"/>
              </w:rPr>
            </w:pPr>
          </w:p>
        </w:tc>
      </w:tr>
      <w:tr>
        <w:trPr>
          <w:trHeight w:val="216"/>
        </w:trPr>
        <w:tc>
          <w:tcPr>
            <w:tcW w:w="664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(6,595)</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4,327</w:t>
            </w:r>
          </w:p>
        </w:tc>
        <w:tc>
          <w:tcPr>
            <w:tcW w:w="280" w:type="dxa"/>
            <w:vAlign w:val="bottom"/>
          </w:tcPr>
          <w:p>
            <w:pPr>
              <w:spacing w:after="0"/>
              <w:rPr>
                <w:sz w:val="18"/>
                <w:szCs w:val="18"/>
                <w:color w:val="auto"/>
              </w:rPr>
            </w:pPr>
          </w:p>
        </w:tc>
      </w:tr>
      <w:tr>
        <w:trPr>
          <w:trHeight w:val="216"/>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(5,612)</w:t>
            </w:r>
          </w:p>
        </w:tc>
      </w:tr>
      <w:tr>
        <w:trPr>
          <w:trHeight w:val="209"/>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(277,850)</w:t>
            </w:r>
          </w:p>
        </w:tc>
        <w:tc>
          <w:tcPr>
            <w:tcW w:w="2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(215,086)</w:t>
            </w:r>
          </w:p>
        </w:tc>
        <w:tc>
          <w:tcPr>
            <w:tcW w:w="280" w:type="dxa"/>
            <w:vAlign w:val="bottom"/>
            <w:tcBorders>
              <w:bottom w:val="single" w:sz="8" w:color="CCEEFF"/>
            </w:tcBorders>
          </w:tcPr>
          <w:p>
            <w:pPr>
              <w:spacing w:after="0"/>
              <w:rPr>
                <w:sz w:val="18"/>
                <w:szCs w:val="18"/>
                <w:color w:val="auto"/>
              </w:rPr>
            </w:pPr>
          </w:p>
        </w:tc>
      </w:tr>
      <w:tr>
        <w:trPr>
          <w:trHeight w:val="210"/>
        </w:trPr>
        <w:tc>
          <w:tcPr>
            <w:tcW w:w="6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Maturities of investments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247,583</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423,586</w:t>
            </w:r>
          </w:p>
        </w:tc>
        <w:tc>
          <w:tcPr>
            <w:tcW w:w="280" w:type="dxa"/>
            <w:vAlign w:val="bottom"/>
            <w:shd w:val="clear" w:color="auto" w:fill="CCEEFF"/>
          </w:tcPr>
          <w:p>
            <w:pPr>
              <w:spacing w:after="0"/>
              <w:rPr>
                <w:sz w:val="18"/>
                <w:szCs w:val="18"/>
                <w:color w:val="auto"/>
              </w:rPr>
            </w:pPr>
          </w:p>
        </w:tc>
      </w:tr>
      <w:tr>
        <w:trPr>
          <w:trHeight w:val="216"/>
        </w:trPr>
        <w:tc>
          <w:tcPr>
            <w:tcW w:w="6640" w:type="dxa"/>
            <w:vAlign w:val="bottom"/>
          </w:tcPr>
          <w:p>
            <w:pPr>
              <w:ind w:left="100"/>
              <w:spacing w:after="0"/>
              <w:rPr>
                <w:sz w:val="20"/>
                <w:szCs w:val="20"/>
                <w:color w:val="auto"/>
              </w:rPr>
            </w:pPr>
            <w:r>
              <w:rPr>
                <w:rFonts w:ascii="Arial" w:cs="Arial" w:eastAsia="Arial" w:hAnsi="Arial"/>
                <w:sz w:val="18"/>
                <w:szCs w:val="18"/>
                <w:color w:val="auto"/>
              </w:rPr>
              <w:t>Purchase of investments</w:t>
            </w: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(98,333)</w:t>
            </w:r>
          </w:p>
        </w:tc>
        <w:tc>
          <w:tcPr>
            <w:tcW w:w="5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(150,189)</w:t>
            </w:r>
          </w:p>
        </w:tc>
      </w:tr>
      <w:tr>
        <w:trPr>
          <w:trHeight w:val="216"/>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paid for acquisition, net of cash acquired</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(212,886)</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ind w:left="10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(18,761)</w:t>
            </w:r>
          </w:p>
        </w:tc>
        <w:tc>
          <w:tcPr>
            <w:tcW w:w="5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(17,403)</w:t>
            </w: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(82,397)</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255,994</w:t>
            </w:r>
          </w:p>
        </w:tc>
        <w:tc>
          <w:tcPr>
            <w:tcW w:w="280" w:type="dxa"/>
            <w:vAlign w:val="bottom"/>
            <w:tcBorders>
              <w:top w:val="single" w:sz="8" w:color="CCEEFF"/>
            </w:tcBorders>
            <w:shd w:val="clear" w:color="auto" w:fill="CCEEFF"/>
          </w:tcPr>
          <w:p>
            <w:pPr>
              <w:spacing w:after="0"/>
              <w:rPr>
                <w:sz w:val="18"/>
                <w:szCs w:val="18"/>
                <w:color w:val="auto"/>
              </w:rPr>
            </w:pPr>
          </w:p>
        </w:tc>
      </w:tr>
      <w:tr>
        <w:trPr>
          <w:trHeight w:val="210"/>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6640" w:type="dxa"/>
            <w:vAlign w:val="bottom"/>
          </w:tcPr>
          <w:p>
            <w:pPr>
              <w:ind w:left="100"/>
              <w:spacing w:after="0"/>
              <w:rPr>
                <w:sz w:val="20"/>
                <w:szCs w:val="20"/>
                <w:color w:val="auto"/>
              </w:rPr>
            </w:pPr>
            <w:r>
              <w:rPr>
                <w:rFonts w:ascii="Arial" w:cs="Arial" w:eastAsia="Arial" w:hAnsi="Arial"/>
                <w:sz w:val="18"/>
                <w:szCs w:val="18"/>
                <w:color w:val="auto"/>
              </w:rPr>
              <w:t>Tax payments related to shares withheld for vested restricted stock units</w:t>
            </w: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(2,609)</w:t>
            </w:r>
          </w:p>
        </w:tc>
        <w:tc>
          <w:tcPr>
            <w:tcW w:w="5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(2,649)</w:t>
            </w:r>
          </w:p>
        </w:tc>
      </w:tr>
      <w:tr>
        <w:trPr>
          <w:trHeight w:val="216"/>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Proceeds from the issuance of common stock under employee stock purchase plan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80" w:type="dxa"/>
            <w:vAlign w:val="bottom"/>
            <w:shd w:val="clear" w:color="auto" w:fill="CCEEFF"/>
          </w:tcPr>
          <w:p>
            <w:pPr>
              <w:spacing w:after="0"/>
              <w:rPr>
                <w:sz w:val="18"/>
                <w:szCs w:val="18"/>
                <w:color w:val="auto"/>
              </w:rPr>
            </w:pPr>
          </w:p>
        </w:tc>
      </w:tr>
      <w:tr>
        <w:trPr>
          <w:trHeight w:val="216"/>
        </w:trPr>
        <w:tc>
          <w:tcPr>
            <w:tcW w:w="6640" w:type="dxa"/>
            <w:vAlign w:val="bottom"/>
          </w:tcPr>
          <w:p>
            <w:pPr>
              <w:ind w:left="100"/>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1,642</w:t>
            </w:r>
          </w:p>
        </w:tc>
        <w:tc>
          <w:tcPr>
            <w:tcW w:w="280" w:type="dxa"/>
            <w:vAlign w:val="bottom"/>
          </w:tcPr>
          <w:p>
            <w:pPr>
              <w:spacing w:after="0"/>
              <w:rPr>
                <w:sz w:val="18"/>
                <w:szCs w:val="18"/>
                <w:color w:val="auto"/>
              </w:rPr>
            </w:pPr>
          </w:p>
        </w:tc>
      </w:tr>
      <w:tr>
        <w:trPr>
          <w:trHeight w:val="216"/>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issuance of common stock,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463,280</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461,997</w:t>
            </w:r>
          </w:p>
        </w:tc>
        <w:tc>
          <w:tcPr>
            <w:tcW w:w="2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80" w:type="dxa"/>
            <w:vAlign w:val="bottom"/>
            <w:tcBorders>
              <w:bottom w:val="single" w:sz="8" w:color="CCEEFF"/>
            </w:tcBorders>
          </w:tcPr>
          <w:p>
            <w:pPr>
              <w:spacing w:after="0"/>
              <w:rPr>
                <w:sz w:val="18"/>
                <w:szCs w:val="18"/>
                <w:color w:val="auto"/>
              </w:rPr>
            </w:pPr>
          </w:p>
        </w:tc>
      </w:tr>
      <w:tr>
        <w:trPr>
          <w:trHeight w:val="20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exchange rate changes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95,989</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40,483</w:t>
            </w:r>
          </w:p>
        </w:tc>
        <w:tc>
          <w:tcPr>
            <w:tcW w:w="2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238,161</w:t>
            </w: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84,313</w:t>
            </w:r>
          </w:p>
        </w:tc>
        <w:tc>
          <w:tcPr>
            <w:tcW w:w="280" w:type="dxa"/>
            <w:vAlign w:val="bottom"/>
            <w:shd w:val="clear" w:color="auto" w:fill="CCEEFF"/>
          </w:tcPr>
          <w:p>
            <w:pPr>
              <w:spacing w:after="0"/>
              <w:rPr>
                <w:sz w:val="18"/>
                <w:szCs w:val="18"/>
                <w:color w:val="auto"/>
              </w:rPr>
            </w:pPr>
          </w:p>
        </w:tc>
      </w:tr>
      <w:tr>
        <w:trPr>
          <w:trHeight w:val="25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334,150</w:t>
            </w:r>
          </w:p>
        </w:tc>
        <w:tc>
          <w:tcPr>
            <w:tcW w:w="26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124,796</w:t>
            </w:r>
          </w:p>
        </w:tc>
        <w:tc>
          <w:tcPr>
            <w:tcW w:w="280" w:type="dxa"/>
            <w:vAlign w:val="bottom"/>
            <w:tcBorders>
              <w:bottom w:val="single" w:sz="8" w:color="CCEEFF"/>
            </w:tcBorders>
          </w:tcPr>
          <w:p>
            <w:pPr>
              <w:spacing w:after="0"/>
              <w:rPr>
                <w:sz w:val="21"/>
                <w:szCs w:val="21"/>
                <w:color w:val="auto"/>
              </w:rPr>
            </w:pPr>
          </w:p>
        </w:tc>
      </w:tr>
      <w:tr>
        <w:trPr>
          <w:trHeight w:val="196"/>
        </w:trPr>
        <w:tc>
          <w:tcPr>
            <w:tcW w:w="6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43"/>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Fair value of net assets acquired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222,637</w:t>
            </w: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ind w:left="100"/>
              <w:spacing w:after="0"/>
              <w:rPr>
                <w:sz w:val="20"/>
                <w:szCs w:val="20"/>
                <w:color w:val="auto"/>
              </w:rPr>
            </w:pPr>
            <w:r>
              <w:rPr>
                <w:rFonts w:ascii="Arial" w:cs="Arial" w:eastAsia="Arial" w:hAnsi="Arial"/>
                <w:sz w:val="18"/>
                <w:szCs w:val="18"/>
                <w:color w:val="auto"/>
              </w:rPr>
              <w:t>Net unrealized gain (loss) on investments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912</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(1,437)</w:t>
            </w:r>
          </w:p>
        </w:tc>
      </w:tr>
      <w:tr>
        <w:trPr>
          <w:trHeight w:val="202"/>
        </w:trPr>
        <w:tc>
          <w:tcPr>
            <w:tcW w:w="66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Acquisition of property and equipment included in accounts payable and accrued</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280" w:type="dxa"/>
            <w:vAlign w:val="bottom"/>
            <w:shd w:val="clear" w:color="auto" w:fill="CCEEFF"/>
          </w:tcPr>
          <w:p>
            <w:pPr>
              <w:spacing w:after="0"/>
              <w:rPr>
                <w:sz w:val="20"/>
                <w:szCs w:val="20"/>
                <w:color w:val="auto"/>
              </w:rPr>
            </w:pPr>
          </w:p>
        </w:tc>
      </w:tr>
      <w:tr>
        <w:trPr>
          <w:trHeight w:val="216"/>
        </w:trPr>
        <w:tc>
          <w:tcPr>
            <w:tcW w:w="6640" w:type="dxa"/>
            <w:vAlign w:val="bottom"/>
          </w:tcPr>
          <w:p>
            <w:pPr>
              <w:ind w:left="100"/>
              <w:spacing w:after="0"/>
              <w:rPr>
                <w:sz w:val="20"/>
                <w:szCs w:val="20"/>
                <w:color w:val="auto"/>
              </w:rPr>
            </w:pPr>
            <w:r>
              <w:rPr>
                <w:rFonts w:ascii="Arial" w:cs="Arial" w:eastAsia="Arial" w:hAnsi="Arial"/>
                <w:sz w:val="18"/>
                <w:szCs w:val="18"/>
                <w:color w:val="auto"/>
              </w:rPr>
              <w:t>Accrued capitalized acquisition 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liabilities arising from obtaining right-of-use asset from new leases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80" w:type="dxa"/>
            <w:vAlign w:val="bottom"/>
            <w:shd w:val="clear" w:color="auto" w:fill="CCEEFF"/>
          </w:tcPr>
          <w:p>
            <w:pPr>
              <w:spacing w:after="0"/>
              <w:rPr>
                <w:sz w:val="21"/>
                <w:szCs w:val="21"/>
                <w:color w:val="auto"/>
              </w:rPr>
            </w:pPr>
          </w:p>
        </w:tc>
      </w:tr>
      <w:tr>
        <w:trPr>
          <w:trHeight w:val="230"/>
        </w:trPr>
        <w:tc>
          <w:tcPr>
            <w:tcW w:w="6640" w:type="dxa"/>
            <w:vAlign w:val="bottom"/>
          </w:tcPr>
          <w:p>
            <w:pPr>
              <w:ind w:left="100"/>
              <w:spacing w:after="0"/>
              <w:rPr>
                <w:sz w:val="20"/>
                <w:szCs w:val="20"/>
                <w:color w:val="auto"/>
              </w:rPr>
            </w:pPr>
            <w:r>
              <w:rPr>
                <w:rFonts w:ascii="Arial" w:cs="Arial" w:eastAsia="Arial" w:hAnsi="Arial"/>
                <w:sz w:val="18"/>
                <w:szCs w:val="18"/>
                <w:color w:val="auto"/>
              </w:rPr>
              <w:t>Lease liabilities arising from obtaining right-of-use asset from lease modifications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1,929</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7,664</w:t>
            </w:r>
          </w:p>
        </w:tc>
        <w:tc>
          <w:tcPr>
            <w:tcW w:w="280" w:type="dxa"/>
            <w:vAlign w:val="bottom"/>
          </w:tcPr>
          <w:p>
            <w:pPr>
              <w:spacing w:after="0"/>
              <w:rPr>
                <w:sz w:val="20"/>
                <w:szCs w:val="20"/>
                <w:color w:val="auto"/>
              </w:rPr>
            </w:pPr>
          </w:p>
        </w:tc>
      </w:tr>
    </w:tbl>
    <w:p>
      <w:pPr>
        <w:spacing w:after="0" w:line="18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BUSINESS AND LIQUIDITY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Organization and Business</w:t>
      </w:r>
    </w:p>
    <w:p>
      <w:pPr>
        <w:spacing w:after="0" w:line="185" w:lineRule="exact"/>
        <w:rPr>
          <w:sz w:val="20"/>
          <w:szCs w:val="20"/>
          <w:color w:val="auto"/>
        </w:rPr>
      </w:pPr>
    </w:p>
    <w:p>
      <w:pPr>
        <w:ind w:right="60" w:firstLine="492"/>
        <w:spacing w:after="0" w:line="270" w:lineRule="auto"/>
        <w:rPr>
          <w:sz w:val="20"/>
          <w:szCs w:val="20"/>
          <w:color w:val="auto"/>
        </w:rPr>
      </w:pPr>
      <w:r>
        <w:rPr>
          <w:rFonts w:ascii="Arial" w:cs="Arial" w:eastAsia="Arial" w:hAnsi="Arial"/>
          <w:sz w:val="17"/>
          <w:szCs w:val="17"/>
          <w:color w:val="auto"/>
        </w:rPr>
        <w:t>Iovance Biotherapeutics, Inc. (the “Company”) is a biopharmaceutical company pioneering a transformational approach to treating cancer by harnessing the human immune system’s ability to recognize and destroy diverse cancer cells using therapies personalized for each patient. The Company’s mission is to be the global leader in innovating, developing and delivering tumor infiltrating lymphocyte (“TIL”) therapies for patients with solid tumor cancers. The Company’s autologous TIL therapy platform uses a centralized, scalable, and proprietary 22-day manufacturing process to grow polyclonal T-cells unique to each patient and yields a cryopreserved, individualized therapy. In May 2023, the Company acquired the worldwide rights to Proleukin® (aldesleukin), a commercialized interleukin-2 (“IL-2”) product used to promote T-cell activity following TIL infusion. The acquisition of Proleukin® provides a new revenue source, secures the IL-2 supply chain and logistics surrounding TIL therapy administration, and lowers cost of goods and clinical trial expenses for Proleukin® used with TIL therapies.</w:t>
      </w:r>
    </w:p>
    <w:p>
      <w:pPr>
        <w:spacing w:after="0" w:line="181" w:lineRule="exact"/>
        <w:rPr>
          <w:sz w:val="20"/>
          <w:szCs w:val="20"/>
          <w:color w:val="auto"/>
        </w:rPr>
      </w:pPr>
    </w:p>
    <w:p>
      <w:pPr>
        <w:ind w:right="20" w:firstLine="537"/>
        <w:spacing w:after="0" w:line="268" w:lineRule="auto"/>
        <w:rPr>
          <w:sz w:val="20"/>
          <w:szCs w:val="20"/>
          <w:color w:val="auto"/>
        </w:rPr>
      </w:pPr>
      <w:r>
        <w:rPr>
          <w:rFonts w:ascii="Arial" w:cs="Arial" w:eastAsia="Arial" w:hAnsi="Arial"/>
          <w:sz w:val="17"/>
          <w:szCs w:val="17"/>
          <w:color w:val="auto"/>
        </w:rPr>
        <w:t>The Company is currently conducting clinical trials to investigate multiple TIL therapies for multiple indications, including its lead product candidate, lifileucel, for advanced, or metastatic or unresectable, melanoma. The Company completed a rolling Biologics License Application (“BLA”) submission to the U.S. Food and Drug Administration (the “FDA”) for lifileucel for patients with advanced melanoma in March 2023, and the FDA accepted its BLA and granted lifileucel Priority Review in May 2023. The FDA originally assigned November 25, 2023 as the target action date for a decision under the Prescription Drug User Free Act (“PDUFA”); the target action date was recently updated by the FDA to February 24, 2024. The Company is also pursuing registrational strategies for lifileucel in advanced cervical cancer and for its TIL therapy LN-145 in metastatic non-small cell lung cancer (“NSCLC”). In addition, the Company is investigating next generation approaches to optimize TIL products, manufacturing processes and treatment regimens, including a first-in-human clinical trial of its lead genetically modified TIL therapy, IOV-4001. The Company is also exploring a shorter manufacturing process, tumor tissue procurement via core biopsy, additional genetically modified TIL therapies including multiple immune checkpoint gene edits, and cytokine-tethered TIL therapies, as well as a novel IL-2 analog, designated IOV-3001, as potential avenues to improve efficacy, manufacturing timelines, sample collection and supportive treatments involved in the overall TIL therapy process and treatment regimen.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Consolidated Financial Information</w:t>
      </w:r>
    </w:p>
    <w:p>
      <w:pPr>
        <w:spacing w:after="0" w:line="185"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The accompanying unaudited condensed consolidated financial statements of the Company for the three and nine months ended September 30, 2023 and 2022 have been prepared in accordance with accounting principles generally accepted in the United States of America (“GAAP”) for interim financial information and pursuant to the requirements for reporting on Form 10-Q and Regulation S-X. Accordingly, they do not include all the information and footnotes required by GAAP for audited financial statements. However, such information reflects all adjustments (consisting solely of normal recurring adjustments), which are, in the opinion of management, necessary for the fair presentation of the Company's financial position and results of operations. Results shown for interim periods are not necessarily indicative of the results that may be expected for the year ended December 31, 2023 or for any other period. The condensed consolidated balance sheet as of December 31, 2022 was derived from the audited consolidated financial statements included in the Company's Annual Report on Form 10-K filed with the U.S. Securities and Exchange Commission (the “SEC”) on February 28, 2023. These interim financial statements should be read in conjunction with that report. The reporting currency of the Company is U.S. dollars. The functional currency for most of its foreign subsidiaries is their local currency.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98"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The Company is currently engaged in the development of therapeutics to fight solid tumor cancers. With the completion of the rolling BLA submission for lifileucel for advanced melanoma in March 2023, the Company expects to generate revenue from the sale of its product lifileucel, if the BLA is approved. Furthermore, upon the completion of the closing of the acquisition of the worldwide rights to Proleukin® (as discussed below in Note 4 - Proleukin® Acquisition) in the second quarter of 2023, the Company generated revenue from the sales of Proleukin® during the three and nine months ended September 30, 2023. However, such revenues for Proleukin® and lifileucel may not be material during the 12 months from the date these condensed consolidated financial statements are issued. The Company has incurred a net loss of $327.7 million for the nine months ended September 30, 2023 and used $277.9 million of cash in its operating activities during the nine months ended September 30, 2023. As of September 30, 2023, the Company</w:t>
      </w:r>
    </w:p>
    <w:p>
      <w:pPr>
        <w:sectPr>
          <w:pgSz w:w="11900" w:h="16838" w:orient="portrait"/>
          <w:cols w:equalWidth="0" w:num="1">
            <w:col w:w="9840"/>
          </w:cols>
          <w:pgMar w:left="980" w:top="665" w:right="1079" w:bottom="1440" w:gutter="0" w:footer="0" w:header="0"/>
        </w:sectPr>
      </w:pP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had $427.8 million in cash, cash equivalents, investments, and restricted cash ($267.7 million of cash and cash equivalents, $93.7 million in short-term investments and $66.4 million in restricted cash).</w:t>
      </w:r>
    </w:p>
    <w:p>
      <w:pPr>
        <w:spacing w:after="0" w:line="170"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The Company expects to continue to incur significant expenses to support its preparations for the commercialization and launch of lifileucel (if approved), including continuing to prepare the Iovance Cell Therapy Center (the “</w:t>
      </w:r>
      <w:r>
        <w:rPr>
          <w:rFonts w:ascii="Arial" w:cs="Arial" w:eastAsia="Arial" w:hAnsi="Arial"/>
          <w:sz w:val="17"/>
          <w:szCs w:val="17"/>
          <w:i w:val="1"/>
          <w:iCs w:val="1"/>
          <w:color w:val="auto"/>
        </w:rPr>
        <w:t>i</w:t>
      </w:r>
      <w:r>
        <w:rPr>
          <w:rFonts w:ascii="Arial" w:cs="Arial" w:eastAsia="Arial" w:hAnsi="Arial"/>
          <w:sz w:val="17"/>
          <w:szCs w:val="17"/>
          <w:color w:val="auto"/>
        </w:rPr>
        <w:t>CTC”), its manufacturing facility in Philadelphia, to support the Company’s ongoing and planned clinical programs, including its NSCLC registration directed study and its frontline advanced melanoma Phase 3 confirmatory trial, TILVANCE-301, to expand the combination of TIL and immune checkpoint inhibitors (“ICI’s”) in ICI naïve patient cohorts, and to support Proleukin® integration activities during 2023 and beyond. Based on the funds the Company has available as of the date these condensed consolidated financial statements are issued, the Company believes that it has sufficient capital to fund its anticipated operating expenses and capital expenditures as planned for at least the next twelve months from the date these condensed consolidated financial statements are issued.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98"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The Company is subject to credit risk from its portfolio of cash, cash equivalents, trade accounts receivable and investments. Under its investment policy, the Company limits amounts invested in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are safety and preservation of principal, diversification of risk, and liquidity of investments sufficient to meet cash flow requirements.</w:t>
      </w:r>
    </w:p>
    <w:p>
      <w:pPr>
        <w:spacing w:after="0" w:line="348" w:lineRule="exact"/>
        <w:rPr>
          <w:sz w:val="20"/>
          <w:szCs w:val="20"/>
          <w:color w:val="auto"/>
        </w:rPr>
      </w:pPr>
    </w:p>
    <w:p>
      <w:pPr>
        <w:ind w:right="4480"/>
        <w:spacing w:after="0" w:line="464" w:lineRule="auto"/>
        <w:rPr>
          <w:sz w:val="20"/>
          <w:szCs w:val="20"/>
          <w:color w:val="auto"/>
        </w:rPr>
      </w:pPr>
      <w:r>
        <w:rPr>
          <w:rFonts w:ascii="Arial" w:cs="Arial" w:eastAsia="Arial" w:hAnsi="Arial"/>
          <w:sz w:val="18"/>
          <w:szCs w:val="18"/>
          <w:b w:val="1"/>
          <w:bCs w:val="1"/>
          <w:u w:val="single" w:color="auto"/>
          <w:color w:val="auto"/>
        </w:rPr>
        <w:t xml:space="preserve">NOTE 2. SUMMARY OF SIGNIFICANT ACCOUNTING POLICIES </w:t>
      </w:r>
      <w:r>
        <w:rPr>
          <w:rFonts w:ascii="Arial" w:cs="Arial" w:eastAsia="Arial" w:hAnsi="Arial"/>
          <w:sz w:val="18"/>
          <w:szCs w:val="18"/>
          <w:b w:val="1"/>
          <w:bCs w:val="1"/>
          <w:i w:val="1"/>
          <w:iCs w:val="1"/>
          <w:color w:val="auto"/>
        </w:rPr>
        <w:t>Cash, Cash Equivalents, and Investments</w:t>
      </w:r>
    </w:p>
    <w:p>
      <w:pPr>
        <w:ind w:firstLine="492"/>
        <w:spacing w:after="0" w:line="268" w:lineRule="auto"/>
        <w:rPr>
          <w:sz w:val="20"/>
          <w:szCs w:val="20"/>
          <w:color w:val="auto"/>
        </w:rPr>
      </w:pPr>
      <w:r>
        <w:rPr>
          <w:rFonts w:ascii="Arial" w:cs="Arial" w:eastAsia="Arial" w:hAnsi="Arial"/>
          <w:sz w:val="17"/>
          <w:szCs w:val="17"/>
          <w:color w:val="auto"/>
        </w:rPr>
        <w:t>The Company’s cash and cash equivalents include short-term investments with original maturities of three months or less when purchased. The Company's investments are classified as “available-for-sale.” The Company includes these investments in current assets or non-current assets in the condensed consolidated balance sheets based on the length of maturity from the reporting date and carries them at fair value. Unrealized gains and losses on available-for-sale securities are recorded in the condensed consolidated statements of comprehensive loss. Impairment losses related to credit losses (if any) are recorded as an allowance for credit losses with an offsetting entry to Interest income, net. No impairment losses related to credit losses were recognized for the three and nine months ended September 30, 2023 and 2022. The cost of debt securities is adjusted for the amortization of premiums and accretion of discounts to maturity. Such amortization and accretion are included in Interest income, net in the condensed consolidated statements of operations. Gains and losses on securities sold are recorded based on the specific identification method and are included in Interest income, net in the condensed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commercial paper, and places restrictions on maturities and concentration by type and issuer, except for securities issued by the U.S. government.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85" w:lineRule="exact"/>
        <w:rPr>
          <w:sz w:val="20"/>
          <w:szCs w:val="20"/>
          <w:color w:val="auto"/>
        </w:rPr>
      </w:pPr>
    </w:p>
    <w:p>
      <w:pPr>
        <w:ind w:right="20" w:firstLine="492"/>
        <w:spacing w:after="0" w:line="286" w:lineRule="auto"/>
        <w:rPr>
          <w:sz w:val="20"/>
          <w:szCs w:val="20"/>
          <w:color w:val="auto"/>
        </w:rPr>
      </w:pPr>
      <w:r>
        <w:rPr>
          <w:rFonts w:ascii="Arial" w:cs="Arial" w:eastAsia="Arial" w:hAnsi="Arial"/>
          <w:sz w:val="16"/>
          <w:szCs w:val="16"/>
          <w:color w:val="auto"/>
        </w:rPr>
        <w:t xml:space="preserve">The Company maintains a required minimum balance in a segregated bank account in connection with its letters of credit for which amounts are restricted as to their use by the Company. Currently, the Company’s letters of credit are primarily comprised of one for the benefit of the landlord for the </w:t>
      </w:r>
      <w:r>
        <w:rPr>
          <w:rFonts w:ascii="Arial" w:cs="Arial" w:eastAsia="Arial" w:hAnsi="Arial"/>
          <w:sz w:val="16"/>
          <w:szCs w:val="16"/>
          <w:i w:val="1"/>
          <w:iCs w:val="1"/>
          <w:color w:val="auto"/>
        </w:rPr>
        <w:t>i</w:t>
      </w:r>
      <w:r>
        <w:rPr>
          <w:rFonts w:ascii="Arial" w:cs="Arial" w:eastAsia="Arial" w:hAnsi="Arial"/>
          <w:sz w:val="16"/>
          <w:szCs w:val="16"/>
          <w:color w:val="auto"/>
        </w:rPr>
        <w:t>CTC used as a security deposit for the lease in the amount $5.45 million and one for $0.6 million for the benefit of the landlord for the Company’s current headquarters’ lease (See Note 12 - Leases), as well as one for $60.0 million, for the future milestone payment as required by the terms of the Option Agreement for the Proleukin® acquisition (See Note 4 – Proleukin® Acquisition). The letter of credit for $5.45 million originally expired on May 28, 2020, however, it automatically extends for additional one-year periods, without written agreement, to May 28 in each succeeding calendar year, through at least 60 days after the lease expiration date. Further, on the expiration of the seventh year of the lease, and each anniversary date thereafter, the letter of credit may be decreased by $1.0 million with a minimum security deposit of $1.5 million maintained through the end of the lease term. The letter of credit with the landlord for the Company’s current headquarters’ lease expires on February 1, 2032, however, it will be automatically extended, without written agreement, for one-year periods to February in each succeeding calendar year. The letter of credit for the $60.0 million expires on May 5, 2024, however, it will be automatically extended, without written agreement, for one-year periods to May in each succeeding calendar year and the final expiration date will be July 20, 2026. Furthermore, the letter of credit will not be automatically extended if a thirty-day written notice is provided prior to the annual extension. As of</w:t>
      </w:r>
    </w:p>
    <w:p>
      <w:pPr>
        <w:sectPr>
          <w:pgSz w:w="11900" w:h="16838" w:orient="portrait"/>
          <w:cols w:equalWidth="0" w:num="1">
            <w:col w:w="9920"/>
          </w:cols>
          <w:pgMar w:left="980" w:top="665"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September 30, 2023 and December 31, 2022, Restricted cash totaled $66.4 million and $6.4 million, respectively, in the Company’s condensed consolidated balance sheets.</w:t>
      </w:r>
    </w:p>
    <w:p>
      <w:pPr>
        <w:spacing w:after="0" w:line="130"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267,720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118,366</w:t>
            </w:r>
          </w:p>
        </w:tc>
      </w:tr>
      <w:tr>
        <w:trPr>
          <w:trHeight w:val="216"/>
        </w:trPr>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66,430</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w:t>
            </w:r>
          </w:p>
        </w:tc>
      </w:tr>
      <w:tr>
        <w:trPr>
          <w:trHeight w:val="209"/>
        </w:trPr>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cash, cash equivalents and restricted cash</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334,150</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124,796</w:t>
            </w:r>
          </w:p>
        </w:tc>
      </w:tr>
      <w:tr>
        <w:trPr>
          <w:trHeight w:val="20"/>
        </w:trPr>
        <w:tc>
          <w:tcPr>
            <w:tcW w:w="7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Acquisitions</w:t>
      </w:r>
    </w:p>
    <w:p>
      <w:pPr>
        <w:spacing w:after="0" w:line="225" w:lineRule="exact"/>
        <w:rPr>
          <w:sz w:val="20"/>
          <w:szCs w:val="20"/>
          <w:color w:val="auto"/>
        </w:rPr>
      </w:pPr>
    </w:p>
    <w:p>
      <w:pPr>
        <w:ind w:right="140" w:firstLine="492"/>
        <w:spacing w:after="0" w:line="273" w:lineRule="auto"/>
        <w:rPr>
          <w:sz w:val="20"/>
          <w:szCs w:val="20"/>
          <w:color w:val="auto"/>
        </w:rPr>
      </w:pPr>
      <w:r>
        <w:rPr>
          <w:rFonts w:ascii="Arial" w:cs="Arial" w:eastAsia="Arial" w:hAnsi="Arial"/>
          <w:sz w:val="17"/>
          <w:szCs w:val="17"/>
          <w:color w:val="auto"/>
        </w:rPr>
        <w:t xml:space="preserve">The Company evaluates acquisitions of assets using the guidance in Accounting Standard Codification (“ASC”) Topic 805, </w:t>
      </w: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(“ASC 805”), to determine whether the transaction should be accounted for as a business combination or asset</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by first applying a screen test to assess if substantially all of the fair value of the gross assets acquired is concentrated in a single identifiable asset or group of assets. If the screen test is met, the transaction is accounted for as an asset acquisition. If the screen test is not met, further assessment is required to determine whether the Company has acquired inputs and processes that have the ability to create outputs, which would meet the requirements of a business.</w:t>
      </w:r>
    </w:p>
    <w:p>
      <w:pPr>
        <w:spacing w:after="0" w:line="137" w:lineRule="exact"/>
        <w:rPr>
          <w:sz w:val="20"/>
          <w:szCs w:val="20"/>
          <w:color w:val="auto"/>
        </w:rPr>
      </w:pPr>
    </w:p>
    <w:p>
      <w:pPr>
        <w:ind w:right="200" w:firstLine="492"/>
        <w:spacing w:after="0" w:line="301" w:lineRule="auto"/>
        <w:rPr>
          <w:sz w:val="20"/>
          <w:szCs w:val="20"/>
          <w:color w:val="auto"/>
        </w:rPr>
      </w:pPr>
      <w:r>
        <w:rPr>
          <w:rFonts w:ascii="Arial" w:cs="Arial" w:eastAsia="Arial" w:hAnsi="Arial"/>
          <w:sz w:val="16"/>
          <w:szCs w:val="16"/>
          <w:color w:val="auto"/>
        </w:rPr>
        <w:t>If the assets acquired do not constitute a business, the Company accounts for asset acquisitions using the cost accumulation and allocation method. Under this method the cost of the acquisition, including direct acquisition-related costs, is allocated to the assets acquired on a relative fair value basis. Goodwill is not recognized in an asset acquisition and any difference between consideration transferred and the fair value of the net assets acquired is allocated to the identifiable assets acquired based on their relative fair values.</w:t>
      </w:r>
    </w:p>
    <w:p>
      <w:pPr>
        <w:spacing w:after="0" w:line="117" w:lineRule="exact"/>
        <w:rPr>
          <w:sz w:val="20"/>
          <w:szCs w:val="20"/>
          <w:color w:val="auto"/>
        </w:rPr>
      </w:pPr>
    </w:p>
    <w:p>
      <w:pPr>
        <w:jc w:val="both"/>
        <w:ind w:right="260" w:firstLine="492"/>
        <w:spacing w:after="0" w:line="263" w:lineRule="auto"/>
        <w:rPr>
          <w:sz w:val="20"/>
          <w:szCs w:val="20"/>
          <w:color w:val="auto"/>
        </w:rPr>
      </w:pPr>
      <w:r>
        <w:rPr>
          <w:rFonts w:ascii="Arial" w:cs="Arial" w:eastAsia="Arial" w:hAnsi="Arial"/>
          <w:sz w:val="18"/>
          <w:szCs w:val="18"/>
          <w:color w:val="auto"/>
        </w:rPr>
        <w:t xml:space="preserve">Deferred tax liabilities arising from basis differences in assets acquired are calculated using the simultaneous equations method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and based on the effective tax rate. The resulting deferred tax liability is recorded in the condensed consolidated balance sheet as of September 30, 2023.</w:t>
      </w:r>
    </w:p>
    <w:p>
      <w:pPr>
        <w:spacing w:after="0" w:line="157" w:lineRule="exact"/>
        <w:rPr>
          <w:sz w:val="20"/>
          <w:szCs w:val="20"/>
          <w:color w:val="auto"/>
        </w:rPr>
      </w:pPr>
    </w:p>
    <w:p>
      <w:pPr>
        <w:ind w:right="120" w:firstLine="492"/>
        <w:spacing w:after="0" w:line="263" w:lineRule="auto"/>
        <w:rPr>
          <w:sz w:val="20"/>
          <w:szCs w:val="20"/>
          <w:color w:val="auto"/>
        </w:rPr>
      </w:pPr>
      <w:r>
        <w:rPr>
          <w:rFonts w:ascii="Arial" w:cs="Arial" w:eastAsia="Arial" w:hAnsi="Arial"/>
          <w:sz w:val="18"/>
          <w:szCs w:val="18"/>
          <w:color w:val="auto"/>
        </w:rPr>
        <w:t xml:space="preserve">Contingent consideration 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is included in the cost of the asset acquisition at its acquisition date fair value. Contingent consideration in the scope of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(ASC “450”), is recognized when it is both probable and reasonably estimable.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and Cost of Sales</w:t>
      </w:r>
    </w:p>
    <w:p>
      <w:pPr>
        <w:spacing w:after="0" w:line="225"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Inventory is stated at the lower of cost or net realizable value. Cost includes amounts related to materials, labor and overhead. Net realizable value is the estimated selling price in the ordinary course of business less reasonably predictable costs of completion, disposal and transportation. Inventories presented in the condensed consolidated balance sheet as of September 30, 2023 pertain solely to Proleukin® and include a step-up of the fair value of inventories as a result of the acquisition of the worldwide rights to Proleukin®. Inventoriable costs incurred such as manufacturing costs for the Company’s product candidates, including lifileucel, are expensed as incurred as research and development expenses prior to regulatory approval. If and when regulatory approval of a product is obtained and the approved product is commercially launched, the Company will begin capitalizing manufacturing costs related to the approved product into inventory.</w:t>
      </w:r>
    </w:p>
    <w:p>
      <w:pPr>
        <w:spacing w:after="0" w:line="151" w:lineRule="exact"/>
        <w:rPr>
          <w:sz w:val="20"/>
          <w:szCs w:val="20"/>
          <w:color w:val="auto"/>
        </w:rPr>
      </w:pPr>
    </w:p>
    <w:p>
      <w:pPr>
        <w:ind w:right="40" w:firstLine="492"/>
        <w:spacing w:after="0" w:line="263" w:lineRule="auto"/>
        <w:rPr>
          <w:sz w:val="20"/>
          <w:szCs w:val="20"/>
          <w:color w:val="auto"/>
        </w:rPr>
      </w:pPr>
      <w:r>
        <w:rPr>
          <w:rFonts w:ascii="Arial" w:cs="Arial" w:eastAsia="Arial" w:hAnsi="Arial"/>
          <w:sz w:val="18"/>
          <w:szCs w:val="18"/>
          <w:color w:val="auto"/>
        </w:rPr>
        <w:t>Cost of sales includes the cost of Proleukin® inventories and other costs that are directly associated with the purchase and sales of Proleukin®. In addition, amortization expense for the fair value step up of Proleukin® inventories and the acquired intangible assets related to the developed technology are included in Cost of Sales.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w:t>
      </w:r>
    </w:p>
    <w:p>
      <w:pPr>
        <w:spacing w:after="0" w:line="185" w:lineRule="exact"/>
        <w:rPr>
          <w:sz w:val="20"/>
          <w:szCs w:val="20"/>
          <w:color w:val="auto"/>
        </w:rPr>
      </w:pPr>
    </w:p>
    <w:p>
      <w:pPr>
        <w:jc w:val="both"/>
        <w:ind w:firstLine="492"/>
        <w:spacing w:after="0" w:line="263" w:lineRule="auto"/>
        <w:rPr>
          <w:sz w:val="20"/>
          <w:szCs w:val="20"/>
          <w:color w:val="auto"/>
        </w:rPr>
      </w:pPr>
      <w:r>
        <w:rPr>
          <w:rFonts w:ascii="Arial" w:cs="Arial" w:eastAsia="Arial" w:hAnsi="Arial"/>
          <w:sz w:val="18"/>
          <w:szCs w:val="18"/>
          <w:color w:val="auto"/>
        </w:rPr>
        <w:t>Trade accounts receivable are recorded net of allowances for product returns and estimated credit losses. The estimate of allowance for credit losses considers factors, including existing contractual payment and the aging of receivable from its customers. To date, the Company has determined that an allowance for doubtful accounts is not required.</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120" w:firstLine="492"/>
        <w:spacing w:after="0" w:line="263" w:lineRule="auto"/>
        <w:rPr>
          <w:sz w:val="20"/>
          <w:szCs w:val="20"/>
          <w:color w:val="auto"/>
        </w:rPr>
      </w:pPr>
      <w:r>
        <w:rPr>
          <w:rFonts w:ascii="Arial" w:cs="Arial" w:eastAsia="Arial" w:hAnsi="Arial"/>
          <w:sz w:val="18"/>
          <w:szCs w:val="18"/>
          <w:color w:val="auto"/>
        </w:rPr>
        <w:t>The Company’s intangible assets are initially measured based on an allocation of the cost of the acquisition to the assets acquired on a relative fair value basis and are recorded net of accumulated amortization. The Company amortizes the intangible assets on a straight-line basis over their estimated useful lives.</w:t>
      </w:r>
    </w:p>
    <w:p>
      <w:pPr>
        <w:spacing w:after="0" w:line="143" w:lineRule="exact"/>
        <w:rPr>
          <w:sz w:val="20"/>
          <w:szCs w:val="20"/>
          <w:color w:val="auto"/>
        </w:rPr>
      </w:pPr>
    </w:p>
    <w:p>
      <w:pPr>
        <w:ind w:right="260" w:firstLine="492"/>
        <w:spacing w:after="0" w:line="259" w:lineRule="auto"/>
        <w:rPr>
          <w:sz w:val="20"/>
          <w:szCs w:val="20"/>
          <w:color w:val="auto"/>
        </w:rPr>
      </w:pPr>
      <w:r>
        <w:rPr>
          <w:rFonts w:ascii="Arial" w:cs="Arial" w:eastAsia="Arial" w:hAnsi="Arial"/>
          <w:sz w:val="18"/>
          <w:szCs w:val="18"/>
          <w:color w:val="auto"/>
        </w:rPr>
        <w:t>When contingent consideration is a component of the cost of an asset acquisition, the Company capitalizes the amount of incremental cost from the contingent consideration related to the intangible asset acquired in the period the underlying contingency is resolved. When this occurs, the Company will recognize amortization expense on the incremental cost prospectively from the date the incremental costs are capitalized.</w:t>
      </w:r>
    </w:p>
    <w:p>
      <w:pPr>
        <w:spacing w:after="0" w:line="160" w:lineRule="exact"/>
        <w:rPr>
          <w:sz w:val="20"/>
          <w:szCs w:val="20"/>
          <w:color w:val="auto"/>
        </w:rPr>
      </w:pPr>
    </w:p>
    <w:p>
      <w:pPr>
        <w:ind w:right="220" w:firstLine="492"/>
        <w:spacing w:after="0" w:line="255" w:lineRule="auto"/>
        <w:rPr>
          <w:sz w:val="20"/>
          <w:szCs w:val="20"/>
          <w:color w:val="auto"/>
        </w:rPr>
      </w:pPr>
      <w:r>
        <w:rPr>
          <w:rFonts w:ascii="Arial" w:cs="Arial" w:eastAsia="Arial" w:hAnsi="Arial"/>
          <w:sz w:val="18"/>
          <w:szCs w:val="18"/>
          <w:color w:val="auto"/>
        </w:rPr>
        <w:t>The Company reviews intangible assets for impairment at least annually and whenever events or changes in circumstances have occurred which could indicate that the carrying value of the assets are not recoverable. If such indicators are present, the Company assesses the recoverability of affected assets by determining if the carrying value of the assets is less than the sum of the undiscounted future cash flows of the assets. If the assets are found to not be recoverable, the Company measures the amount of impairment by comparing the carrying value of the assets to their fair values. The Company determined that no indicators of impairment existed as of September 30, 2023.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40" w:firstLine="492"/>
        <w:spacing w:after="0" w:line="254" w:lineRule="auto"/>
        <w:rPr>
          <w:sz w:val="20"/>
          <w:szCs w:val="20"/>
          <w:color w:val="auto"/>
        </w:rPr>
      </w:pPr>
      <w:r>
        <w:rPr>
          <w:rFonts w:ascii="Arial" w:cs="Arial" w:eastAsia="Arial" w:hAnsi="Arial"/>
          <w:sz w:val="18"/>
          <w:szCs w:val="18"/>
          <w:color w:val="auto"/>
        </w:rPr>
        <w:t>The Company determines if an arrangement includes a lease at inception and thereafter, if modified. Operating leases are included in its condensed consolidated balance sheets as Operating lease right-of-use assets and Operating lease liabilities as of September 30, 2023 and December 31, 2022.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or modification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or modification date.</w:t>
      </w:r>
    </w:p>
    <w:p>
      <w:pPr>
        <w:spacing w:after="0" w:line="165"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and recorded in costs and expenses in the condensed consolidated statements of operations. The Company has elected not to apply the recognition requirements of Accounting Standards Update (“ASU”) No. 2016-02 and No. 2018-10 (together “Topic 842”) for short-term leases.</w:t>
      </w:r>
    </w:p>
    <w:p>
      <w:pPr>
        <w:spacing w:after="0" w:line="121"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For lease agreements entered into by the Company that include lease and non-lease components, such components are generally accounted for separately.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 xml:space="preserve">The Company recognizes revenue from product sales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Under ASC 606, revenue is recognized when a customer obtains control of promised goods or services, in an amount that reflects the consideration which the entity expects to receive in exchange for those goods or services. To the extent the transaction price includes variable consideration, the Company estimates the amount of variable consideration that should be included in the transaction price using the most likely method based on historical experience as well as applicable information currently available.</w:t>
      </w:r>
    </w:p>
    <w:p>
      <w:pPr>
        <w:spacing w:after="0" w:line="134"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color w:val="auto"/>
        </w:rPr>
        <w:t>Indirect taxes collected from customers and remitted to government authorities that are related to sales of the Company’s products, primarily in Europe, are excluded from revenues.</w:t>
      </w:r>
    </w:p>
    <w:p>
      <w:pPr>
        <w:spacing w:after="0" w:line="130"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Subsequent to the closing of the acquisition of Proleukin® in May 2023, the Company began to sell Proleukin® in licensed markets outside of the U.S. To date, there have been no product sales from Proleukin® in the U.S. market. Product sales for the three and nine months ended September 30, 2023 were $0.5 million and $0.7 million, respectively. Reserves for variable consideration for the market outside of the U.S. were immaterial.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180" w:firstLine="492"/>
        <w:spacing w:after="0" w:line="290" w:lineRule="auto"/>
        <w:rPr>
          <w:sz w:val="20"/>
          <w:szCs w:val="20"/>
          <w:color w:val="auto"/>
        </w:rPr>
      </w:pPr>
      <w:r>
        <w:rPr>
          <w:rFonts w:ascii="Arial" w:cs="Arial" w:eastAsia="Arial" w:hAnsi="Arial"/>
          <w:sz w:val="16"/>
          <w:szCs w:val="16"/>
          <w:color w:val="auto"/>
        </w:rPr>
        <w:t>The Company periodically grants stock options to employees and non-employees as compensation for services rendered. The Company accounts for all stock-based payment awards made to employees, including the employee stock purchase plans, and non-employees in accordance with the authoritative guidance provided by the Financial Accounting Standards Board (“FASB”) where the value of the award is measured on the date of grant and recognized over the vesting period. Forfeitures are recognized in the period in which they occur.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shares underlying the options have vested. The non-employee awards that contain a performance condition that affects the quantity or other terms of the award are measured based on the outcome that is probable.</w:t>
      </w:r>
    </w:p>
    <w:p>
      <w:pPr>
        <w:spacing w:after="0" w:line="138" w:lineRule="exact"/>
        <w:rPr>
          <w:sz w:val="20"/>
          <w:szCs w:val="20"/>
          <w:color w:val="auto"/>
        </w:rPr>
      </w:pPr>
    </w:p>
    <w:p>
      <w:pPr>
        <w:ind w:right="20" w:firstLine="492"/>
        <w:spacing w:after="0" w:line="301" w:lineRule="auto"/>
        <w:rPr>
          <w:sz w:val="20"/>
          <w:szCs w:val="20"/>
          <w:color w:val="auto"/>
        </w:rPr>
      </w:pPr>
      <w:r>
        <w:rPr>
          <w:rFonts w:ascii="Arial" w:cs="Arial" w:eastAsia="Arial" w:hAnsi="Arial"/>
          <w:sz w:val="16"/>
          <w:szCs w:val="16"/>
          <w:color w:val="auto"/>
        </w:rPr>
        <w:t>The fair value of the Company's common stock option grants is estimated using a Black-Scholes option pricing model, which uses certain assumptions related to risk-free interest rates, expected volatility, expected term of the common stock options, and future dividends. The stock-based compensation expense is recorded based upon the value derived from the Black-Scholes option pricing model. The assumptions used in the Black-Scholes option pricing model could affect compensation expense recorded in future periods.</w:t>
      </w:r>
    </w:p>
    <w:p>
      <w:pPr>
        <w:spacing w:after="0" w:line="117" w:lineRule="exact"/>
        <w:rPr>
          <w:sz w:val="20"/>
          <w:szCs w:val="20"/>
          <w:color w:val="auto"/>
        </w:rPr>
      </w:pPr>
    </w:p>
    <w:p>
      <w:pPr>
        <w:ind w:right="20" w:firstLine="492"/>
        <w:spacing w:after="0" w:line="253" w:lineRule="auto"/>
        <w:rPr>
          <w:sz w:val="20"/>
          <w:szCs w:val="20"/>
          <w:color w:val="auto"/>
        </w:rPr>
      </w:pPr>
      <w:r>
        <w:rPr>
          <w:rFonts w:ascii="Arial" w:cs="Arial" w:eastAsia="Arial" w:hAnsi="Arial"/>
          <w:sz w:val="18"/>
          <w:szCs w:val="18"/>
          <w:color w:val="auto"/>
        </w:rPr>
        <w:t>The Company issues restricted stock units (“RSUs”) from time to time as part of its equity incentive plans. The Company measures the compensation cost with respect to RSUs issued to employees based upon the estimated fair value of the equity instruments at the date of the grant, which is recognized as an expense over the period during which an employee is required to provide services in exchange for the awards. The fair value of RSUs is based on the closing price of the Company’s common stock on the grant date. In addition to RSUs that have time-based vesting requirements, from time to time the Company may issue RSUs that include certain performance vesting criteria based upon the satisfaction of stated objectives (“PRSUs”). The Company measures the compensation cost with respect to PRSUs issued to employees based upon the estimated fair value of the equity instruments at the date of grant, which is recognized as an expense over the period that achievement is determined to be probable through the stated service period associated with the award.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98" w:lineRule="exact"/>
        <w:rPr>
          <w:sz w:val="20"/>
          <w:szCs w:val="20"/>
          <w:color w:val="auto"/>
        </w:rPr>
      </w:pPr>
    </w:p>
    <w:p>
      <w:pPr>
        <w:ind w:right="80" w:firstLine="492"/>
        <w:spacing w:after="0" w:line="269" w:lineRule="auto"/>
        <w:rPr>
          <w:sz w:val="20"/>
          <w:szCs w:val="20"/>
          <w:color w:val="auto"/>
        </w:rPr>
      </w:pPr>
      <w:r>
        <w:rPr>
          <w:rFonts w:ascii="Arial" w:cs="Arial" w:eastAsia="Arial" w:hAnsi="Arial"/>
          <w:sz w:val="17"/>
          <w:szCs w:val="17"/>
          <w:color w:val="auto"/>
        </w:rPr>
        <w:t>Research and development costs are expensed as incurred. Clinical development costs compose a significant component of research and development costs. The Company has a history of contracting with third parties, including contract research organizations (“CROs”), independent clinical investigators, and contract manufacturing organizations (“CMOs”) that perform various clinical trial activities on the Company’s behalf in connection with the ongoing development of the Company’s product candidates. The financial terms of these contracts are subject to negotiations and may vary from contract to contract and may result in an uneven payment flow. The Company accrues and expenses costs for clinical trial activities performed by third parties based upon estimates of work completed to date for each clinical trial in accordance with agreements established with CROs, hospitals, and clinical investigators. Accruals for CROs and CMOs are recorded based on estimates of services received and efforts expended pursuant to agreements established with CROs, CMOs and other outside service providers. The Company determines its estimates through discussions with internal clinical stakeholders and outside service providers as to the progress or stage of completion of clinical trials or services and the contracted fee to be paid for such services.</w:t>
      </w:r>
    </w:p>
    <w:p>
      <w:pPr>
        <w:spacing w:after="0" w:line="141"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Included in the Company’s clinical development costs are investigator costs, which are costs associated with treatments administered at clinical sites as required under each clinical study protocol. The Company’s estimates for clinical investigator costs and timing of expense recognition will depend on a number of factors that include, but are not limited to, (i) the overall number of patients that enroll in the trial at each individual site, (ii) the length of study enrollment period, (iii) discontinuation and completion rates of patients, (iv) duration of patient safety follow-ups, (v) the number of sites included in the clinical trial, and (vi) the contracted fee of each participating site for patient treatment while on study, which can vary greatly for several reasons including, but not limited to, geographic region, medical center or physician costs, and overhead costs. In addition, the Company’s estimates for per patient trial costs will vary based on a number of factors that include, but are not limited to, the extent of additional treatments that may be administered by investigators as a result of patient health status, recoverability of patient costs through insurance carriers of patients, and unanticipated cost of injuries incurred as a result of the study treatment. The Company accrues for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makes judgements and estimates in determining the accrual balance in each reporting period.</w:t>
      </w:r>
    </w:p>
    <w:p>
      <w:pPr>
        <w:spacing w:after="0" w:line="185" w:lineRule="exact"/>
        <w:rPr>
          <w:sz w:val="20"/>
          <w:szCs w:val="20"/>
          <w:color w:val="auto"/>
        </w:rPr>
      </w:pPr>
    </w:p>
    <w:p>
      <w:pPr>
        <w:ind w:right="100" w:firstLine="492"/>
        <w:spacing w:after="0" w:line="291" w:lineRule="auto"/>
        <w:rPr>
          <w:sz w:val="20"/>
          <w:szCs w:val="20"/>
          <w:color w:val="auto"/>
        </w:rPr>
      </w:pPr>
      <w:r>
        <w:rPr>
          <w:rFonts w:ascii="Arial" w:cs="Arial" w:eastAsia="Arial" w:hAnsi="Arial"/>
          <w:sz w:val="16"/>
          <w:szCs w:val="16"/>
          <w:color w:val="auto"/>
        </w:rPr>
        <w:t>In the event advance payments are made to a CRO, CMO or other outside service provider, the payments are recorded within prepaid expenses and other current assets in the condensed consolidated balance sheets and subsequently recognized as research and development expense in the condensed consolidated statements of operations when the associated services have been performed. As actual costs become known, the Company adjusts its estimates, liabilities and assets. Inputs used in the determination of estimates discussed above may vary from actual, which will result in adjustments to research and development expense in future periods. Changes in these estimates that result in material changes to the Company’s accruals could materially affect its results of operations. The Company’s historical estimates have not been materially different from actual amounts recorded.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85" w:lineRule="exact"/>
        <w:rPr>
          <w:sz w:val="20"/>
          <w:szCs w:val="20"/>
          <w:color w:val="auto"/>
        </w:rPr>
      </w:pPr>
    </w:p>
    <w:p>
      <w:pPr>
        <w:ind w:right="80" w:firstLine="492"/>
        <w:spacing w:after="0" w:line="254" w:lineRule="auto"/>
        <w:rPr>
          <w:sz w:val="20"/>
          <w:szCs w:val="20"/>
          <w:color w:val="auto"/>
        </w:rPr>
      </w:pPr>
      <w:r>
        <w:rPr>
          <w:rFonts w:ascii="Arial" w:cs="Arial" w:eastAsia="Arial" w:hAnsi="Arial"/>
          <w:sz w:val="18"/>
          <w:szCs w:val="18"/>
          <w:color w:val="auto"/>
        </w:rPr>
        <w:t>Selling, general and administrative expenses consist primarily of salaries and other related costs, including stock-based compensation, for personnel in executive, finance, procurement, legal, investor relations, facilities, business development, marketing, commercial, information technology and human resources functions. Other significant costs include facility costs not otherwise included in research and development expenses and amortization expense for the acquired assembled workforce intangible asset. Selling, general and administrative costs are expensed as incurred, and the Company accrues for services provided by third parties related to such expenses by monitoring the status of services provided and receiving estimates from its service providers and adjusting its accruals as actual costs become known.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85" w:lineRule="exact"/>
        <w:rPr>
          <w:sz w:val="20"/>
          <w:szCs w:val="20"/>
          <w:color w:val="auto"/>
        </w:rPr>
      </w:pPr>
    </w:p>
    <w:p>
      <w:pPr>
        <w:ind w:right="700" w:firstLine="492"/>
        <w:spacing w:after="0" w:line="277" w:lineRule="auto"/>
        <w:rPr>
          <w:sz w:val="20"/>
          <w:szCs w:val="20"/>
          <w:color w:val="auto"/>
        </w:rPr>
      </w:pPr>
      <w:r>
        <w:rPr>
          <w:rFonts w:ascii="Arial" w:cs="Arial" w:eastAsia="Arial" w:hAnsi="Arial"/>
          <w:sz w:val="18"/>
          <w:szCs w:val="18"/>
          <w:color w:val="auto"/>
        </w:rPr>
        <w:t>Basic net loss per share is computed by dividing the net loss by the weighted average number of shares of common stock outstanding during the period.</w:t>
      </w:r>
    </w:p>
    <w:p>
      <w:pPr>
        <w:spacing w:after="0" w:line="143" w:lineRule="exact"/>
        <w:rPr>
          <w:sz w:val="20"/>
          <w:szCs w:val="20"/>
          <w:color w:val="auto"/>
        </w:rPr>
      </w:pPr>
    </w:p>
    <w:p>
      <w:pPr>
        <w:ind w:right="40" w:firstLine="492"/>
        <w:spacing w:after="0" w:line="287" w:lineRule="auto"/>
        <w:rPr>
          <w:sz w:val="20"/>
          <w:szCs w:val="20"/>
          <w:color w:val="auto"/>
        </w:rPr>
      </w:pPr>
      <w:r>
        <w:rPr>
          <w:rFonts w:ascii="Arial" w:cs="Arial" w:eastAsia="Arial" w:hAnsi="Arial"/>
          <w:sz w:val="16"/>
          <w:szCs w:val="16"/>
          <w:color w:val="auto"/>
        </w:rPr>
        <w:t>Diluted net loss per share is computed by dividing the net loss by the sum of the weighted average number of shares of common stock outstanding and the dilutive common stock equivalents outstanding during the period. The Company’s potentially dilutive common stock equivalent shares, which include incremental shares of common stock issuable upon (i) the exercise of outstanding stock options,</w:t>
      </w:r>
    </w:p>
    <w:p>
      <w:pPr>
        <w:spacing w:after="0" w:line="2" w:lineRule="exact"/>
        <w:rPr>
          <w:sz w:val="20"/>
          <w:szCs w:val="20"/>
          <w:color w:val="auto"/>
        </w:rPr>
      </w:pPr>
    </w:p>
    <w:p>
      <w:pPr>
        <w:ind w:right="720" w:firstLine="8"/>
        <w:spacing w:after="0" w:line="323" w:lineRule="auto"/>
        <w:tabs>
          <w:tab w:leader="none" w:pos="265" w:val="left"/>
        </w:tabs>
        <w:numPr>
          <w:ilvl w:val="0"/>
          <w:numId w:val="4"/>
        </w:numPr>
        <w:rPr>
          <w:rFonts w:ascii="Arial" w:cs="Arial" w:eastAsia="Arial" w:hAnsi="Arial"/>
          <w:sz w:val="16"/>
          <w:szCs w:val="16"/>
          <w:color w:val="auto"/>
        </w:rPr>
      </w:pPr>
      <w:r>
        <w:rPr>
          <w:rFonts w:ascii="Arial" w:cs="Arial" w:eastAsia="Arial" w:hAnsi="Arial"/>
          <w:sz w:val="16"/>
          <w:szCs w:val="16"/>
          <w:color w:val="auto"/>
        </w:rPr>
        <w:t>purchases though the 2020 Employee Stock Purchase Plan (the “2020 ESPP”), (iii) vesting of restricted stock units, and (iv) conversion of preferred stock, are only included in the calculation of diluted net loss per share when their effect is dilutive.</w:t>
      </w:r>
    </w:p>
    <w:p>
      <w:pPr>
        <w:spacing w:after="0" w:line="98" w:lineRule="exact"/>
        <w:rPr>
          <w:sz w:val="20"/>
          <w:szCs w:val="20"/>
          <w:color w:val="auto"/>
        </w:rPr>
      </w:pPr>
    </w:p>
    <w:p>
      <w:pPr>
        <w:ind w:right="800" w:firstLine="492"/>
        <w:spacing w:after="0" w:line="277" w:lineRule="auto"/>
        <w:rPr>
          <w:sz w:val="20"/>
          <w:szCs w:val="20"/>
          <w:color w:val="auto"/>
        </w:rPr>
      </w:pPr>
      <w:r>
        <w:rPr>
          <w:rFonts w:ascii="Arial" w:cs="Arial" w:eastAsia="Arial" w:hAnsi="Arial"/>
          <w:sz w:val="18"/>
          <w:szCs w:val="18"/>
          <w:color w:val="auto"/>
        </w:rPr>
        <w:t>As of September 30, 2023 and 2022, the following outstanding common stock equivalents have been excluded from the calculation of net loss per share because their impact would be anti-dilutive: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200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4"/>
                <w:szCs w:val="14"/>
                <w:color w:val="auto"/>
              </w:rPr>
            </w:pPr>
          </w:p>
        </w:tc>
      </w:tr>
      <w:tr>
        <w:trPr>
          <w:trHeight w:val="142"/>
        </w:trPr>
        <w:tc>
          <w:tcPr>
            <w:tcW w:w="696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19,274,301</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14,859,674</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320" w:type="dxa"/>
            <w:vAlign w:val="bottom"/>
          </w:tcPr>
          <w:p>
            <w:pPr>
              <w:jc w:val="right"/>
              <w:spacing w:after="0"/>
              <w:rPr>
                <w:sz w:val="20"/>
                <w:szCs w:val="20"/>
                <w:color w:val="auto"/>
              </w:rPr>
            </w:pPr>
            <w:r>
              <w:rPr>
                <w:rFonts w:ascii="Arial" w:cs="Arial" w:eastAsia="Arial" w:hAnsi="Arial"/>
                <w:sz w:val="18"/>
                <w:szCs w:val="18"/>
                <w:color w:val="auto"/>
              </w:rPr>
              <w:t>225,110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182,986</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3,788,605</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2,454,783</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Series A Convertible Preferred Stock*</w:t>
            </w:r>
          </w:p>
        </w:tc>
        <w:tc>
          <w:tcPr>
            <w:tcW w:w="1320" w:type="dxa"/>
            <w:vAlign w:val="bottom"/>
          </w:tcPr>
          <w:p>
            <w:pPr>
              <w:jc w:val="right"/>
              <w:spacing w:after="0"/>
              <w:rPr>
                <w:sz w:val="20"/>
                <w:szCs w:val="20"/>
                <w:color w:val="auto"/>
              </w:rPr>
            </w:pPr>
            <w:r>
              <w:rPr>
                <w:rFonts w:ascii="Arial" w:cs="Arial" w:eastAsia="Arial" w:hAnsi="Arial"/>
                <w:sz w:val="18"/>
                <w:szCs w:val="18"/>
                <w:color w:val="auto"/>
              </w:rPr>
              <w:t>97,000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97,000</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2,842,158</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2,842,158</w:t>
            </w:r>
          </w:p>
        </w:tc>
      </w:tr>
      <w:tr>
        <w:trPr>
          <w:trHeight w:val="224"/>
        </w:trPr>
        <w:tc>
          <w:tcPr>
            <w:tcW w:w="6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26,227,174</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20,436,601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-8255</wp:posOffset>
            </wp:positionV>
            <wp:extent cx="18770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i w:val="1"/>
          <w:iCs w:val="1"/>
          <w:color w:val="auto"/>
        </w:rPr>
        <w:t>* on an as-converted basis. (See Note 10 –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-130175</wp:posOffset>
            </wp:positionV>
            <wp:extent cx="18770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165" w:lineRule="exact"/>
        <w:rPr>
          <w:sz w:val="20"/>
          <w:szCs w:val="20"/>
          <w:color w:val="auto"/>
        </w:rPr>
      </w:pPr>
    </w:p>
    <w:p>
      <w:pPr>
        <w:ind w:right="100" w:firstLine="492"/>
        <w:spacing w:after="0" w:line="263" w:lineRule="auto"/>
        <w:rPr>
          <w:sz w:val="20"/>
          <w:szCs w:val="20"/>
          <w:color w:val="auto"/>
        </w:rPr>
      </w:pPr>
      <w:r>
        <w:rPr>
          <w:rFonts w:ascii="Arial" w:cs="Arial" w:eastAsia="Arial" w:hAnsi="Arial"/>
          <w:sz w:val="18"/>
          <w:szCs w:val="18"/>
          <w:color w:val="auto"/>
        </w:rPr>
        <w:t>The dilutive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Significant items subject to such estimates and assumptions include assumptions made in the fair value of intangible assets, inventories acquired as part of the acquisition of Proleukin®, equity awards and related stock-based compensation, assumptions used</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measuring operating right-of-use assets and operating lease liabilities, accounting for potential liabilities, including estimates inherent in accruals related to clinical trials, and the realizability of the Company’s deferred tax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8"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Iovance Biotherapeutics, Inc. and its wholly-owned subsidiaries, Iovance Biotherapeutics Manufacturing LLC, Iovance Biotherapeutics GmbH, Iovance Biotherapeutics B.V., Iovance Biotherapeutics UK Ltd and Clinigen SP Ltd (together, the “UK subsidiaries”), and Iovance Biotherapeutics Canada, Inc. All intercompany accounts and transactions have been eliminated.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85" w:lineRule="exact"/>
        <w:rPr>
          <w:sz w:val="20"/>
          <w:szCs w:val="20"/>
          <w:color w:val="auto"/>
        </w:rPr>
      </w:pPr>
    </w:p>
    <w:p>
      <w:pPr>
        <w:ind w:right="60" w:firstLine="492"/>
        <w:spacing w:after="0" w:line="275" w:lineRule="auto"/>
        <w:rPr>
          <w:sz w:val="20"/>
          <w:szCs w:val="20"/>
          <w:color w:val="auto"/>
        </w:rPr>
      </w:pPr>
      <w:r>
        <w:rPr>
          <w:rFonts w:ascii="Arial" w:cs="Arial" w:eastAsia="Arial" w:hAnsi="Arial"/>
          <w:sz w:val="17"/>
          <w:szCs w:val="17"/>
          <w:color w:val="auto"/>
        </w:rPr>
        <w:t>The assets and liabilities of the Company’s subsidiaries whose functional currencies are not in U.S. dollars are translated into U.S. dollars at the related period-end exchange rate. The U.S. dollar effects that arise from translation of net assets of these subsidiaries at changing rates are recognized in Accumulated Other Comprehensive Income (Loss) in the condensed consolidated balance sheets. The subsidiaries’ net loss is translated into U.S. dollars by using the average exchange rate for the applicable period. The condensed consolidated financial statements are presented in U.S. dollars, which is the Company’s reporting currency.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85"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The Company operates in one segment, focused on innovating, developing and commercializing therapies using autologous TIL for the treatment of advanced melanoma and other solid tumor cancers.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98"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color w:val="auto"/>
        </w:rPr>
        <w:t>There were no applicable recently issued accounting standards nor did we adopt any new accounting standards during either the three or nine months ended September 30, 2023.</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CASH EQUIVALENTS, INVESTMENTS AND RECURRING FAIR VALUE MEASUREMENTS</w:t>
      </w:r>
    </w:p>
    <w:p>
      <w:pPr>
        <w:spacing w:after="0" w:line="189"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The amortized cost and fair value of cash equivalents and investments as of September 30, 2023 and December 31, 2022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As of September 30, 2023</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112,643</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Money market funds</w:t>
            </w:r>
          </w:p>
        </w:tc>
        <w:tc>
          <w:tcPr>
            <w:tcW w:w="1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103,361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103,361</w:t>
            </w: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investments</w:t>
            </w:r>
          </w:p>
        </w:tc>
        <w:tc>
          <w:tcPr>
            <w:tcW w:w="1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215,994</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216,004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31, 2022</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11,265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Commercial paper</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148,299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148,254</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88,001</w:t>
            </w:r>
          </w:p>
        </w:tc>
        <w:tc>
          <w:tcPr>
            <w:tcW w:w="0" w:type="dxa"/>
            <w:vAlign w:val="bottom"/>
          </w:tcPr>
          <w:p>
            <w:pPr>
              <w:spacing w:after="0"/>
              <w:rPr>
                <w:sz w:val="1"/>
                <w:szCs w:val="1"/>
                <w:color w:val="auto"/>
              </w:rPr>
            </w:pPr>
          </w:p>
        </w:tc>
      </w:tr>
      <w:tr>
        <w:trPr>
          <w:trHeight w:val="210"/>
        </w:trPr>
        <w:tc>
          <w:tcPr>
            <w:tcW w:w="3700" w:type="dxa"/>
            <w:vAlign w:val="bottom"/>
          </w:tcPr>
          <w:p>
            <w:pPr>
              <w:ind w:left="120"/>
              <w:spacing w:after="0"/>
              <w:rPr>
                <w:sz w:val="20"/>
                <w:szCs w:val="20"/>
                <w:color w:val="auto"/>
              </w:rPr>
            </w:pPr>
            <w:r>
              <w:rPr>
                <w:rFonts w:ascii="Arial" w:cs="Arial" w:eastAsia="Arial" w:hAnsi="Arial"/>
                <w:sz w:val="18"/>
                <w:szCs w:val="18"/>
                <w:color w:val="auto"/>
              </w:rPr>
              <w:t>Total investments</w:t>
            </w:r>
          </w:p>
        </w:tc>
        <w:tc>
          <w:tcPr>
            <w:tcW w:w="154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373,372</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372,470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70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color w:val="auto"/>
        </w:rPr>
        <w:t>The fair value of cash equivalents and investments as of September 30, 2023 and December 31, 2022 are classified as follows in the Company’s condensed consolidated balance sheets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Classified as:</w:t>
            </w:r>
          </w:p>
        </w:tc>
        <w:tc>
          <w:tcPr>
            <w:tcW w:w="306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201"/>
        </w:trPr>
        <w:tc>
          <w:tcPr>
            <w:tcW w:w="4740" w:type="dxa"/>
            <w:vAlign w:val="bottom"/>
            <w:tcBorders>
              <w:bottom w:val="single" w:sz="8" w:color="CCEEFF"/>
            </w:tcBorders>
            <w:vMerge w:val="continue"/>
          </w:tcPr>
          <w:p>
            <w:pPr>
              <w:spacing w:after="0"/>
              <w:rPr>
                <w:sz w:val="17"/>
                <w:szCs w:val="17"/>
                <w:color w:val="auto"/>
              </w:rPr>
            </w:pPr>
          </w:p>
        </w:tc>
        <w:tc>
          <w:tcPr>
            <w:tcW w:w="30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3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132,356</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Short-term investments</w:t>
            </w:r>
          </w:p>
        </w:tc>
        <w:tc>
          <w:tcPr>
            <w:tcW w:w="3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93,654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240,114</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investments</w:t>
            </w:r>
          </w:p>
        </w:tc>
        <w:tc>
          <w:tcPr>
            <w:tcW w:w="30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216,004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372,470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92"/>
        <w:spacing w:after="0" w:line="293" w:lineRule="auto"/>
        <w:rPr>
          <w:sz w:val="20"/>
          <w:szCs w:val="20"/>
          <w:color w:val="auto"/>
        </w:rPr>
      </w:pPr>
      <w:r>
        <w:rPr>
          <w:rFonts w:ascii="Arial" w:cs="Arial" w:eastAsia="Arial" w:hAnsi="Arial"/>
          <w:sz w:val="16"/>
          <w:szCs w:val="16"/>
          <w:color w:val="auto"/>
        </w:rPr>
        <w:t>Cash equivalents in the tables above exclude cash demand deposits of $145.4 million and $99.4 million as of September 30, 2023 and December 31, 2022, respectively. Unrealized gains and losses are included in Accumulated Other Comprehensive Income (Loss), and as of September 30, 2023 and December 31, 2022 no unrealized losses on available-for-sale securities have resulted from credit risk. All available-for-sale securities held as of September 30, 2023 and December 31, 2022 had contractual maturities of less than one year. No unrealized losses on available-for-sale securities have been in a continuous unrealized loss position for more than 12 months, as of the periods presented. To date, the Company has not recorded any impairment charges on its marketable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ind w:right="60" w:firstLine="492"/>
        <w:spacing w:after="0" w:line="311" w:lineRule="auto"/>
        <w:rPr>
          <w:sz w:val="20"/>
          <w:szCs w:val="20"/>
          <w:color w:val="auto"/>
        </w:rPr>
      </w:pPr>
      <w:r>
        <w:rPr>
          <w:rFonts w:ascii="Arial" w:cs="Arial" w:eastAsia="Arial" w:hAnsi="Arial"/>
          <w:sz w:val="16"/>
          <w:szCs w:val="16"/>
          <w:color w:val="auto"/>
        </w:rPr>
        <w:t>As of September 30, 2023 and December 31, 2022, the fair value of the Company’s financial assets that are measured at fair value on a recurring basis, which consist of cash equivalents and short-term and long-term investments classified as available-for-sale securities, are categorized in the table below based upon the lowest level of significant input to the valuations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10"/>
          </w:tcPr>
          <w:p>
            <w:pPr>
              <w:jc w:val="right"/>
              <w:ind w:right="27"/>
              <w:spacing w:after="0"/>
              <w:rPr>
                <w:sz w:val="20"/>
                <w:szCs w:val="20"/>
                <w:color w:val="auto"/>
              </w:rPr>
            </w:pPr>
            <w:r>
              <w:rPr>
                <w:rFonts w:ascii="Arial" w:cs="Arial" w:eastAsia="Arial" w:hAnsi="Arial"/>
                <w:sz w:val="14"/>
                <w:szCs w:val="14"/>
                <w:b w:val="1"/>
                <w:bCs w:val="1"/>
                <w:color w:val="auto"/>
              </w:rPr>
              <w:t>Assets at Fair Value as of September 30, 2023</w:t>
            </w:r>
          </w:p>
        </w:tc>
        <w:tc>
          <w:tcPr>
            <w:tcW w:w="760" w:type="dxa"/>
            <w:vAlign w:val="bottom"/>
            <w:tcBorders>
              <w:bottom w:val="single" w:sz="8" w:color="auto"/>
            </w:tcBorders>
          </w:tcPr>
          <w:p>
            <w:pPr>
              <w:spacing w:after="0"/>
              <w:rPr>
                <w:sz w:val="14"/>
                <w:szCs w:val="14"/>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112,643</w:t>
            </w: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Money market funds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103,361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103,361</w:t>
            </w:r>
          </w:p>
        </w:tc>
      </w:tr>
      <w:tr>
        <w:trPr>
          <w:trHeight w:val="210"/>
        </w:trPr>
        <w:tc>
          <w:tcPr>
            <w:tcW w:w="5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216,004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216,004</w:t>
            </w: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58"/>
        </w:trPr>
        <w:tc>
          <w:tcPr>
            <w:tcW w:w="5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0"/>
          </w:tcPr>
          <w:p>
            <w:pPr>
              <w:jc w:val="right"/>
              <w:ind w:right="47"/>
              <w:spacing w:after="0"/>
              <w:rPr>
                <w:sz w:val="20"/>
                <w:szCs w:val="20"/>
                <w:color w:val="auto"/>
              </w:rPr>
            </w:pPr>
            <w:r>
              <w:rPr>
                <w:rFonts w:ascii="Arial" w:cs="Arial" w:eastAsia="Arial" w:hAnsi="Arial"/>
                <w:sz w:val="14"/>
                <w:szCs w:val="14"/>
                <w:b w:val="1"/>
                <w:bCs w:val="1"/>
                <w:color w:val="auto"/>
              </w:rPr>
              <w:t>Assets at Fair Value as of December 31, 2022</w:t>
            </w:r>
          </w:p>
        </w:tc>
        <w:tc>
          <w:tcPr>
            <w:tcW w:w="760" w:type="dxa"/>
            <w:vAlign w:val="bottom"/>
            <w:tcBorders>
              <w:bottom w:val="single" w:sz="8" w:color="auto"/>
            </w:tcBorders>
          </w:tcPr>
          <w:p>
            <w:pPr>
              <w:spacing w:after="0"/>
              <w:rPr>
                <w:sz w:val="24"/>
                <w:szCs w:val="24"/>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11,265</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148,254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148,254</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88,001</w:t>
            </w:r>
          </w:p>
        </w:tc>
      </w:tr>
      <w:tr>
        <w:trPr>
          <w:trHeight w:val="210"/>
        </w:trPr>
        <w:tc>
          <w:tcPr>
            <w:tcW w:w="5440" w:type="dxa"/>
            <w:vAlign w:val="bottom"/>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205,721</w:t>
            </w:r>
          </w:p>
        </w:tc>
        <w:tc>
          <w:tcPr>
            <w:tcW w:w="2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166,749</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372,470</w:t>
            </w:r>
          </w:p>
        </w:tc>
      </w:tr>
      <w:tr>
        <w:trPr>
          <w:trHeight w:val="20"/>
        </w:trPr>
        <w:tc>
          <w:tcPr>
            <w:tcW w:w="5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492"/>
        <w:spacing w:after="0" w:line="342" w:lineRule="auto"/>
        <w:rPr>
          <w:sz w:val="20"/>
          <w:szCs w:val="20"/>
          <w:color w:val="auto"/>
        </w:rPr>
      </w:pPr>
      <w:r>
        <w:rPr>
          <w:rFonts w:ascii="Arial" w:cs="Arial" w:eastAsia="Arial" w:hAnsi="Arial"/>
          <w:sz w:val="16"/>
          <w:szCs w:val="16"/>
          <w:color w:val="auto"/>
        </w:rPr>
        <w:t>Level 2 assets consist of commercial paper and government agency securities. Level 2 inputs for the valuations are limited to quoted prices for similar assets or liabilities in active markets and inputs other than quoted prices that are observable for the asset.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PROLEUKIN</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 xml:space="preserve"> ACQUISITION</w:t>
      </w:r>
    </w:p>
    <w:p>
      <w:pPr>
        <w:spacing w:after="0" w:line="189" w:lineRule="exact"/>
        <w:rPr>
          <w:sz w:val="20"/>
          <w:szCs w:val="20"/>
          <w:color w:val="auto"/>
        </w:rPr>
      </w:pPr>
    </w:p>
    <w:p>
      <w:pPr>
        <w:ind w:firstLine="492"/>
        <w:spacing w:after="0" w:line="301" w:lineRule="auto"/>
        <w:rPr>
          <w:sz w:val="20"/>
          <w:szCs w:val="20"/>
          <w:color w:val="auto"/>
        </w:rPr>
      </w:pPr>
      <w:r>
        <w:rPr>
          <w:rFonts w:ascii="Arial" w:cs="Arial" w:eastAsia="Arial" w:hAnsi="Arial"/>
          <w:sz w:val="16"/>
          <w:szCs w:val="16"/>
          <w:color w:val="auto"/>
        </w:rPr>
        <w:t>On January 23, 2023, the Company and its newly formed, wholly owned subsidiary, Iovance Biotherapeutics UK Ltd (the “Purchaser”) entered into an Option Agreement (the “Option Agreement”) with Clinigen Holdings Limited, Clinigen Healthcare Limited, and Clinigen, Inc. (collectively “Clinigen”), a global pharmaceutical services company, pursuant to which the Purchaser would acquire the worldwide rights for the manufacturing, supply, commercialization and sale of Proleukin® (aldesleukin) (the “Acquisition”).</w:t>
      </w:r>
    </w:p>
    <w:p>
      <w:pPr>
        <w:spacing w:after="0" w:line="157" w:lineRule="exact"/>
        <w:rPr>
          <w:sz w:val="20"/>
          <w:szCs w:val="20"/>
          <w:color w:val="auto"/>
        </w:rPr>
      </w:pPr>
    </w:p>
    <w:p>
      <w:pPr>
        <w:ind w:right="140" w:firstLine="492"/>
        <w:spacing w:after="0" w:line="291" w:lineRule="auto"/>
        <w:rPr>
          <w:sz w:val="20"/>
          <w:szCs w:val="20"/>
          <w:color w:val="auto"/>
        </w:rPr>
      </w:pPr>
      <w:r>
        <w:rPr>
          <w:rFonts w:ascii="Arial" w:cs="Arial" w:eastAsia="Arial" w:hAnsi="Arial"/>
          <w:sz w:val="16"/>
          <w:szCs w:val="16"/>
          <w:color w:val="auto"/>
        </w:rPr>
        <w:t>On May 18, 2023, the Company completed the Acquisition and specifically acquired (i) all issued and outstanding shares of Clinigen SP Limited (the “Target”), (ii) the business of the Target and Clinigen (the “Proleukin® Business”) comprising the manufacturing, supply, commercialization and the generation of income from the Product rights and the undertaking of an active role in the development, maintenance and exploitation of those rights, and (iii) certain specified assets identified in the Option Agreement. Pursuant to the Option Agreement, the Company paid to Clinigen (i) an upfront payment of £166.9 million (or approximately $207.2 million), including the applicable stamp-tax payment, and (ii) a payment for certain inventory of £2.4 million (or approximately $3.0 million) using existing cash on hand. The Option Agreement includes potential future contingent payments, as discussed below.</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537"/>
        <w:spacing w:after="0" w:line="279" w:lineRule="auto"/>
        <w:rPr>
          <w:sz w:val="20"/>
          <w:szCs w:val="20"/>
          <w:color w:val="auto"/>
        </w:rPr>
      </w:pPr>
      <w:r>
        <w:rPr>
          <w:rFonts w:ascii="Arial" w:cs="Arial" w:eastAsia="Arial" w:hAnsi="Arial"/>
          <w:sz w:val="17"/>
          <w:szCs w:val="17"/>
          <w:color w:val="auto"/>
        </w:rPr>
        <w:t>The Acquisition was accounted for as an asset acquisition because substantially all of the fair value of the acquired assets was concentrated in the acquired developed technology related to the intellectual property rights of Proleukin® and therefore the Acquisition does not meet the definition of a business in accordance with ASC 805. The Proleukin® Business operations have been included in the Company’s condensed consolidated financial statements commencing from the acquisition date.</w:t>
      </w:r>
    </w:p>
    <w:p>
      <w:pPr>
        <w:spacing w:after="0" w:line="171"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color w:val="auto"/>
        </w:rPr>
        <w:t>The following table summarizes the total cash consideration and allocated acquisition date fair values of assets acquired and liabilities assumed (in thousands):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820" w:type="dxa"/>
            <w:vAlign w:val="bottom"/>
            <w:tcBorders>
              <w:bottom w:val="single" w:sz="8" w:color="auto"/>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660" w:type="dxa"/>
            <w:vAlign w:val="bottom"/>
            <w:tcBorders>
              <w:bottom w:val="single" w:sz="8" w:color="auto"/>
            </w:tcBorders>
          </w:tcPr>
          <w:p>
            <w:pPr>
              <w:jc w:val="right"/>
              <w:ind w:right="973"/>
              <w:spacing w:after="0"/>
              <w:rPr>
                <w:sz w:val="20"/>
                <w:szCs w:val="20"/>
                <w:color w:val="auto"/>
              </w:rPr>
            </w:pPr>
            <w:r>
              <w:rPr>
                <w:rFonts w:ascii="Arial" w:cs="Arial" w:eastAsia="Arial" w:hAnsi="Arial"/>
                <w:sz w:val="14"/>
                <w:szCs w:val="14"/>
                <w:b w:val="1"/>
                <w:bCs w:val="1"/>
                <w:color w:val="auto"/>
              </w:rPr>
              <w:t>Amounts</w:t>
            </w: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Inventory</w:t>
            </w:r>
          </w:p>
        </w:tc>
        <w:tc>
          <w:tcPr>
            <w:tcW w:w="4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9,688</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460" w:type="dxa"/>
            <w:vAlign w:val="bottom"/>
            <w:shd w:val="clear" w:color="auto" w:fill="CCEEFF"/>
          </w:tcPr>
          <w:p>
            <w:pPr>
              <w:spacing w:after="0"/>
              <w:rPr>
                <w:sz w:val="18"/>
                <w:szCs w:val="18"/>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232,665</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Assembled workforce</w:t>
            </w:r>
          </w:p>
        </w:tc>
        <w:tc>
          <w:tcPr>
            <w:tcW w:w="4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460" w:type="dxa"/>
            <w:vAlign w:val="bottom"/>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(20,352)</w:t>
            </w:r>
          </w:p>
        </w:tc>
      </w:tr>
      <w:tr>
        <w:trPr>
          <w:trHeight w:val="209"/>
        </w:trPr>
        <w:tc>
          <w:tcPr>
            <w:tcW w:w="4820" w:type="dxa"/>
            <w:vAlign w:val="bottom"/>
          </w:tcPr>
          <w:p>
            <w:pPr>
              <w:ind w:left="100"/>
              <w:spacing w:after="0"/>
              <w:rPr>
                <w:sz w:val="20"/>
                <w:szCs w:val="20"/>
                <w:color w:val="auto"/>
              </w:rPr>
            </w:pPr>
            <w:r>
              <w:rPr>
                <w:rFonts w:ascii="Arial" w:cs="Arial" w:eastAsia="Arial" w:hAnsi="Arial"/>
                <w:sz w:val="18"/>
                <w:szCs w:val="18"/>
                <w:color w:val="auto"/>
              </w:rPr>
              <w:t>Total Cost of Acquisition</w:t>
            </w:r>
          </w:p>
        </w:tc>
        <w:tc>
          <w:tcPr>
            <w:tcW w:w="4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222,672</w:t>
            </w:r>
          </w:p>
        </w:tc>
      </w:tr>
      <w:tr>
        <w:trPr>
          <w:trHeight w:val="20"/>
        </w:trPr>
        <w:tc>
          <w:tcPr>
            <w:tcW w:w="4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92"/>
        <w:spacing w:after="0" w:line="289" w:lineRule="auto"/>
        <w:rPr>
          <w:sz w:val="20"/>
          <w:szCs w:val="20"/>
          <w:color w:val="auto"/>
        </w:rPr>
      </w:pPr>
      <w:r>
        <w:rPr>
          <w:rFonts w:ascii="Arial" w:cs="Arial" w:eastAsia="Arial" w:hAnsi="Arial"/>
          <w:sz w:val="16"/>
          <w:szCs w:val="16"/>
          <w:color w:val="auto"/>
        </w:rPr>
        <w:t>The $222.7 million of total cost of the Acquisition consisted of (i) a $210.2 million of cash payment to Clinigen and (ii) $12.5 million of direct transaction costs incurred by the Company. The Option Agreement additionally provides for contingent cash payments consisting of (i) a milestone payment of £41.7 million, or approximately $50.0 million, upon first approval of lifileucel in advanced melanoma, (ii) deferred consideration based on double digit rates on global net sales (as defined in the Option Agreement) payable from the Company to the sellers following the completion of the Acquisition over a deferred consideration term of twelve years, and (iii) after the deferred consideration term, earnout payments payable from the Company to sellers following the completion of the transaction if deferred consideration payments are equal or greater than the deferred consideration amount provided for in the Option Agreement. These contingent payments were determined to be within the scope of ASC 450 and will be recognized when they are both probable and estimable. The recognition criteria have not been met as of the acquisition date or as of September 30, 2023.</w:t>
      </w:r>
    </w:p>
    <w:p>
      <w:pPr>
        <w:spacing w:after="0" w:line="166" w:lineRule="exact"/>
        <w:rPr>
          <w:sz w:val="20"/>
          <w:szCs w:val="20"/>
          <w:color w:val="auto"/>
        </w:rPr>
      </w:pPr>
    </w:p>
    <w:p>
      <w:pPr>
        <w:ind w:right="80" w:firstLine="492"/>
        <w:spacing w:after="0" w:line="342" w:lineRule="auto"/>
        <w:rPr>
          <w:sz w:val="20"/>
          <w:szCs w:val="20"/>
          <w:color w:val="auto"/>
        </w:rPr>
      </w:pPr>
      <w:r>
        <w:rPr>
          <w:rFonts w:ascii="Arial" w:cs="Arial" w:eastAsia="Arial" w:hAnsi="Arial"/>
          <w:sz w:val="16"/>
          <w:szCs w:val="16"/>
          <w:color w:val="auto"/>
        </w:rPr>
        <w:t>The net assets acquired in the Acquisition were recorded by allocating the total cost of the Acquisition to the assets acquired on a relative fair value basis based on their estimated fair values as of May 18, 2023, which is the date that the Acquisition was completed.</w:t>
      </w:r>
    </w:p>
    <w:p>
      <w:pPr>
        <w:spacing w:after="0" w:line="124"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The fair value of the developed technology was estimated using a multi-period excess earnings income approach that discounts expected cash flows to present value by applying a discount rate that represents the estimated rate that market participants would use to value the intangible assets. The fair value of the developed technology is being amortized over an expected useful life of 15 years and is recorded as Cost of Sales in the Company’s condensed consolidated statement of operations.</w:t>
      </w:r>
    </w:p>
    <w:p>
      <w:pPr>
        <w:spacing w:after="0" w:line="157" w:lineRule="exact"/>
        <w:rPr>
          <w:sz w:val="20"/>
          <w:szCs w:val="20"/>
          <w:color w:val="auto"/>
        </w:rPr>
      </w:pPr>
    </w:p>
    <w:p>
      <w:pPr>
        <w:ind w:right="60" w:firstLine="492"/>
        <w:spacing w:after="0" w:line="263" w:lineRule="auto"/>
        <w:rPr>
          <w:sz w:val="20"/>
          <w:szCs w:val="20"/>
          <w:color w:val="auto"/>
        </w:rPr>
      </w:pPr>
      <w:r>
        <w:rPr>
          <w:rFonts w:ascii="Arial" w:cs="Arial" w:eastAsia="Arial" w:hAnsi="Arial"/>
          <w:sz w:val="18"/>
          <w:szCs w:val="18"/>
          <w:color w:val="auto"/>
        </w:rPr>
        <w:t>The fair value of the assembled workforce was estimated using a replacement cost less depreciation method. The fair value of the assembled workforce is being amortized over an expected useful life of 3 years and is recorded as Selling, General and Administrative expense in the Company’s condensed consolidated statement of operations.</w:t>
      </w:r>
    </w:p>
    <w:p>
      <w:pPr>
        <w:spacing w:after="0" w:line="184"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The fair value of the acquired inventory was determined using the comparative sales method of the market approach, which uses historical and expected average selling prices of inventory as the base amount to which adjustment for costs to complete for work-in-process, cost of disposal and reasonable profit allowance are applied. The inventory fair value adjustment is being amortized as cost of sales as the acquired inventories are sold.</w:t>
      </w:r>
    </w:p>
    <w:p>
      <w:pPr>
        <w:spacing w:after="0" w:line="187"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A deferred tax liability was recognized on the temporary differences related to the book and tax basis of the acquired intangible assets. The deferred tax liability and resulting adjustment to the carrying amount of the acquired intangibles was calculated using the simultaneous equations method under ASC 740. The tax rate used is based on the estimated statutory rates in the United Kingdom as this is where the intangible assets are domiciled.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INTANGIBLE ASSETS, NET</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gross carrying amounts and net book value of intangible assets as of September 30, 2023 are as follows (in thousands):</w:t>
      </w:r>
    </w:p>
    <w:p>
      <w:pPr>
        <w:spacing w:after="0" w:line="242"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1"/>
              </w:rPr>
              <w:t>September 30, 2023</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40" w:type="dxa"/>
            <w:vAlign w:val="bottom"/>
          </w:tcPr>
          <w:p>
            <w:pPr>
              <w:spacing w:after="0"/>
              <w:rPr>
                <w:sz w:val="10"/>
                <w:szCs w:val="10"/>
                <w:color w:val="auto"/>
              </w:rPr>
            </w:pPr>
          </w:p>
        </w:tc>
        <w:tc>
          <w:tcPr>
            <w:tcW w:w="1120" w:type="dxa"/>
            <w:vAlign w:val="bottom"/>
            <w:gridSpan w:val="2"/>
          </w:tcPr>
          <w:p>
            <w:pPr>
              <w:jc w:val="right"/>
              <w:ind w:right="15"/>
              <w:spacing w:after="0" w:line="119" w:lineRule="exact"/>
              <w:rPr>
                <w:sz w:val="20"/>
                <w:szCs w:val="20"/>
                <w:color w:val="auto"/>
              </w:rPr>
            </w:pPr>
            <w:r>
              <w:rPr>
                <w:rFonts w:ascii="Arial" w:cs="Arial" w:eastAsia="Arial" w:hAnsi="Arial"/>
                <w:sz w:val="13"/>
                <w:szCs w:val="13"/>
                <w:b w:val="1"/>
                <w:bCs w:val="1"/>
                <w:color w:val="auto"/>
              </w:rPr>
              <w:t>Gross carrying</w:t>
            </w:r>
          </w:p>
        </w:tc>
        <w:tc>
          <w:tcPr>
            <w:tcW w:w="140" w:type="dxa"/>
            <w:vAlign w:val="bottom"/>
          </w:tcPr>
          <w:p>
            <w:pPr>
              <w:spacing w:after="0"/>
              <w:rPr>
                <w:sz w:val="10"/>
                <w:szCs w:val="10"/>
                <w:color w:val="auto"/>
              </w:rPr>
            </w:pPr>
          </w:p>
        </w:tc>
        <w:tc>
          <w:tcPr>
            <w:tcW w:w="10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220" w:type="dxa"/>
            <w:vAlign w:val="bottom"/>
            <w:gridSpan w:val="3"/>
          </w:tcPr>
          <w:p>
            <w:pPr>
              <w:jc w:val="right"/>
              <w:ind w:right="15"/>
              <w:spacing w:after="0" w:line="119" w:lineRule="exact"/>
              <w:rPr>
                <w:sz w:val="20"/>
                <w:szCs w:val="20"/>
                <w:color w:val="auto"/>
              </w:rPr>
            </w:pPr>
            <w:r>
              <w:rPr>
                <w:rFonts w:ascii="Arial" w:cs="Arial" w:eastAsia="Arial" w:hAnsi="Arial"/>
                <w:sz w:val="13"/>
                <w:szCs w:val="13"/>
                <w:b w:val="1"/>
                <w:bCs w:val="1"/>
                <w:color w:val="auto"/>
              </w:rPr>
              <w:t>Intangible assets,</w:t>
            </w:r>
          </w:p>
        </w:tc>
        <w:tc>
          <w:tcPr>
            <w:tcW w:w="0" w:type="dxa"/>
            <w:vAlign w:val="bottom"/>
          </w:tcPr>
          <w:p>
            <w:pPr>
              <w:spacing w:after="0"/>
              <w:rPr>
                <w:sz w:val="1"/>
                <w:szCs w:val="1"/>
                <w:color w:val="auto"/>
              </w:rPr>
            </w:pPr>
          </w:p>
        </w:tc>
      </w:tr>
      <w:tr>
        <w:trPr>
          <w:trHeight w:val="171"/>
        </w:trPr>
        <w:tc>
          <w:tcPr>
            <w:tcW w:w="5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amounts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3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Developed technology</w:t>
            </w:r>
          </w:p>
        </w:tc>
        <w:tc>
          <w:tcPr>
            <w:tcW w:w="220" w:type="dxa"/>
            <w:vAlign w:val="bottom"/>
          </w:tcPr>
          <w:p>
            <w:pPr>
              <w:jc w:val="right"/>
              <w:ind w:right="3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228,712</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(5,650)</w:t>
            </w:r>
          </w:p>
        </w:tc>
        <w:tc>
          <w:tcPr>
            <w:tcW w:w="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223,062</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Assembled workforce</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9"/>
        </w:trPr>
        <w:tc>
          <w:tcPr>
            <w:tcW w:w="5440" w:type="dxa"/>
            <w:vAlign w:val="bottom"/>
          </w:tcPr>
          <w:p>
            <w:pPr>
              <w:ind w:left="120"/>
              <w:spacing w:after="0"/>
              <w:rPr>
                <w:sz w:val="20"/>
                <w:szCs w:val="20"/>
                <w:color w:val="auto"/>
              </w:rPr>
            </w:pPr>
            <w:r>
              <w:rPr>
                <w:rFonts w:ascii="Arial" w:cs="Arial" w:eastAsia="Arial" w:hAnsi="Arial"/>
                <w:sz w:val="18"/>
                <w:szCs w:val="18"/>
                <w:color w:val="auto"/>
              </w:rPr>
              <w:t>Total Intangible Assets</w:t>
            </w:r>
          </w:p>
        </w:tc>
        <w:tc>
          <w:tcPr>
            <w:tcW w:w="220" w:type="dxa"/>
            <w:vAlign w:val="bottom"/>
          </w:tcPr>
          <w:p>
            <w:pPr>
              <w:jc w:val="right"/>
              <w:ind w:right="3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229,337</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(5,727)</w:t>
            </w:r>
          </w:p>
        </w:tc>
        <w:tc>
          <w:tcPr>
            <w:tcW w:w="2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223,610</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w w:val="91"/>
              </w:rPr>
              <w:t>* Amounts are translated using the foreign exchange rate as of 9/30/2023.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80" w:firstLine="492"/>
        <w:spacing w:after="0" w:line="327" w:lineRule="auto"/>
        <w:rPr>
          <w:sz w:val="20"/>
          <w:szCs w:val="20"/>
          <w:color w:val="auto"/>
        </w:rPr>
      </w:pPr>
      <w:r>
        <w:rPr>
          <w:rFonts w:ascii="Arial" w:cs="Arial" w:eastAsia="Arial" w:hAnsi="Arial"/>
          <w:sz w:val="15"/>
          <w:szCs w:val="15"/>
          <w:color w:val="auto"/>
        </w:rPr>
        <w:t>The Company recognized amortization expense of $4.0 million and $5.9 million, respectively, during the three and nine months ended September 30, 2023. Amortization expense for the developed technology and assembled workforce is recorded in Cost of Sales and Selling, General and Administrative expense, respectively, in the condensed consolidated statement of operations for the three and nine months ended September 30, 2023. There was no such expense recorded in the three and nine months ended September 30, 2022.</w:t>
      </w:r>
    </w:p>
    <w:p>
      <w:pPr>
        <w:spacing w:after="0" w:line="140"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The total estimated amortization of the Company’s intangible assets for the remaining three months ending December 31, 2023, and the years ending December 31, 2024, 2025, 2026, 2027 and 2028 are $3.9 million, $15.5 million, $15.5 million, $15.4 million, $15.2 million and $15.2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INVENTORY</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Inventory presented in the condensed consolidated balance sheet as of September 30, 2023 pertains solely to Proleukin®.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Inventory classified as work in process are unlabeled vials of Proleukin®.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2023 and December 31, 2022, inventory consists of the following (in thousands):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277"/>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01"/>
        </w:trPr>
        <w:tc>
          <w:tcPr>
            <w:tcW w:w="408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p>
        </w:tc>
      </w:tr>
      <w:tr>
        <w:trPr>
          <w:trHeight w:val="210"/>
        </w:trPr>
        <w:tc>
          <w:tcPr>
            <w:tcW w:w="4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inventory</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w:t>
            </w:r>
          </w:p>
        </w:tc>
      </w:tr>
      <w:tr>
        <w:trPr>
          <w:trHeight w:val="20"/>
        </w:trPr>
        <w:tc>
          <w:tcPr>
            <w:tcW w:w="4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REVENUE</w:t>
      </w:r>
    </w:p>
    <w:p>
      <w:pPr>
        <w:spacing w:after="0" w:line="189"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Product sales for the three and nine months ended September 30, 2023 was $0.5 million, and $0.7 million, respectively, and represented sales of Proleukin® made in licensed markets outside of the U.S. To date, there have been no product sales from Proleukin® in the U.S. market.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PROPERTY AND EQUIPMENT, NET</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60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74,305</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Lab, process, and validation equipment</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22,136</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Utility equipment</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5,951</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2,927</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Computer equipment</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20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9,118</w:t>
            </w:r>
          </w:p>
        </w:tc>
      </w:tr>
      <w:tr>
        <w:trPr>
          <w:trHeight w:val="20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and equipment, cost</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121,950</w:t>
            </w:r>
          </w:p>
        </w:tc>
      </w:tr>
      <w:tr>
        <w:trPr>
          <w:trHeight w:val="216"/>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20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(25,228)</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(16,718)</w:t>
            </w:r>
          </w:p>
        </w:tc>
      </w:tr>
      <w:tr>
        <w:trPr>
          <w:trHeight w:val="209"/>
        </w:trPr>
        <w:tc>
          <w:tcPr>
            <w:tcW w:w="5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2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113,142</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105,232</w:t>
            </w:r>
          </w:p>
        </w:tc>
      </w:tr>
      <w:tr>
        <w:trPr>
          <w:trHeight w:val="20"/>
        </w:trPr>
        <w:tc>
          <w:tcPr>
            <w:tcW w:w="5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92"/>
        <w:spacing w:after="0" w:line="263" w:lineRule="auto"/>
        <w:rPr>
          <w:sz w:val="20"/>
          <w:szCs w:val="20"/>
          <w:color w:val="auto"/>
        </w:rPr>
      </w:pPr>
      <w:r>
        <w:rPr>
          <w:rFonts w:ascii="Arial" w:cs="Arial" w:eastAsia="Arial" w:hAnsi="Arial"/>
          <w:sz w:val="18"/>
          <w:szCs w:val="18"/>
          <w:color w:val="auto"/>
        </w:rPr>
        <w:t>Depreciation and amortization expense for the three months ended September 30, 2023 and 2022, was $2.9 million and $2.5 million, respectively. Depreciation and amortization expense for the nine months ended September 30, 2023 and 2022, was $8.6 million and $6.5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ACCRUED EXPENSES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employee related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19,407</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Clinical related</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14,812</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Manufacturing related</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Facilities related</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6,510</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Legal and related services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Proleukin® acquisition related</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r>
      <w:tr>
        <w:trPr>
          <w:trHeight w:val="209"/>
        </w:trPr>
        <w:tc>
          <w:tcPr>
            <w:tcW w:w="7560" w:type="dxa"/>
            <w:vAlign w:val="bottom"/>
          </w:tcPr>
          <w:p>
            <w:pPr>
              <w:ind w:left="100"/>
              <w:spacing w:after="0"/>
              <w:rPr>
                <w:sz w:val="20"/>
                <w:szCs w:val="20"/>
                <w:color w:val="auto"/>
              </w:rPr>
            </w:pPr>
            <w:r>
              <w:rPr>
                <w:rFonts w:ascii="Arial" w:cs="Arial" w:eastAsia="Arial" w:hAnsi="Arial"/>
                <w:sz w:val="18"/>
                <w:szCs w:val="18"/>
                <w:color w:val="auto"/>
              </w:rPr>
              <w:t>Total accrued expenses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52,295</w:t>
            </w:r>
          </w:p>
        </w:tc>
      </w:tr>
      <w:tr>
        <w:trPr>
          <w:trHeight w:val="20"/>
        </w:trPr>
        <w:tc>
          <w:tcPr>
            <w:tcW w:w="7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jc w:val="both"/>
        <w:ind w:right="260" w:firstLine="492"/>
        <w:spacing w:after="0" w:line="263" w:lineRule="auto"/>
        <w:rPr>
          <w:sz w:val="20"/>
          <w:szCs w:val="20"/>
          <w:color w:val="auto"/>
        </w:rPr>
      </w:pPr>
      <w:r>
        <w:rPr>
          <w:rFonts w:ascii="Arial" w:cs="Arial" w:eastAsia="Arial" w:hAnsi="Arial"/>
          <w:sz w:val="18"/>
          <w:szCs w:val="18"/>
          <w:color w:val="auto"/>
        </w:rPr>
        <w:t>The Company’s certificate of incorporation, as amended, authorizes the issuance of up to 500,000,000 shares of the Company’s common stock, par value $0.000041666. As of September 30, 2023, 255,833,679 shares of the Company’s common stock were issued and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198" w:lineRule="exact"/>
        <w:rPr>
          <w:sz w:val="20"/>
          <w:szCs w:val="20"/>
          <w:color w:val="auto"/>
        </w:rPr>
      </w:pPr>
    </w:p>
    <w:p>
      <w:pPr>
        <w:ind w:right="40" w:firstLine="492"/>
        <w:spacing w:after="0" w:line="275" w:lineRule="auto"/>
        <w:rPr>
          <w:sz w:val="20"/>
          <w:szCs w:val="20"/>
          <w:color w:val="auto"/>
        </w:rPr>
      </w:pPr>
      <w:r>
        <w:rPr>
          <w:rFonts w:ascii="Arial" w:cs="Arial" w:eastAsia="Arial" w:hAnsi="Arial"/>
          <w:sz w:val="17"/>
          <w:szCs w:val="17"/>
          <w:color w:val="auto"/>
        </w:rPr>
        <w:t>On July 13, 2023, the Company closed an underwritten public offering of 23,000,000 shares of the Company’s common stock, which included 3,000,000 shares of common stock issued pursuant to the exercise of the option granted to the underwriters, at a public offering price of $7.50 per share, before underwriting discounts and commissions. The total estimated net proceeds to the Company from the offering, including the exercise of the option by the underwriters, were approximately $161.5 million after deducting underwriting discounts and commissions and estimated offering expenses payable by the Company.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the Market Offering Program</w:t>
      </w:r>
    </w:p>
    <w:p>
      <w:pPr>
        <w:spacing w:after="0" w:line="185"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On November 18, 2022, the Company entered into an Open Market Sale Agreement (the “2022 Sale Agreement”) with Jefferies LLC (“Jefferies”). Under the terms of the 2022 Sale Agreement, the Company was able to, from time to time, at its sole discretion, issue and sell up to $500.0 million of shares of the Company’s common stock. On June 16, 2023, the Company entered into a new Open Market Sale Agreement (the “2023 Sale Agreement”), which superseded and replaced in its entirety the 2022 Sale Agreement. Under the terms of the 2023 Sale Agreement, the Company may, from time to time, in its sole discretion, issue and sell up to $450.0 million of shares of the Company’s common stock. The issuance and sale, if any, of the shares of common stock by the Company under the 2022 Sale Agreement and the 2023 Sale Agreement (together, the “Sale Agreements”) was or will be made pursuant to a prospectus supplement, dated November 18, 2022 and June 16, 2023, respectively, to the Company’s Registration Statement on Form S-3ASR, which became effective immediately upon filing with the Securities and Exchange Commission on May 27, 2020 and June 16, 2023.</w:t>
      </w:r>
    </w:p>
    <w:p>
      <w:pPr>
        <w:spacing w:after="0" w:line="139"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Pursuant to the Sale Agreements, Jefferies may sell the shares of common stock by any method permitted by law deemed to be an “at the market” offering as defined in Rule 415 of the Securities Act of 1933, as amended. Jefferies will use commercially reasonable efforts consistent with its normal trading and sales practices to sell the shares of common stock from time to time, based upon instructions from the Company (including any price or size limits or other customary parameters or conditions the Company may impose). The Company will pay Jefferies a commission of up to 3.0% of the gross sales proceeds of any shares of common stock sold through Jefferies under the Sale Agreements.</w:t>
      </w:r>
    </w:p>
    <w:p>
      <w:pPr>
        <w:spacing w:after="0" w:line="152" w:lineRule="exact"/>
        <w:rPr>
          <w:sz w:val="20"/>
          <w:szCs w:val="20"/>
          <w:color w:val="auto"/>
        </w:rPr>
      </w:pPr>
    </w:p>
    <w:p>
      <w:pPr>
        <w:jc w:val="both"/>
        <w:ind w:right="40" w:firstLine="492"/>
        <w:spacing w:after="0" w:line="311" w:lineRule="auto"/>
        <w:rPr>
          <w:sz w:val="20"/>
          <w:szCs w:val="20"/>
          <w:color w:val="auto"/>
        </w:rPr>
      </w:pPr>
      <w:r>
        <w:rPr>
          <w:rFonts w:ascii="Arial" w:cs="Arial" w:eastAsia="Arial" w:hAnsi="Arial"/>
          <w:sz w:val="16"/>
          <w:szCs w:val="16"/>
          <w:color w:val="auto"/>
        </w:rPr>
        <w:t>The Company is not obligated to make any sales of shares of common stock under the Sale Agreements. The offering of shares of common stock pursuant to the Sale Agreements will terminate upon the earlier to occur of (i) the issuance and sale, through Jefferies, of all shares of common stock subject to the Sale Agreements and (ii) termination of the Sale Agreements in accordance with its terms.</w:t>
      </w:r>
    </w:p>
    <w:p>
      <w:pPr>
        <w:spacing w:after="0" w:line="108"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During the three months ended September 30, 2023, the Company received approximately $41.7 million in proceeds, net of offering costs, through the sale of 8,000,000 shares of common stock pursuant to the 2023 Sale Agreement at a weighted average price per share of $5.33. During the nine months ended September 30, 2023, the Company received approximately $301.7 million in proceeds, net of offering costs, through the sale of 44,080,226 shares of common stock pursuant to the Sale Agreements at a weighted average price per share of $6.99. No sales were made pursuant to the Sale Agreements during the three and nine months ended September 30,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ind w:right="160" w:firstLine="492"/>
        <w:spacing w:after="0" w:line="311" w:lineRule="auto"/>
        <w:rPr>
          <w:sz w:val="20"/>
          <w:szCs w:val="20"/>
          <w:color w:val="auto"/>
        </w:rPr>
      </w:pPr>
      <w:r>
        <w:rPr>
          <w:rFonts w:ascii="Arial" w:cs="Arial" w:eastAsia="Arial" w:hAnsi="Arial"/>
          <w:sz w:val="16"/>
          <w:szCs w:val="16"/>
          <w:color w:val="auto"/>
        </w:rPr>
        <w:t>The Company’s certificate of incorporation authorizes the issuance of up to 50,000,000 shares of “blank check” preferred stock. As of September 30, 2023, 17,000 shares were designated as Series A Convertible Preferred Stock (“Series A Convertible Preferred Stock”) and 11,500,000 shares were designated as Series B Convertible Preferred Stock (“Series B Convertible Preferred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98" w:lineRule="exact"/>
        <w:rPr>
          <w:sz w:val="20"/>
          <w:szCs w:val="20"/>
          <w:color w:val="auto"/>
        </w:rPr>
      </w:pPr>
    </w:p>
    <w:p>
      <w:pPr>
        <w:ind w:right="140" w:firstLine="492"/>
        <w:spacing w:after="0" w:line="301" w:lineRule="auto"/>
        <w:rPr>
          <w:sz w:val="20"/>
          <w:szCs w:val="20"/>
          <w:color w:val="auto"/>
        </w:rPr>
      </w:pPr>
      <w:r>
        <w:rPr>
          <w:rFonts w:ascii="Arial" w:cs="Arial" w:eastAsia="Arial" w:hAnsi="Arial"/>
          <w:sz w:val="16"/>
          <w:szCs w:val="16"/>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 Each share of Series A Preferred Stock is initially convertible into 500 shares of common stock.</w:t>
      </w:r>
    </w:p>
    <w:p>
      <w:pPr>
        <w:spacing w:after="0" w:line="117" w:lineRule="exact"/>
        <w:rPr>
          <w:sz w:val="20"/>
          <w:szCs w:val="20"/>
          <w:color w:val="auto"/>
        </w:rPr>
      </w:pPr>
    </w:p>
    <w:p>
      <w:pPr>
        <w:ind w:right="140" w:firstLine="492"/>
        <w:spacing w:after="0" w:line="291" w:lineRule="auto"/>
        <w:rPr>
          <w:sz w:val="20"/>
          <w:szCs w:val="20"/>
          <w:color w:val="auto"/>
        </w:rPr>
      </w:pPr>
      <w:r>
        <w:rPr>
          <w:rFonts w:ascii="Arial" w:cs="Arial" w:eastAsia="Arial" w:hAnsi="Arial"/>
          <w:sz w:val="16"/>
          <w:szCs w:val="16"/>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w:t>
      </w:r>
    </w:p>
    <w:p>
      <w:pPr>
        <w:spacing w:after="0" w:line="126"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During the three and nine months ended September 30, 2023 and 2022, no shares of Series A Convertible Preferred Stock were converted into shares of common stock. As of September 30, 2023 and December 31, 2022, 194 shares of Series A Convertible Preferred Stock (that are convertible into 97,000 shares of common stock) remained outstanding.</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185"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 Each share of Series B Preferred Stock is initially convertible into 1 share of common stock.</w:t>
      </w:r>
    </w:p>
    <w:p>
      <w:pPr>
        <w:spacing w:after="0" w:line="130"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The Series B Convertible Preferred Stock may, at the option of each investor, be converted into fully paid and non-assessable shares of common stock. The holders of shares of Series B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pacing w:after="0" w:line="138" w:lineRule="exact"/>
        <w:rPr>
          <w:sz w:val="20"/>
          <w:szCs w:val="20"/>
          <w:color w:val="auto"/>
        </w:rPr>
      </w:pPr>
    </w:p>
    <w:p>
      <w:pPr>
        <w:ind w:right="40" w:firstLine="492"/>
        <w:spacing w:after="0" w:line="263" w:lineRule="auto"/>
        <w:rPr>
          <w:sz w:val="20"/>
          <w:szCs w:val="20"/>
          <w:color w:val="auto"/>
        </w:rPr>
      </w:pPr>
      <w:r>
        <w:rPr>
          <w:rFonts w:ascii="Arial" w:cs="Arial" w:eastAsia="Arial" w:hAnsi="Arial"/>
          <w:sz w:val="18"/>
          <w:szCs w:val="18"/>
          <w:color w:val="auto"/>
        </w:rPr>
        <w:t>During the three and nine months ended September 30, 2023 and 2022, no shares of Series B Convertible Preferred Stock were converted into shares of common stock. As of September 30, 2023 and December 31, 2022, 2,842,158 shares of Series B Preferred Stock (that are convertible into 2,842,158 shares of common stock) remained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98" w:lineRule="exact"/>
        <w:rPr>
          <w:sz w:val="20"/>
          <w:szCs w:val="20"/>
          <w:color w:val="auto"/>
        </w:rPr>
      </w:pPr>
    </w:p>
    <w:p>
      <w:pPr>
        <w:ind w:right="900" w:firstLine="486"/>
        <w:spacing w:after="0" w:line="277" w:lineRule="auto"/>
        <w:rPr>
          <w:sz w:val="20"/>
          <w:szCs w:val="20"/>
          <w:color w:val="auto"/>
        </w:rPr>
      </w:pPr>
      <w:r>
        <w:rPr>
          <w:rFonts w:ascii="Arial" w:cs="Arial" w:eastAsia="Arial" w:hAnsi="Arial"/>
          <w:sz w:val="18"/>
          <w:szCs w:val="18"/>
          <w:color w:val="auto"/>
        </w:rPr>
        <w:t>The Company has multiple equity incentive plans under which it grants awards. As of September 30, 2023, there were 257,126 shares available to grant under the 2014 Equity Incentive Plan (the “2014 Plan”).</w:t>
      </w:r>
    </w:p>
    <w:p>
      <w:pPr>
        <w:spacing w:after="0" w:line="130"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On April 22, 2018, the Company’s board of directors (the “Board”) adopted the Iovance Biotherapeutics, Inc. 2018 Equity Incentive Plan (as amended, the “2018 Plan”), which was approved by the Company’s stockholders in June 2018. The 2018 Plan as approved initially authorized the issuance up to an aggregate of 6,000,000 shares of common stock in the form of incentive (qualified) stock options, non-qualified options, common stock, stock appreciation rights, restricted stock awards, restricted stock units, other stock-based awards, other cash-based awards or any combination of the foregoing. On June 8, 2020, the Company's stockholders approved an amendment to the 2018 Plan to increase the number of shares available for issuance under the 2018 Plan from 6,000,000 to 14,000,000 shares, which became effective immediately. On June 10, 2022, the Company’s stockholders approved an amendment to the 2018 Plan to increase the number of shares available for issuance under the 2018 Plan from 14,000,000 to 20,700,000 shares, which became effective immediately. On June 6, 2023, the Company’s stockholders approved an amendment to the 2018 plan to increase the number of shares available for issuance under the 2018 plan from 20,700,000 to 29,700,000, which became effective immediately. As of September 30, 2023, 9,297,329 shares of common stock were available for grant under the 2018 Plan.</w:t>
      </w:r>
    </w:p>
    <w:p>
      <w:pPr>
        <w:spacing w:after="0" w:line="131" w:lineRule="exact"/>
        <w:rPr>
          <w:sz w:val="20"/>
          <w:szCs w:val="20"/>
          <w:color w:val="auto"/>
        </w:rPr>
      </w:pPr>
    </w:p>
    <w:p>
      <w:pPr>
        <w:ind w:right="100" w:firstLine="492"/>
        <w:spacing w:after="0" w:line="273" w:lineRule="auto"/>
        <w:rPr>
          <w:sz w:val="20"/>
          <w:szCs w:val="20"/>
          <w:color w:val="auto"/>
        </w:rPr>
      </w:pPr>
      <w:r>
        <w:rPr>
          <w:rFonts w:ascii="Arial" w:cs="Arial" w:eastAsia="Arial" w:hAnsi="Arial"/>
          <w:sz w:val="17"/>
          <w:szCs w:val="17"/>
          <w:color w:val="auto"/>
        </w:rPr>
        <w:t>On September 22, 2021, the Board adopted the Iovance Biotherapeutics, Inc. 2021 Inducement Plan (as amended, the “2021 Inducement Plan”). The 2021 Inducement Plan provides for the grant of non-qualified options, common stock, stock appreciation rights, restricted stock awards, restricted stock units, other stock-based awards, other cash-based awards, or any combination of the foregoing. The 2021 Inducement Plan was recommended for approval by the Compensation Committee of the Board (the “Compensation Committee”), and subsequently approved and adopted by the Board without stockholder approval pursuant to Rule 5635(c)(4) of the rules and regulations of The Nasdaq Stock Market, LLC (the “Nasdaq Listing Rules”).</w:t>
      </w:r>
    </w:p>
    <w:p>
      <w:pPr>
        <w:spacing w:after="0" w:line="151"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The Board initially reserved 1,000,000 shares of the Company’s common stock for issuance pursuant to equity awards granted under the 2021 Inducement Plan, and the 2021 Inducement Plan is administered by the Compensation Committee. On January 12, 2022, the Compensation Committee approved an amendment to the 2021 Inducement Plan solely to increase the number of shares reserved for issuance under the 2021 Inducement Plan from 1,000,000 shares of the Company’s common stock to 1,750,000 shares of the Company’s common stock without stockholder approval pursuant to Rule 5635(c)(4) of the Nasdaq Listing Rules. On March 13, 2023, the Compensation Committee approved an additional amendment to the 2021 Inducement Plan solely to increase the number of shares reserved for issuance under the 2021 Inducement Plan from 1,750,000 shares of the Company’s common stock to 2,250,000 shares of the Company’s common stock without stockholder approval pursuant to Rule 5635(c)(4) of the Nasdaq Listing Rules.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In accordance with Rule 5635(c)(4) of the Nasdaq Listing Rules, equity awards under the 2021 Inducement Plan may only be made to an employee if such employee is granted such equity awards in connection with his or her commencement of employment with the Company or a subsidiary and such grant is an inducement material to his or her entering into employment with the Company or such subsidiary. In addition, awards under the 2021 Inducement Plan may only be made to employees who have not previously been an employee or member of the Board (or any parent or subsidiary of the Company) or following a bona fide period of non-employment of the employee by the Company (or a parent or subsidiary of the Company). As of September 30, 2023, 429,763 shares of common stock were available for grant under the 2021 Inducement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summary of the stock option activity during the nine months ended September 30, 2023, is presented in the following table: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Weighted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76"/>
        </w:trPr>
        <w:tc>
          <w:tcPr>
            <w:tcW w:w="48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5"/>
        </w:trPr>
        <w:tc>
          <w:tcPr>
            <w:tcW w:w="484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Exercise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Options</w:t>
            </w: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2022</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15,240,197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Issued</w:t>
            </w:r>
          </w:p>
        </w:tc>
        <w:tc>
          <w:tcPr>
            <w:tcW w:w="1220" w:type="dxa"/>
            <w:vAlign w:val="bottom"/>
          </w:tcPr>
          <w:p>
            <w:pPr>
              <w:jc w:val="right"/>
              <w:spacing w:after="0"/>
              <w:rPr>
                <w:sz w:val="20"/>
                <w:szCs w:val="20"/>
                <w:color w:val="auto"/>
              </w:rPr>
            </w:pPr>
            <w:r>
              <w:rPr>
                <w:rFonts w:ascii="Arial" w:cs="Arial" w:eastAsia="Arial" w:hAnsi="Arial"/>
                <w:sz w:val="18"/>
                <w:szCs w:val="18"/>
                <w:color w:val="auto"/>
              </w:rPr>
              <w:t>5,227,245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7.10</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Expired/Cancelled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(1,185,281)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17.66</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2023</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19,274,301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Ending vested and expected to vest at September 30, 2023</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tcBorders>
              <w:bottom w:val="single" w:sz="8" w:color="CCEEFF"/>
            </w:tcBorders>
            <w:vMerge w:val="continue"/>
          </w:tcPr>
          <w:p>
            <w:pPr>
              <w:spacing w:after="0"/>
              <w:rPr>
                <w:sz w:val="20"/>
                <w:szCs w:val="20"/>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19,274,301</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18.59</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7.12</w:t>
            </w:r>
          </w:p>
        </w:tc>
        <w:tc>
          <w:tcPr>
            <w:tcW w:w="2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ind w:left="7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48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September 30, 2023</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11,662,634</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23.37</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5.89</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ind w:left="7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60" w:firstLine="492"/>
        <w:spacing w:after="0" w:line="277" w:lineRule="auto"/>
        <w:rPr>
          <w:sz w:val="20"/>
          <w:szCs w:val="20"/>
          <w:color w:val="auto"/>
        </w:rPr>
      </w:pPr>
      <w:r>
        <w:rPr>
          <w:rFonts w:ascii="Arial" w:cs="Arial" w:eastAsia="Arial" w:hAnsi="Arial"/>
          <w:sz w:val="18"/>
          <w:szCs w:val="18"/>
          <w:color w:val="auto"/>
        </w:rPr>
        <w:t>As of September 30, 2023, there was $44.1 million of total unrecognized compensation expense related to the options that is expected to be recognized over a weighted average period of 1.96 years.</w:t>
      </w:r>
    </w:p>
    <w:p>
      <w:pPr>
        <w:spacing w:after="0" w:line="130"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color w:val="auto"/>
        </w:rPr>
        <w:t>The weighted average grant date fair value for employee options granted under the Company’s stock option plans during the nine months ended September 30, 2023 and 2022 was $4.95 and $8.78 per option, respectively.</w:t>
      </w:r>
    </w:p>
    <w:p>
      <w:pPr>
        <w:spacing w:after="0" w:line="130" w:lineRule="exact"/>
        <w:rPr>
          <w:sz w:val="20"/>
          <w:szCs w:val="20"/>
          <w:color w:val="auto"/>
        </w:rPr>
      </w:pPr>
    </w:p>
    <w:p>
      <w:pPr>
        <w:ind w:right="80" w:firstLine="492"/>
        <w:spacing w:after="0" w:line="257" w:lineRule="auto"/>
        <w:rPr>
          <w:sz w:val="20"/>
          <w:szCs w:val="20"/>
          <w:color w:val="auto"/>
        </w:rPr>
      </w:pPr>
      <w:r>
        <w:rPr>
          <w:rFonts w:ascii="Arial" w:cs="Arial" w:eastAsia="Arial" w:hAnsi="Arial"/>
          <w:sz w:val="18"/>
          <w:szCs w:val="18"/>
          <w:color w:val="auto"/>
        </w:rPr>
        <w:t>The aggregate intrinsic value in the table above reflects the total pre-tax intrinsic value (calculated as the difference between the Company’s closing stock price on the last trading day of the quarter ended September 30, 2023 and the exercise price of the options, multiplied by the number of in-the-money stock options) that would have been received by the option holders had all option holders exercised their options on September 30, 2023. The intrinsic value of the Company’s stock options changes based on the closing price of the Company’s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In June 2020, the Company adopted the 2020 Employee Stock Purchase Plan (as amended, the “2020 ESPP”) upon its approval by the Company’s shareholders at its Annual Stockholders Meeting on June 8, 2020. The Company reserved 500,000 shares of its common stock for issuance under the 2020 ESPP. On June 6, 2023, the Company's stockholders approved an amendment to the 2020 ESPP plan, to increase the number of shares reserved for issuance under the 2020 ESPP plan from 500,000 shares of the Company’s common stock to 1,400,000 shares of the Company’s common stock, which became effective immediately.</w:t>
      </w:r>
    </w:p>
    <w:p>
      <w:pPr>
        <w:spacing w:after="0" w:line="121"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Under the 2020 ESPP, employees of the Company can purchase shares of its common stock based on a percentage of their compensation subject to certain limits. The purchase price per share is equal to the lower of 85% of the fair market value of its common stock on the offering date or the purchase date with a six-month look-back feature. The 2020 ESPP purchases are settled with common stock from the 2020 ESPP’s previously authorized and available pool of shares.</w:t>
      </w:r>
    </w:p>
    <w:p>
      <w:pPr>
        <w:spacing w:after="0" w:line="144"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The compensation expense related to the 2020 ESPP for the three and nine months ended September 30, 2023 was $0.3 million and $0.9 million, respectively. The compensation expense related to the 2020 ESPP for the three and nine months ended September 30, 2022 was $0.4 million and $0.9 million, respectively. As of September 30, 2023, 583,045 shares have been issued to date under the 2020 ESPP and there was $0.3 million of unrecognized compensation cost associated with the 2020 ESPP, which is expected to be recognized over the remaining 2.3 months.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and Performance Restricted Stock Units</w:t>
      </w:r>
    </w:p>
    <w:p>
      <w:pPr>
        <w:spacing w:after="0" w:line="185"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In addition to RSUs that have time-based vesting requirements, from time to time the Company may issue RSUs that include certain performance vesting criteria based upon the satisfaction of stated objectives (“PRSUs”). Compensation expense related to PRSUs is based on the grant date fair value of the award and recorded from the period that achievement is determined to be probable through the stated service period associated with the award.</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Activity for RSUs and PRSUs during the nine months ended September 30, 2023 is presented in the following table:</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4"/>
                <w:szCs w:val="14"/>
                <w:color w:val="auto"/>
              </w:rPr>
            </w:pPr>
          </w:p>
        </w:tc>
        <w:tc>
          <w:tcPr>
            <w:tcW w:w="1400" w:type="dxa"/>
            <w:vAlign w:val="bottom"/>
          </w:tcPr>
          <w:p>
            <w:pPr>
              <w:jc w:val="center"/>
              <w:ind w:right="277"/>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360" w:type="dxa"/>
            <w:vAlign w:val="bottom"/>
          </w:tcPr>
          <w:p>
            <w:pPr>
              <w:spacing w:after="0"/>
              <w:rPr>
                <w:sz w:val="12"/>
                <w:szCs w:val="12"/>
                <w:color w:val="auto"/>
              </w:rPr>
            </w:pPr>
          </w:p>
        </w:tc>
        <w:tc>
          <w:tcPr>
            <w:tcW w:w="140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RSUs and PRSUs</w:t>
            </w:r>
          </w:p>
        </w:tc>
        <w:tc>
          <w:tcPr>
            <w:tcW w:w="360" w:type="dxa"/>
            <w:vAlign w:val="bottom"/>
          </w:tcPr>
          <w:p>
            <w:pPr>
              <w:spacing w:after="0"/>
              <w:rPr>
                <w:sz w:val="14"/>
                <w:szCs w:val="14"/>
                <w:color w:val="auto"/>
              </w:rPr>
            </w:pPr>
          </w:p>
        </w:tc>
        <w:tc>
          <w:tcPr>
            <w:tcW w:w="1400" w:type="dxa"/>
            <w:vAlign w:val="bottom"/>
          </w:tcPr>
          <w:p>
            <w:pPr>
              <w:jc w:val="center"/>
              <w:ind w:right="2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2022</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2,436,764</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2,729,348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Vested/Released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(1,112,864)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Canceled/Forfeited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(264,643)</w:t>
            </w:r>
          </w:p>
        </w:tc>
        <w:tc>
          <w:tcPr>
            <w:tcW w:w="3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9"/>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September 30, 2023</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3,788,605</w:t>
            </w:r>
          </w:p>
        </w:tc>
        <w:tc>
          <w:tcPr>
            <w:tcW w:w="3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Ending vested and expected to vest at September 30, 2023</w:t>
            </w: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3,788,605</w:t>
            </w:r>
          </w:p>
        </w:tc>
        <w:tc>
          <w:tcPr>
            <w:tcW w:w="300" w:type="dxa"/>
            <w:vAlign w:val="bottom"/>
          </w:tcPr>
          <w:p>
            <w:pPr>
              <w:spacing w:after="0"/>
              <w:rPr>
                <w:sz w:val="17"/>
                <w:szCs w:val="17"/>
                <w:color w:val="auto"/>
              </w:rPr>
            </w:pPr>
          </w:p>
        </w:tc>
        <w:tc>
          <w:tcPr>
            <w:tcW w:w="3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firstLine="492"/>
        <w:spacing w:after="0" w:line="286" w:lineRule="auto"/>
        <w:rPr>
          <w:sz w:val="20"/>
          <w:szCs w:val="20"/>
          <w:color w:val="auto"/>
        </w:rPr>
      </w:pPr>
      <w:r>
        <w:rPr>
          <w:rFonts w:ascii="Arial" w:cs="Arial" w:eastAsia="Arial" w:hAnsi="Arial"/>
          <w:sz w:val="17"/>
          <w:szCs w:val="17"/>
          <w:color w:val="auto"/>
        </w:rPr>
        <w:t>As of September 30, 2023 there was $25.4 million of unrecognized stock-based compensation expense associated with unvested RSU and PRSUs, which the Company expects to recognize over a remaining weighted-average period of 1.89 years. The aggregate intrinsic value of the unvested RSUs and PRSUs outstanding as of September 30, 2023 was $17.2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480" w:firstLine="492"/>
        <w:spacing w:after="0" w:line="277" w:lineRule="auto"/>
        <w:rPr>
          <w:sz w:val="20"/>
          <w:szCs w:val="20"/>
          <w:color w:val="auto"/>
        </w:rPr>
      </w:pPr>
      <w:r>
        <w:rPr>
          <w:rFonts w:ascii="Arial" w:cs="Arial" w:eastAsia="Arial" w:hAnsi="Arial"/>
          <w:sz w:val="18"/>
          <w:szCs w:val="18"/>
          <w:color w:val="auto"/>
        </w:rPr>
        <w:t>Total stock-based compensation expense related to all of the Company’s stock-based awards was recorded on the condensed consolidated statements of operations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w w:val="89"/>
              </w:rPr>
              <w:t>2022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w w:val="89"/>
              </w:rPr>
              <w:t>2022</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11,272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38,863</w:t>
            </w: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21,190</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25,650</w:t>
            </w:r>
          </w:p>
        </w:tc>
      </w:tr>
      <w:tr>
        <w:trPr>
          <w:trHeight w:val="210"/>
        </w:trPr>
        <w:tc>
          <w:tcPr>
            <w:tcW w:w="5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15,821</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19,780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48,226</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64,513</w:t>
            </w: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stock-based compensation expense by type of award was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5"/>
          </w:tcPr>
          <w:p>
            <w:pPr>
              <w:jc w:val="right"/>
              <w:ind w:right="354"/>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4"/>
                <w:szCs w:val="14"/>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89"/>
              </w:rPr>
              <w:t>2022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9"/>
              </w:rPr>
              <w:t>2022</w:t>
            </w: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44,267</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Restricted stock expense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4,088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19,346</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ESPP expense</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09"/>
        </w:trPr>
        <w:tc>
          <w:tcPr>
            <w:tcW w:w="5440" w:type="dxa"/>
            <w:vAlign w:val="bottom"/>
          </w:tcPr>
          <w:p>
            <w:pPr>
              <w:ind w:left="14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15,821</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19,780</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48,226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64,513</w:t>
            </w: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LICENSES AND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(the “NIH”) and the National Cancer Institute (the “NCI”)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(the “CRADA”)</w:t>
      </w:r>
    </w:p>
    <w:p>
      <w:pPr>
        <w:spacing w:after="0" w:line="185" w:lineRule="exact"/>
        <w:rPr>
          <w:sz w:val="20"/>
          <w:szCs w:val="20"/>
          <w:color w:val="auto"/>
        </w:rPr>
      </w:pPr>
    </w:p>
    <w:p>
      <w:pPr>
        <w:ind w:right="200" w:firstLine="567"/>
        <w:spacing w:after="0" w:line="311" w:lineRule="auto"/>
        <w:rPr>
          <w:sz w:val="20"/>
          <w:szCs w:val="20"/>
          <w:color w:val="auto"/>
        </w:rPr>
      </w:pPr>
      <w:r>
        <w:rPr>
          <w:rFonts w:ascii="Arial" w:cs="Arial" w:eastAsia="Arial" w:hAnsi="Arial"/>
          <w:sz w:val="16"/>
          <w:szCs w:val="16"/>
          <w:color w:val="auto"/>
        </w:rPr>
        <w:t>In August 2011, the Company signed a five-year CRADA with the NCI to work on the development of adoptive cell immunotherapies that are designed to destroy advanced melanoma cells. The CRADA was amended in 2015 and 2016 to, among other things, extend the term of the CRADA through August 2021, include new indications such as the development of TIL therapy for the</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treatment of patients with bladder, lung, triple-negative breast, and Human Papilloma Virus (“HPV”)-associated cancers, and modify the focus on the development of unmodified TIL as a stand-alone therapy or in combination. The parties have continued the development of improved methods for the generation and selection of TIL with anti-tumor reactivity in metastatic melanoma, bladder, lung, breast, and HPV-associated cancers.</w:t>
      </w:r>
    </w:p>
    <w:p>
      <w:pPr>
        <w:spacing w:after="0" w:line="146"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In August 2021, the NCI and the Company entered into a third amendment to the CRADA. The third amendment, among other things, extended the term of the CRADA by three years to August 2024. The research plan in this amendment includes the evaluation in clinical trials of strategies for development of more potent TILs, such as selection of CD39/69 double negative cells and the use of certain inhibitors or other reagents in TIL expansion cultures.</w:t>
      </w:r>
    </w:p>
    <w:p>
      <w:pPr>
        <w:spacing w:after="0" w:line="160" w:lineRule="exact"/>
        <w:rPr>
          <w:sz w:val="20"/>
          <w:szCs w:val="20"/>
          <w:color w:val="auto"/>
        </w:rPr>
      </w:pPr>
    </w:p>
    <w:p>
      <w:pPr>
        <w:ind w:right="80" w:firstLine="492"/>
        <w:spacing w:after="0" w:line="270" w:lineRule="auto"/>
        <w:rPr>
          <w:sz w:val="20"/>
          <w:szCs w:val="20"/>
          <w:color w:val="auto"/>
        </w:rPr>
      </w:pPr>
      <w:r>
        <w:rPr>
          <w:rFonts w:ascii="Arial" w:cs="Arial" w:eastAsia="Arial" w:hAnsi="Arial"/>
          <w:sz w:val="17"/>
          <w:szCs w:val="17"/>
          <w:color w:val="auto"/>
        </w:rPr>
        <w:t>Pursuant to the terms of the CRADA, as amended, the Company is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Current Good Manufacturing Practice (“cGMP”) conditions, suitable for use in clinical trials. The extended CRADA has a three-year term expiring in August 2024. The Company or the NCI may unilaterally terminate the CRADA for any reason or for no reason at any time by providing written notice at least 60 days before the desired termination date. The Company recorded costs associated with the CRADA of $0.5 million for each of the three months ended September 30, 2023 and 2022, respectively, and $1.5 million for each of the nine months ended September 30, 2023 and 2022, as research and development expenses.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 Therapies</w:t>
      </w:r>
    </w:p>
    <w:p>
      <w:pPr>
        <w:spacing w:after="0" w:line="185" w:lineRule="exact"/>
        <w:rPr>
          <w:sz w:val="20"/>
          <w:szCs w:val="20"/>
          <w:color w:val="auto"/>
        </w:rPr>
      </w:pPr>
    </w:p>
    <w:p>
      <w:pPr>
        <w:ind w:right="80" w:firstLine="492"/>
        <w:spacing w:after="0" w:line="275" w:lineRule="auto"/>
        <w:rPr>
          <w:sz w:val="20"/>
          <w:szCs w:val="20"/>
          <w:color w:val="auto"/>
        </w:rPr>
      </w:pPr>
      <w:r>
        <w:rPr>
          <w:rFonts w:ascii="Arial" w:cs="Arial" w:eastAsia="Arial" w:hAnsi="Arial"/>
          <w:sz w:val="17"/>
          <w:szCs w:val="17"/>
          <w:color w:val="auto"/>
        </w:rPr>
        <w:t>The Company entered into an Exclusive Patent License Agreement (the “Patent License Agreement”) with the NIH, an agency of the U.S. Public Health Service within the Department of Health and Human Services, in 2011, as amended in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w:t>
      </w:r>
    </w:p>
    <w:p>
      <w:pPr>
        <w:spacing w:after="0" w:line="149"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Effective May 6, 2021, the Company entered into an Amended and Restated Patent License Agreement with NIH, which included the grant of additional exclusive, worldwide patent rights in the indications to interleukin-15 and interleukin-21cytokine-tethered TIL technology, and expanded the non-exclusive, worldwide field of use to all cancers. Effective August 1, 2022, the Company entered into a Second Amended and Restated Patent License Agreement with NIH to include additional exclusive, worldwide patent rights to TIL products expressing interleukin-12, expanded rights to TIL selection technologies previously licensed under the Exclusive Patent License Agreement below, and additional non-exclusive, worldwide patent rights to certain technologies for enhancing TIL products.</w:t>
      </w:r>
    </w:p>
    <w:p>
      <w:pPr>
        <w:spacing w:after="0" w:line="124"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The Second Amended and Restated Patent License Agreement requires the Company to pay royalties based on a percentage of net sales in jurisdictions where patent rights exist, which percentage can fall into a tier that may be less than one percent to mid-single digits depending upon certain factors, including the exclusivity of the rights, and the Company expects lower overall royalty payments as a result. The Company also agreed to potential milestone payments on the achievement of certain clinical, regulatory, and commercial sales milestones for each of the indications and other direct costs incurred by the NIH pursuant to the Second Amended and Restated Patent License Agreement. The Company anticipates making payments that could range from several hundred thousand dollars to the mid-single-digit millions of dollars in conjunction with certain development milestones, the approval of a BLA or its foreign equivalent, or the first U.S. and foreign commercial sales of any of its product candidates covered by the Second Amended and Restated Patent License Agreement. The term of the Second Amended and Restated Patent License Agreement continues until the expiry of the last-to-expire patent rights licensed thereunder, and the agreement contains standard termination provisions. The Company recorded milestone costs associated with the Second Amended and Restated Patent License Agreement, specifically for the completion of the first licensee-sponsored Phase 2 trial, of $0.6 million for the three and nine months ended September 30, 2023. No expenses were recorded for the same periods in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198" w:lineRule="exact"/>
        <w:rPr>
          <w:sz w:val="20"/>
          <w:szCs w:val="20"/>
          <w:color w:val="auto"/>
        </w:rPr>
      </w:pPr>
    </w:p>
    <w:p>
      <w:pPr>
        <w:ind w:right="160" w:firstLine="492"/>
        <w:spacing w:after="0" w:line="286" w:lineRule="auto"/>
        <w:rPr>
          <w:sz w:val="20"/>
          <w:szCs w:val="20"/>
          <w:color w:val="auto"/>
        </w:rPr>
      </w:pPr>
      <w:r>
        <w:rPr>
          <w:rFonts w:ascii="Arial" w:cs="Arial" w:eastAsia="Arial" w:hAnsi="Arial"/>
          <w:sz w:val="17"/>
          <w:szCs w:val="17"/>
          <w:color w:val="auto"/>
        </w:rPr>
        <w:t>On February 10, 2015, the Company entered into an exclusive patent license agreement (the “Exclusive Patent License Agreement”) with the NIH under which the Company received an exclusive, worldwide license under a patent related to selected TILs. This license was superseded and replaced by the Second Amended and Restated Patent License Agreement.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198"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In June 2020, the Company entered into a Sponsored Research Agreement with the H. Lee Moffitt Cancer Center (“Moffitt”), with a term that ends either upon completion of the research thereunder or on July 1, 2022, whichever is sooner. In August 2023, this agreement was extended until September 2023, at which point it expired; however, the Company is in the process of negotiating a twelve-month extension of the Sponsored Research Agreement. The Company recorded a de minimus amount of costs associated with this agreement and $0.3 million for the three months ended September 30, 2023 and 2022, respectively, and $0.2 million and $0.5 million for each of the nine months ended September 30, 2023 and 2022, respectively, as research and development costs.</w:t>
      </w:r>
    </w:p>
    <w:p>
      <w:pPr>
        <w:spacing w:after="0" w:line="124"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In December 2016,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 inventions made in the performance of the agreement. Under both clinical grant agreements with Moffit, the Company has non-exclusive rights to clinical data arising from the respective clinical trials. The Company recorded costs associated with this agreement of $0 and a de minimus amount for the three months ended September 30, 2023 and 2022, respectively, and $0 and $0.1 million for the nine months ended September 30, 2023 and 2022, respectively, in connection with the research collaboration and clinical grant agreements with Moffitt.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198"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17"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Pursuant to the First Moffitt License, the Company paid an upfront licensing fee in the amount of $0.1 million which was recorded as research and development expense. In 2022, the Company paid a patent issuance fee that was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U.S., Europe, and Japan and in other countries designated by the Company in agreement with Moffitt. No expenses were recorded for the First Moffitt License for the three and nine months ended September 30, 2023 and 2022.</w:t>
      </w:r>
    </w:p>
    <w:p>
      <w:pPr>
        <w:spacing w:after="0" w:line="145" w:lineRule="exact"/>
        <w:rPr>
          <w:sz w:val="20"/>
          <w:szCs w:val="20"/>
          <w:color w:val="auto"/>
        </w:rPr>
      </w:pPr>
    </w:p>
    <w:p>
      <w:pPr>
        <w:ind w:right="140" w:firstLine="492"/>
        <w:spacing w:after="0" w:line="290" w:lineRule="auto"/>
        <w:rPr>
          <w:sz w:val="20"/>
          <w:szCs w:val="20"/>
          <w:color w:val="auto"/>
        </w:rPr>
      </w:pPr>
      <w:r>
        <w:rPr>
          <w:rFonts w:ascii="Arial" w:cs="Arial" w:eastAsia="Arial" w:hAnsi="Arial"/>
          <w:sz w:val="16"/>
          <w:szCs w:val="16"/>
          <w:color w:val="auto"/>
        </w:rPr>
        <w:t>The Company entered into a second license agreement with Moffitt effective as of May 7, 2018 (the “Second Moffitt License”), under which the Company received a license to Moffitt’s rights to patent-pending technologies related to the use of 4-1BB agonists in conjunction with TIL manufacturing processes and therapies. Pursuant to the Second Moffitt License, the Company paid an upfront licensing fee in the amount of $0.1 million in 2018. An annual license maintenance fee is also payable commencing on the first anniversary of the effective date. The Company agreed to pay an annual commercial use payment for each indication for which a first sale has occurred, which in the aggregate amounts to up to $0.4 million a year. The Company recorded expense of a de minimis amount for each of the three months ended September 30, 2023 and 2022, respectively, and $0.1 million for each of the nine months ended September 30, 2023 and 2022, respectively, as research and development expenses in connection with this agreement.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The Company subsequently exercised an option to exclusively license Moffitt’s rights to patent pending technologies related to the use of tumor digests in conjunction with TIL manufacturing processes and therapies and entered into an amended and restated Second Moffitt License in October 2021 (the “Amended &amp; Restated Second Moffit License”), to include these rights. Pursuant to the Amended</w:t>
      </w:r>
    </w:p>
    <w:p>
      <w:pPr>
        <w:spacing w:after="0" w:line="2" w:lineRule="exact"/>
        <w:rPr>
          <w:sz w:val="20"/>
          <w:szCs w:val="20"/>
          <w:color w:val="auto"/>
        </w:rPr>
      </w:pPr>
    </w:p>
    <w:p>
      <w:pPr>
        <w:ind w:right="20" w:firstLine="8"/>
        <w:spacing w:after="0" w:line="252" w:lineRule="auto"/>
        <w:tabs>
          <w:tab w:leader="none" w:pos="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Restated Second Moffitt License, the Company paid an upfront licensing fee in the amount of $0.2 million in 2021, which was recorded as research and development expense. In addition, the Company agreed to pay an annual commercial use payment for each indication for which a first sale has occurred for products relating to the use of 4-1BB antagonists covered by the license and an additional annual commercial use payment for each indication for which a first sale has occurred for products relating to the use of tumor digests covered by the license. No expenses were recorded for the nine months ended September 30, 2023 and 2022, respectively, associated with this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University of Texas M.D. Anderson Cancer Center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185" w:lineRule="exact"/>
        <w:rPr>
          <w:sz w:val="20"/>
          <w:szCs w:val="20"/>
          <w:color w:val="auto"/>
        </w:rPr>
      </w:pPr>
    </w:p>
    <w:p>
      <w:pPr>
        <w:ind w:right="100" w:firstLine="492"/>
        <w:spacing w:after="0" w:line="287" w:lineRule="auto"/>
        <w:rPr>
          <w:sz w:val="20"/>
          <w:szCs w:val="20"/>
          <w:color w:val="auto"/>
        </w:rPr>
      </w:pPr>
      <w:r>
        <w:rPr>
          <w:rFonts w:ascii="Arial" w:cs="Arial" w:eastAsia="Arial" w:hAnsi="Arial"/>
          <w:sz w:val="16"/>
          <w:szCs w:val="16"/>
          <w:color w:val="auto"/>
        </w:rPr>
        <w:t>On April 17, 2017, the Company entered into a Strategic Alliance Agreement (the “SAA”) with The University of Texas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of which approximately $5.3 million has been funded cumulatively through September 30, 2023, and has been recorded as research and development expense. In return, the Company acquired all rights to inventions resulting from the studies and has been granted a non-exclusive, sub-licensable, royalty-free, and perpetual license to specified background intellectual 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No expenses and $0.1 million were recorded for the three months ended September 30, 2023 and 2022, respectively. No expenses and $0.1 million were recorded for the nine months ended September 30, 2023 and 2022, respectively, as research and development expenses associated with this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WuXi Advanced Therapies,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WuXi Manufacturing and Services Agreement</w:t>
      </w:r>
    </w:p>
    <w:p>
      <w:pPr>
        <w:spacing w:after="0" w:line="185"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In November 2016, the Company entered into a three-year manufacturing and services agreement (the “First WuXi MSA”) with WuXi Advanced Therapies, Inc. (“WuXi”) pursuant to which WuXi agreed to provide manufacturing and other services, which has since been amended and assigned to its subsidiary Iovance Biotherapeutics Manufacturing LLC. Under the First WuXi MSA, the Company entered into multiple statements of work for two cGMP manufacturing suites to be operated by WuXi for the Company. The terms of one of these statements of work expired in December 2022.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WuXi Manufacturing and Services Agreement</w:t>
      </w:r>
    </w:p>
    <w:p>
      <w:pPr>
        <w:spacing w:after="0" w:line="198"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 xml:space="preserve">In October 2022, the Company’s subsidiary Iovance Biotherapeutics Manufacturing LLC entered into an additional three-year manufacturing and services agreement (the “Second WuXi MSA”) with WuXi and its parent company WuXi Apptec, Co, Ltd pursuant to which WuXi agreed to provide commercial and clinical manufacturing services and related testing services. Under the Second WuXi MSA, the Company entered into a statement of work for the two cGMP manufacturing suites to be operated by WuXi for the Company. Both suites are expected to be capable of being used for the commercial and clinical manufacture of the Company’s products. The Second WuXi MSA and its related statement of work will supersede the statements of work under the First WuXi MSA with respect to commercial and clinical manufacturing and the two manufacturing suites. Certain other statements of work for related services will also be covered by the Second WuXi MSA. The First WuXi MSA will continue to address development services provided by WuXi to the Company. Prior to regulatory approval, or if the Company experiences a material adverse event, the Company may unilaterally terminate the statement of work for commercial and clinical manufacturing under the Second WuXi MSA at any time by providing written notice of at least 120 days. Post regulatory approval, the Company may unilaterally terminate the statement of work for commercial and clinical manufacturing with written notice of 15 month in year 1 of the term, written notice of 9 months in year 2 of the term, and written notice of 6 months in year 3 of the term. If WuXi fails a Pre-Licensing Inspection and does not address any related issues within 90 days of receipt of the FDA response letter, the Company may either terminate the statement of work for commercial and clinical manufacturing under the Second WuXi MSA immediately or shorten the term of this statement of work to June 30, 2024. </w:t>
      </w:r>
      <w:r>
        <w:rPr>
          <w:rFonts w:ascii="Arial" w:cs="Arial" w:eastAsia="Arial" w:hAnsi="Arial"/>
          <w:sz w:val="16"/>
          <w:szCs w:val="16"/>
          <w:color w:val="242424"/>
        </w:rPr>
        <w:t>The Company recorded costs</w:t>
      </w:r>
      <w:r>
        <w:rPr>
          <w:rFonts w:ascii="Arial" w:cs="Arial" w:eastAsia="Arial" w:hAnsi="Arial"/>
          <w:sz w:val="16"/>
          <w:szCs w:val="16"/>
          <w:color w:val="auto"/>
        </w:rPr>
        <w:t xml:space="preserve"> </w:t>
      </w:r>
      <w:r>
        <w:rPr>
          <w:rFonts w:ascii="Arial" w:cs="Arial" w:eastAsia="Arial" w:hAnsi="Arial"/>
          <w:sz w:val="16"/>
          <w:szCs w:val="16"/>
          <w:color w:val="242424"/>
        </w:rPr>
        <w:t xml:space="preserve">associated with agreements with WuXi of </w:t>
      </w:r>
      <w:r>
        <w:rPr>
          <w:rFonts w:ascii="Arial" w:cs="Arial" w:eastAsia="Arial" w:hAnsi="Arial"/>
          <w:sz w:val="16"/>
          <w:szCs w:val="16"/>
          <w:color w:val="000000"/>
        </w:rPr>
        <w:t>$4.0 million</w:t>
      </w:r>
      <w:r>
        <w:rPr>
          <w:rFonts w:ascii="Arial" w:cs="Arial" w:eastAsia="Arial" w:hAnsi="Arial"/>
          <w:sz w:val="16"/>
          <w:szCs w:val="16"/>
          <w:color w:val="242424"/>
        </w:rPr>
        <w:t xml:space="preserve"> and </w:t>
      </w:r>
      <w:r>
        <w:rPr>
          <w:rFonts w:ascii="Arial" w:cs="Arial" w:eastAsia="Arial" w:hAnsi="Arial"/>
          <w:sz w:val="16"/>
          <w:szCs w:val="16"/>
          <w:color w:val="000000"/>
        </w:rPr>
        <w:t>$3.4 million</w:t>
      </w:r>
      <w:r>
        <w:rPr>
          <w:rFonts w:ascii="Arial" w:cs="Arial" w:eastAsia="Arial" w:hAnsi="Arial"/>
          <w:sz w:val="16"/>
          <w:szCs w:val="16"/>
          <w:color w:val="242424"/>
        </w:rPr>
        <w:t xml:space="preserve"> for the</w:t>
      </w:r>
    </w:p>
    <w:p>
      <w:pPr>
        <w:sectPr>
          <w:pgSz w:w="11900" w:h="16838" w:orient="portrait"/>
          <w:cols w:equalWidth="0" w:num="1">
            <w:col w:w="9920"/>
          </w:cols>
          <w:pgMar w:left="980" w:top="665"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242424"/>
        </w:rPr>
        <w:t xml:space="preserve">three months ended September 30, 2023 and 2022, respectively, </w:t>
      </w:r>
      <w:r>
        <w:rPr>
          <w:rFonts w:ascii="Arial" w:cs="Arial" w:eastAsia="Arial" w:hAnsi="Arial"/>
          <w:sz w:val="18"/>
          <w:szCs w:val="18"/>
          <w:color w:val="000000"/>
        </w:rPr>
        <w:t>and $12.7 million and $10.6 million</w:t>
      </w:r>
      <w:r>
        <w:rPr>
          <w:rFonts w:ascii="Arial" w:cs="Arial" w:eastAsia="Arial" w:hAnsi="Arial"/>
          <w:sz w:val="18"/>
          <w:szCs w:val="18"/>
          <w:color w:val="242424"/>
        </w:rPr>
        <w:t xml:space="preserve"> for the nine months ended September 30, 2023 and 2022, respectively, as research and development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Cellectis S.A.</w:t>
      </w:r>
    </w:p>
    <w:p>
      <w:pPr>
        <w:spacing w:after="0" w:line="202"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On December 31, 2019, the Company entered into a research collaboration and exclusive worldwide license agreement whereby the Company will license gene-editing technology from Cellectis S.A. (“Cellectis”), a clinical-stage biopharmaceutical company, to develop TIL therapies that have been genetically edited using TALEN ® technology, including a PD-1 inactivated product that the Company refers to as IOV-4001. Financial terms of the license include annual license payments and development, regulatory and sales milestone payments from the Company to Cellectis, as well as royalty payments based on net sales of TALEN®-modified TIL products. The Company recorded costs associated with the license agreement with Cellectis of $0.1 million for each of the three months ended September 30, 2023 and 2022, respectively, and $0.3 million for each of the nine months ended September 30, 2023 and 2022, respectively, as research and development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 Pharma AG and Related Entities</w:t>
      </w:r>
    </w:p>
    <w:p>
      <w:pPr>
        <w:spacing w:after="0" w:line="189"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On January 9, 2020, the Company obtained a license from Novartis Pharma AG (“Novartis”) to develop and commercialize an antibody cytokine engrafted protein, which the Company refers to as IOV-3001. Under the agreement, the Company has paid an upfront payment to Novartis and may pay future milestones related to initiation of patient dosing in various phases of clinical development for IOV-3001 and approval of the product in the U.S, EU, and Japan. Novartis is also entitled to low-to-mid single digit percentage royalties from commercial sales of the product. The Company recorded costs associated with the license agreement from Novartis of $10.0 million as research and development expense during for the year ended December 31, 2020. No expenses were recorded for both the three and nine months ended September 30, 2023 and 2022.</w:t>
      </w:r>
    </w:p>
    <w:p>
      <w:pPr>
        <w:spacing w:after="0" w:line="150" w:lineRule="exact"/>
        <w:rPr>
          <w:sz w:val="20"/>
          <w:szCs w:val="20"/>
          <w:color w:val="auto"/>
        </w:rPr>
      </w:pPr>
    </w:p>
    <w:p>
      <w:pPr>
        <w:ind w:right="20" w:firstLine="492"/>
        <w:spacing w:after="0" w:line="288" w:lineRule="auto"/>
        <w:rPr>
          <w:sz w:val="20"/>
          <w:szCs w:val="20"/>
          <w:color w:val="auto"/>
        </w:rPr>
      </w:pPr>
      <w:r>
        <w:rPr>
          <w:rFonts w:ascii="Arial" w:cs="Arial" w:eastAsia="Arial" w:hAnsi="Arial"/>
          <w:sz w:val="16"/>
          <w:szCs w:val="16"/>
          <w:color w:val="auto"/>
        </w:rPr>
        <w:t>On May 18, 2023, as part of the completion of the Acquisition, the Company inherited two historical asset purchase agreements, one historical master cell bank license and working cell bank transfer agreement and one historical license agreement from Clinigen with Novartis AG, Novartis Pharma AG and Novartis Vaccines and Diagnostics, Inc. pursuant to which, among other things, the Company may be required to make future milestone payments based on net sales (as defined in the relevant underlying agreements) in the United States and the rest of world, which includes any and all sales outside of the United States. The maximum amount of these milestone payments payable under these agreements is $30.0 million upon reaching several certain net sales amounts in the United States and $15.0 million upon reaching several certain net sales amounts in the rest of the world, of which 25% of each milestone payment will be reimbursed by Clinigen by deduction from the deferred consideration due under the Option Agreement in the period such milestone payment is made. To date, the net sales milestones have not been achieved, and, therefore, no payments were made under these agreements for both the three and nine months ended September 30, 2023 and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Biopharmaceuticals GmbH</w:t>
      </w:r>
    </w:p>
    <w:p>
      <w:pPr>
        <w:spacing w:after="0" w:line="189" w:lineRule="exact"/>
        <w:rPr>
          <w:sz w:val="20"/>
          <w:szCs w:val="20"/>
          <w:color w:val="auto"/>
        </w:rPr>
      </w:pPr>
    </w:p>
    <w:p>
      <w:pPr>
        <w:ind w:right="120" w:firstLine="492"/>
        <w:spacing w:after="0" w:line="290" w:lineRule="auto"/>
        <w:rPr>
          <w:sz w:val="20"/>
          <w:szCs w:val="20"/>
          <w:color w:val="auto"/>
        </w:rPr>
      </w:pPr>
      <w:r>
        <w:rPr>
          <w:rFonts w:ascii="Arial" w:cs="Arial" w:eastAsia="Arial" w:hAnsi="Arial"/>
          <w:sz w:val="16"/>
          <w:szCs w:val="16"/>
          <w:color w:val="auto"/>
        </w:rPr>
        <w:t>On May 18, 2023 as part of the completion of the Acquisition, the Company inherited a manufacturing and supply agreement from Clinigen with Boehringer Ingelheim Biopharmaceuticals GmbH (“BI”) pursuant to which BI will carry out the processing, manufacturing and supply of Proleukin® in unlabeled vials. The term of this agreement is through October 2025, with automatic renewals for a period of two years unless terminated as permitted by the contract. Under this agreement, the Company must purchase a minimum number of vials each year at fixed prices determined by vial batch size. No inventory was purchased or material expense was recorded under this agreement for both the three and nine months ended September 30, 2023 and 2022. The total estimated purchase obligations under this agreement for the remaining three months in the year ending December 31, 2023, and the years ending December 31, 2024, 2025, 2026 and 2027, are $6.6 million, $9.2 million, $5.9 million, $5.9 million, and $5.9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89" w:lineRule="exact"/>
        <w:rPr>
          <w:sz w:val="20"/>
          <w:szCs w:val="20"/>
          <w:color w:val="auto"/>
        </w:rPr>
      </w:pPr>
    </w:p>
    <w:p>
      <w:pPr>
        <w:ind w:right="100" w:firstLine="492"/>
        <w:spacing w:after="0" w:line="293" w:lineRule="auto"/>
        <w:rPr>
          <w:sz w:val="20"/>
          <w:szCs w:val="20"/>
          <w:color w:val="auto"/>
        </w:rPr>
      </w:pPr>
      <w:r>
        <w:rPr>
          <w:rFonts w:ascii="Arial" w:cs="Arial" w:eastAsia="Arial" w:hAnsi="Arial"/>
          <w:sz w:val="16"/>
          <w:szCs w:val="16"/>
          <w:color w:val="auto"/>
        </w:rPr>
        <w:t xml:space="preserve">The Company leases corporate office space in California, including 49,918 square feet for its current corporate headquarters’ office space in San Carlos, California, manufacturing, research and development lab facilities and office space in Philadelphia, Pennsylvania, including 136,000 square feet of commercial manufacturing and lab space at the </w:t>
      </w:r>
      <w:r>
        <w:rPr>
          <w:rFonts w:ascii="Arial" w:cs="Arial" w:eastAsia="Arial" w:hAnsi="Arial"/>
          <w:sz w:val="16"/>
          <w:szCs w:val="16"/>
          <w:i w:val="1"/>
          <w:iCs w:val="1"/>
          <w:color w:val="auto"/>
        </w:rPr>
        <w:t>i</w:t>
      </w:r>
      <w:r>
        <w:rPr>
          <w:rFonts w:ascii="Arial" w:cs="Arial" w:eastAsia="Arial" w:hAnsi="Arial"/>
          <w:sz w:val="16"/>
          <w:szCs w:val="16"/>
          <w:color w:val="auto"/>
        </w:rPr>
        <w:t>CTC, and research and development lab facilities in Tampa, Florida. The determination if an arrangement is a lease occurs at inception, and for leases with terms greater than 12 months, the Company records a related right-of-use asset and lease liability at the present value of lease payments over the term. Many leases include fixed rental escalation clauses, renewal options and/or termination options that are factored into the</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determination of lease payments when appropriate. The Company’s leases do not provide an implicit rate, and thus the Company estimated the incremental borrowing rate in calculating the present value of the lease payments.</w:t>
      </w:r>
    </w:p>
    <w:p>
      <w:pPr>
        <w:spacing w:after="0" w:line="130" w:lineRule="exact"/>
        <w:rPr>
          <w:sz w:val="20"/>
          <w:szCs w:val="20"/>
          <w:color w:val="auto"/>
        </w:rPr>
      </w:pPr>
    </w:p>
    <w:p>
      <w:pPr>
        <w:ind w:right="220" w:firstLine="492"/>
        <w:spacing w:after="0" w:line="296" w:lineRule="auto"/>
        <w:rPr>
          <w:sz w:val="20"/>
          <w:szCs w:val="20"/>
          <w:color w:val="auto"/>
        </w:rPr>
      </w:pPr>
      <w:r>
        <w:rPr>
          <w:rFonts w:ascii="Arial" w:cs="Arial" w:eastAsia="Arial" w:hAnsi="Arial"/>
          <w:sz w:val="16"/>
          <w:szCs w:val="16"/>
          <w:color w:val="auto"/>
        </w:rPr>
        <w:t>The Company’s leases have remaining lease terms that range from less than one year to approximately 20 years. Some of the Company’s leases include one or more options to renew with renewal terms that can extend the lease for additional years, or options to terminate the leases, both at the Company’s discretion. The Company’s leases may include options to extend or terminate the lease, which is considered in the lease term when it is reasonably certain that the Company will exercise any such options. Lease expense for minimum lease payments is recognized on a straight-line basis based on the fixed components of a lease arrangement.</w:t>
      </w:r>
    </w:p>
    <w:p>
      <w:pPr>
        <w:spacing w:after="0" w:line="134"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color w:val="auto"/>
        </w:rPr>
        <w:t>Variable lease cost is determined based on performance or usage in accordance with the contractual agreements, and not based on an index or rate. Such costs that are not fixed in nature are recognized as incurred.</w:t>
      </w:r>
    </w:p>
    <w:p>
      <w:pPr>
        <w:spacing w:after="0" w:line="130" w:lineRule="exact"/>
        <w:rPr>
          <w:sz w:val="20"/>
          <w:szCs w:val="20"/>
          <w:color w:val="auto"/>
        </w:rPr>
      </w:pPr>
    </w:p>
    <w:p>
      <w:pPr>
        <w:ind w:right="20" w:firstLine="492"/>
        <w:spacing w:after="0" w:line="340" w:lineRule="auto"/>
        <w:rPr>
          <w:sz w:val="20"/>
          <w:szCs w:val="20"/>
          <w:color w:val="auto"/>
        </w:rPr>
      </w:pPr>
      <w:r>
        <w:rPr>
          <w:rFonts w:ascii="Arial" w:cs="Arial" w:eastAsia="Arial" w:hAnsi="Arial"/>
          <w:sz w:val="15"/>
          <w:szCs w:val="15"/>
          <w:color w:val="auto"/>
        </w:rPr>
        <w:t>The Company also leases certain furniture and equipment that has a lease term of 12 months or less. Since the lease agreement do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Contracts</w:t>
      </w:r>
    </w:p>
    <w:p>
      <w:pPr>
        <w:spacing w:after="0" w:line="202"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The contracts with CMOs generally contain embedded operating leases based on the fact that the suites are used for the Company’s production are implicitly identified, are used exclusively by the Company during the contractual term of the arrangements, and the CMOs have no substantive contractual rights to substitute the facilities used by the Company.</w:t>
      </w:r>
    </w:p>
    <w:p>
      <w:pPr>
        <w:spacing w:after="0" w:line="140" w:lineRule="exact"/>
        <w:rPr>
          <w:sz w:val="20"/>
          <w:szCs w:val="20"/>
          <w:color w:val="auto"/>
        </w:rPr>
      </w:pPr>
    </w:p>
    <w:p>
      <w:pPr>
        <w:jc w:val="both"/>
        <w:ind w:right="180" w:firstLine="492"/>
        <w:spacing w:after="0" w:line="259" w:lineRule="auto"/>
        <w:rPr>
          <w:sz w:val="20"/>
          <w:szCs w:val="20"/>
          <w:color w:val="auto"/>
        </w:rPr>
      </w:pPr>
      <w:r>
        <w:rPr>
          <w:rFonts w:ascii="Arial" w:cs="Arial" w:eastAsia="Arial" w:hAnsi="Arial"/>
          <w:sz w:val="18"/>
          <w:szCs w:val="18"/>
          <w:color w:val="auto"/>
        </w:rPr>
        <w:t>Further, the Company controls the use of the facilities by obtaining all of the economic benefits from the use of the facilities and direct the use of the facilities throughout the period of use. The terms of the CMO contracts include options to terminate the lease with advance notice of five to six months. The termination clauses and extension clauses are included in the calculation of the lease term for each of the CMOs when it is reasonably certain that it will not exercise such options.</w:t>
      </w:r>
    </w:p>
    <w:p>
      <w:pPr>
        <w:spacing w:after="0" w:line="146" w:lineRule="exact"/>
        <w:rPr>
          <w:sz w:val="20"/>
          <w:szCs w:val="20"/>
          <w:color w:val="auto"/>
        </w:rPr>
      </w:pPr>
    </w:p>
    <w:p>
      <w:pPr>
        <w:ind w:right="120" w:firstLine="492"/>
        <w:spacing w:after="0" w:line="271" w:lineRule="auto"/>
        <w:rPr>
          <w:sz w:val="20"/>
          <w:szCs w:val="20"/>
          <w:color w:val="auto"/>
        </w:rPr>
      </w:pPr>
      <w:r>
        <w:rPr>
          <w:rFonts w:ascii="Arial" w:cs="Arial" w:eastAsia="Arial" w:hAnsi="Arial"/>
          <w:sz w:val="17"/>
          <w:szCs w:val="17"/>
          <w:color w:val="auto"/>
        </w:rPr>
        <w:t>For contracts with multiple deliverables, Topic 842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uses estimates and assumptions in determining relative standalone selling price of lease of a suite and labor service using information that includes market and other observable inputs to the extent possible.</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balance sheet classification of the Company’s right-of-use asset and lease liabilities was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76"/>
              <w:spacing w:after="0"/>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66,265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73,015</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Operating lease liabilities</w:t>
            </w:r>
          </w:p>
        </w:tc>
        <w:tc>
          <w:tcPr>
            <w:tcW w:w="2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vMerge w:val="continue"/>
          </w:tcPr>
          <w:p>
            <w:pPr>
              <w:spacing w:after="0"/>
              <w:rPr>
                <w:sz w:val="17"/>
                <w:szCs w:val="17"/>
                <w:color w:val="auto"/>
              </w:rPr>
            </w:pPr>
          </w:p>
        </w:tc>
        <w:tc>
          <w:tcPr>
            <w:tcW w:w="2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included in current liabilities</w:t>
            </w: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12,587</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Long-term portion included in non-current liabilities</w:t>
            </w:r>
          </w:p>
        </w:tc>
        <w:tc>
          <w:tcPr>
            <w:tcW w:w="2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71,859</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lease liabilities</w:t>
            </w:r>
          </w:p>
        </w:tc>
        <w:tc>
          <w:tcPr>
            <w:tcW w:w="2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78,477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600" w:type="dxa"/>
            <w:vAlign w:val="bottom"/>
            <w:vMerge w:val="restart"/>
          </w:tcPr>
          <w:p>
            <w:pPr>
              <w:jc w:val="right"/>
              <w:ind w:right="1830"/>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3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3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720" w:firstLine="492"/>
        <w:spacing w:after="0" w:line="263" w:lineRule="auto"/>
        <w:rPr>
          <w:sz w:val="20"/>
          <w:szCs w:val="20"/>
          <w:color w:val="auto"/>
        </w:rPr>
      </w:pPr>
      <w:r>
        <w:rPr>
          <w:rFonts w:ascii="Arial" w:cs="Arial" w:eastAsia="Arial" w:hAnsi="Arial"/>
          <w:sz w:val="18"/>
          <w:szCs w:val="18"/>
          <w:color w:val="auto"/>
        </w:rPr>
        <w:t>The following table summarizes components of lease expenses, which were included in Total costs and expenses in the Company’s condensed consolidated statements of operations, and other information related to its operating leases as follows (in thousands except weighted-average remaining lease terms and discount rates):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274"/>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w w:val="89"/>
              </w:rPr>
              <w:t>2022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w w:val="83"/>
              </w:rPr>
              <w:t>2022</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Variable lease cost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5,731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3,882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lease cost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6,237</w:t>
            </w:r>
          </w:p>
        </w:tc>
        <w:tc>
          <w:tcPr>
            <w:tcW w:w="2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5,873</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19,436</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17,120</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Cash paid for amounts included in the measurement of lease liabilities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included in cash flows from operations</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10,261</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w w:val="94"/>
              </w:rPr>
              <w:t>Tenant improvement allowance received for amounts included in the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measurement of lease liabilities included in cash flows from</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1,232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6,432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from entering new leases</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Increase in right-of-use assets from lease modifications</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1,580</w:t>
            </w:r>
          </w:p>
        </w:tc>
        <w:tc>
          <w:tcPr>
            <w:tcW w:w="20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171</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1,929</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7,664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terms (years)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Weighted-average discount rates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2023, the maturities of the Company’s operating lease liabilities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CMO</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Year Ending December 31,</w:t>
            </w: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embedded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8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leases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leases</w:t>
            </w:r>
          </w:p>
        </w:tc>
        <w:tc>
          <w:tcPr>
            <w:tcW w:w="140" w:type="dxa"/>
            <w:vAlign w:val="bottom"/>
          </w:tcPr>
          <w:p>
            <w:pPr>
              <w:spacing w:after="0"/>
              <w:rPr>
                <w:sz w:val="17"/>
                <w:szCs w:val="17"/>
                <w:color w:val="auto"/>
              </w:rPr>
            </w:pPr>
          </w:p>
        </w:tc>
        <w:tc>
          <w:tcPr>
            <w:tcW w:w="98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1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2024</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12,940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8,324</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2026</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7,989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Thereafter</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83,827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83,827</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1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126,327</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Less: Present value adjustment</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(47,546)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(47,850)</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21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78,477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LEGAL PROCEEDINGS</w:t>
      </w:r>
    </w:p>
    <w:p>
      <w:pPr>
        <w:spacing w:after="0" w:line="189" w:lineRule="exact"/>
        <w:rPr>
          <w:sz w:val="20"/>
          <w:szCs w:val="20"/>
          <w:color w:val="auto"/>
        </w:rPr>
      </w:pPr>
    </w:p>
    <w:p>
      <w:pPr>
        <w:ind w:right="120" w:firstLine="492"/>
        <w:spacing w:after="0" w:line="291" w:lineRule="auto"/>
        <w:rPr>
          <w:sz w:val="20"/>
          <w:szCs w:val="20"/>
          <w:color w:val="auto"/>
        </w:rPr>
      </w:pPr>
      <w:r>
        <w:rPr>
          <w:rFonts w:ascii="Arial" w:cs="Arial" w:eastAsia="Arial" w:hAnsi="Arial"/>
          <w:sz w:val="16"/>
          <w:szCs w:val="16"/>
          <w:u w:val="single" w:color="auto"/>
          <w:color w:val="auto"/>
        </w:rPr>
        <w:t>Derivative Lawsuit.</w:t>
      </w:r>
      <w:r>
        <w:rPr>
          <w:rFonts w:ascii="Arial" w:cs="Arial" w:eastAsia="Arial" w:hAnsi="Arial"/>
          <w:sz w:val="16"/>
          <w:szCs w:val="16"/>
          <w:color w:val="auto"/>
        </w:rPr>
        <w:t xml:space="preserve"> On December 11, 2020, a purported stockholder derivative complaint was filed by plaintiff Leo Shumacher against the Company, as nominal defendant, and then current directors, as defendants, in the Court of Chancery in the State of Delaware (the “Court”). The complaint alleges breach of fiduciary duty and a claim for unjust enrichment in connection with alleged excessive compensation of certain non-executive directors of the Company and seeks unspecified damages on behalf of the Company. The parties have agreed to a proposed settlement, which was submitted to the Court on June 15, 2022. After a hearing on November 17, 2022, the Court required the parties to take additional steps before it would approve the settlement. The Company, as nominal defendant, and its current directors, as defendants, answered the complaint on February 3, 2023.</w:t>
      </w:r>
    </w:p>
    <w:p>
      <w:pPr>
        <w:spacing w:after="0" w:line="166" w:lineRule="exact"/>
        <w:rPr>
          <w:sz w:val="20"/>
          <w:szCs w:val="20"/>
          <w:color w:val="auto"/>
        </w:rPr>
      </w:pPr>
    </w:p>
    <w:p>
      <w:pPr>
        <w:ind w:right="120" w:firstLine="492"/>
        <w:spacing w:after="0" w:line="296"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(“the First Solomon Suit”) titled </w:t>
      </w:r>
      <w:r>
        <w:rPr>
          <w:rFonts w:ascii="Arial" w:cs="Arial" w:eastAsia="Arial" w:hAnsi="Arial"/>
          <w:sz w:val="16"/>
          <w:szCs w:val="16"/>
          <w:i w:val="1"/>
          <w:iCs w:val="1"/>
          <w:color w:val="auto"/>
        </w:rPr>
        <w:t>Solomon Capital, LLC, Solomon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401(K) Trust, Solomon Sharbat and Shelhav Raff v. Lion Biotechnologies, Inc. </w:t>
      </w:r>
      <w:r>
        <w:rPr>
          <w:rFonts w:ascii="Arial" w:cs="Arial" w:eastAsia="Arial" w:hAnsi="Arial"/>
          <w:sz w:val="16"/>
          <w:szCs w:val="16"/>
          <w:color w:val="auto"/>
        </w:rPr>
        <w:t>was filed by Solomon Capital, LLC, Solomon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401(k) Trust, Solomon Sharbat and Shelhav Raff (“Solomon Plaintiffs”) against the Company in the Supreme Court of the State of New York, County of New York (index no. 651881/2016). The Solomon Plaintiffs allege that, between June and November 2012, they provided the Company $0.1 million and that they advanced and paid on behalf of the Company an additional $0.2 million.</w:t>
      </w:r>
    </w:p>
    <w:p>
      <w:pPr>
        <w:spacing w:after="0" w:line="134" w:lineRule="exact"/>
        <w:rPr>
          <w:sz w:val="20"/>
          <w:szCs w:val="20"/>
          <w:color w:val="auto"/>
        </w:rPr>
      </w:pPr>
    </w:p>
    <w:p>
      <w:pPr>
        <w:ind w:right="420" w:firstLine="492"/>
        <w:spacing w:after="0" w:line="342" w:lineRule="auto"/>
        <w:rPr>
          <w:sz w:val="20"/>
          <w:szCs w:val="20"/>
          <w:color w:val="auto"/>
        </w:rPr>
      </w:pPr>
      <w:r>
        <w:rPr>
          <w:rFonts w:ascii="Arial" w:cs="Arial" w:eastAsia="Arial" w:hAnsi="Arial"/>
          <w:sz w:val="16"/>
          <w:szCs w:val="16"/>
          <w:color w:val="auto"/>
        </w:rPr>
        <w:t>The complaint further alleges that the Company agreed to (i) provide them with promissory notes totaling $0.2 million, plus interest, (ii) issue a total of 1,110 shares to the Solomon Plaintiffs (after the 1-for-100 reverse split of the Company’s common stock</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effected in March 2013) (the “Equity Claim”), and (iii) allow the Solomon Plaintiffs to convert the foregoing funds into its securities in the next financing of the Company on the same terms offered to other investors, which Solomon Plaintiffs allege, should have given them the right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in the lawsuits. The Company has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w:t>
      </w:r>
    </w:p>
    <w:p>
      <w:pPr>
        <w:spacing w:after="0" w:line="140"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In its counterclaims, the Company is seeking damages in an amount exceeding $0.5 million and an order rescinding any and all agreements that the Solomon Plaintiffs contend entitled them to obtain shares of Company stock. On May 12, 2020, the court granted the Company’s motion for summary judgment limiting the Solomon Plaintiffs’ damages for the Equity Claim to less than $0.1 million. The Solomon Plaintiffs filed a notice of appeal of this summary judgment on June 9, 2020. On July 2, 2020, the court granted the Company’s motion to dismiss the First Solomon Suit for want of prosecution. On January 4, 2021, the court granted the Solomon Plaintiffs motion for reconsideration, and reinstituted the case. On January 15, 2021, the Company filed a notice of appeal of the court’s grant of the Solomon Plaintiffs motion for reconsideration. On May 11, 2021, the Appellate Division upheld the court’s grant of the Solomon Plaintiffs’ motion for reconsideration of the dismissal of the First Solomon Suit for want of prosecution. On October 14, 2021, the Appellate Division upheld the court’s grant of the Company’s motion for summary judgment limiting the Solomon Plaintiffs’ damages for the Equity Claim to less than $0.1 million.</w:t>
      </w:r>
    </w:p>
    <w:p>
      <w:pPr>
        <w:spacing w:after="0" w:line="158" w:lineRule="exact"/>
        <w:rPr>
          <w:sz w:val="20"/>
          <w:szCs w:val="20"/>
          <w:color w:val="auto"/>
        </w:rPr>
      </w:pPr>
    </w:p>
    <w:p>
      <w:pPr>
        <w:ind w:firstLine="492"/>
        <w:spacing w:after="0" w:line="284" w:lineRule="auto"/>
        <w:rPr>
          <w:sz w:val="20"/>
          <w:szCs w:val="20"/>
          <w:color w:val="auto"/>
        </w:rPr>
      </w:pPr>
      <w:r>
        <w:rPr>
          <w:rFonts w:ascii="Arial" w:cs="Arial" w:eastAsia="Arial" w:hAnsi="Arial"/>
          <w:sz w:val="16"/>
          <w:szCs w:val="16"/>
          <w:color w:val="auto"/>
        </w:rPr>
        <w:t>On September 27, 2019, the Solomon Plaintiffs filed a new lawsuit (through new legal counsel) (“the Second Solomon Suit”) titled Solomon Capital, LLC, Solomon Capital 401(K) Trust, Solomon Sharbat and Shelhav Raff v. Iovance Biotherapeutics, Inc., f/k/a/ Lion Biotechnologies Inc. f/k/a/ Genesis Biopharma Inc., and Manish Singh in the Supreme Court of the State of New York, County of 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Solomon Plaintiffs that the Solomon Plaintiffs would be paid fees and commissions (in cash and stock) if they obtained financing for the Company, and that they directly and indirectly introduced investors to the Company who invested in the Company, or were willing to invest in the Company. Finally, the Solomon Plaintiffs allege that they were promised a license to use the Company’s technology in Israel. The Solomon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 On February 18, 2020, the Company filed a removal petition and removed the Second Solomon Suit to the U.S. District Court for the Southern District of New York, where the case has been assigned case no. 1:20-cv-1391. On May 22, 2020, the Company moved to dismiss the Second Solomon Suit for lack of personal jurisdiction. On March 26, 2021, the Court denied the Company’s motion to dismiss for lack of personal jurisdiction. The Company filed a response to the complaint in the Second Solomon Suit on April 30, 2021. On May 26, 2021, the Company and Singh filed motions for judgment on the pleadings with respect to the second and third claims asserted against the Company and all claims asserted against Singh, respectively, in the Second Solomon Suit. On January 5, 2022, the Court granted the Company’s motions for judgement on the pleadings, dismissing the second and third claims against the Company and dismissing all claims against Singh. On January 4, 2023, the Court granted in part the Company’s motion for sanctions against the Solomon Plaintiffs for violating Rule 11 of the Federal Rules of Civil Procedure, in a decision and order that dismissed the Solomon Plaintiffs’ first claim against the Company, denied the Solomon Plaintiffs’ motion for leave to amend the complaint, and ordered the Solomon Plaintiffs to pay the Company’s attorneys’ fees incurred in connection with the Rule 11 motion. Following the Court’s decision and order on the Rule 11 motion, only the Solomon Plaintiffs’ fifth and sixth claims, for unjust enrichment and indemnification, respectively, remained pending against the Company. On October 26, 2023, the Court granted the Company’s motion for summary judgment and dismissed the Solomon Plaintiffs’ fifth and sixth claims. On October 27, 2023 the Court entered judgment for the Company and closed the Second Solomon Suit. The Solomon Plaintiffs have thirty days from entry of judgment, or until November 26, 2023, to file a notice of appeal.</w:t>
      </w:r>
    </w:p>
    <w:p>
      <w:pPr>
        <w:spacing w:after="0" w:line="347" w:lineRule="exact"/>
        <w:rPr>
          <w:sz w:val="20"/>
          <w:szCs w:val="20"/>
          <w:color w:val="auto"/>
        </w:rPr>
      </w:pPr>
    </w:p>
    <w:p>
      <w:pPr>
        <w:jc w:val="both"/>
        <w:ind w:right="100" w:firstLine="492"/>
        <w:spacing w:after="0" w:line="263" w:lineRule="auto"/>
        <w:rPr>
          <w:sz w:val="20"/>
          <w:szCs w:val="20"/>
          <w:color w:val="auto"/>
        </w:rPr>
      </w:pPr>
      <w:r>
        <w:rPr>
          <w:rFonts w:ascii="Arial" w:cs="Arial" w:eastAsia="Arial" w:hAnsi="Arial"/>
          <w:sz w:val="18"/>
          <w:szCs w:val="18"/>
          <w:color w:val="auto"/>
        </w:rPr>
        <w:t>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spacing w:after="0" w:line="143" w:lineRule="exact"/>
        <w:rPr>
          <w:sz w:val="20"/>
          <w:szCs w:val="20"/>
          <w:color w:val="auto"/>
        </w:rPr>
      </w:pPr>
    </w:p>
    <w:p>
      <w:pPr>
        <w:jc w:val="both"/>
        <w:ind w:right="140" w:firstLine="492"/>
        <w:spacing w:after="0" w:line="311" w:lineRule="auto"/>
        <w:rPr>
          <w:sz w:val="20"/>
          <w:szCs w:val="20"/>
          <w:color w:val="auto"/>
        </w:rPr>
      </w:pPr>
      <w:r>
        <w:rPr>
          <w:rFonts w:ascii="Arial" w:cs="Arial" w:eastAsia="Arial" w:hAnsi="Arial"/>
          <w:sz w:val="16"/>
          <w:szCs w:val="16"/>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w:t>
      </w:r>
    </w:p>
    <w:p>
      <w:pPr>
        <w:sectPr>
          <w:pgSz w:w="11900" w:h="16838" w:orient="portrait"/>
          <w:cols w:equalWidth="0" w:num="1">
            <w:col w:w="9880"/>
          </w:cols>
          <w:pgMar w:left="980" w:top="665" w:right="1039" w:bottom="1440" w:gutter="0" w:footer="0" w:header="0"/>
        </w:sect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INCOME TAXES</w:t>
      </w:r>
    </w:p>
    <w:p>
      <w:pPr>
        <w:spacing w:after="0" w:line="202" w:lineRule="exact"/>
        <w:rPr>
          <w:sz w:val="20"/>
          <w:szCs w:val="20"/>
          <w:color w:val="auto"/>
        </w:rPr>
      </w:pPr>
    </w:p>
    <w:p>
      <w:pPr>
        <w:ind w:right="140" w:firstLine="492"/>
        <w:spacing w:after="0" w:line="301" w:lineRule="auto"/>
        <w:rPr>
          <w:sz w:val="20"/>
          <w:szCs w:val="20"/>
          <w:color w:val="auto"/>
        </w:rPr>
      </w:pPr>
      <w:r>
        <w:rPr>
          <w:rFonts w:ascii="Arial" w:cs="Arial" w:eastAsia="Arial" w:hAnsi="Arial"/>
          <w:sz w:val="16"/>
          <w:szCs w:val="16"/>
          <w:color w:val="auto"/>
        </w:rPr>
        <w:t>Upon the completion of the Acquisition on May 18, 2023, a deferred tax liability of $20.4 million was recognized on the temporary differences related to the book and tax basis of the acquired intangible assets. The deferred tax liability and resulting adjustment to the carrying amount of the acquired intangibles was calculated using the simultaneous equations method under ASC 740. The tax rate used is based on the estimated statutory rates in the United Kingdom as this is where the intangible assets are domiciled.</w:t>
      </w:r>
    </w:p>
    <w:p>
      <w:pPr>
        <w:spacing w:after="0" w:line="117"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The Company recorded a tax benefit of $1.2 million and $1.7 million for the three and nine months ended September 30, 2023, which resulted in effective tax rates of 1.09% and 0.52%, respectively. The effective tax rate is different from U.S. statutory rate of 21% due to the full valuation allowance against tax losses in the U.S. The income tax benefit for the periods presented primarily relates to operations in the United Kingdom and realization of related deferred taxes.</w:t>
      </w:r>
    </w:p>
    <w:p>
      <w:pPr>
        <w:spacing w:after="0" w:line="146" w:lineRule="exact"/>
        <w:rPr>
          <w:sz w:val="20"/>
          <w:szCs w:val="20"/>
          <w:color w:val="auto"/>
        </w:rPr>
      </w:pPr>
    </w:p>
    <w:p>
      <w:pPr>
        <w:ind w:right="440" w:firstLine="492"/>
        <w:spacing w:after="0" w:line="263" w:lineRule="auto"/>
        <w:rPr>
          <w:sz w:val="20"/>
          <w:szCs w:val="20"/>
          <w:color w:val="auto"/>
        </w:rPr>
      </w:pPr>
      <w:r>
        <w:rPr>
          <w:rFonts w:ascii="Arial" w:cs="Arial" w:eastAsia="Arial" w:hAnsi="Arial"/>
          <w:sz w:val="18"/>
          <w:szCs w:val="18"/>
          <w:color w:val="auto"/>
        </w:rPr>
        <w:t>As of September 30, 2023, the Company continued to maintain its full valuation allowance against U.S. federal and state net deferred tax assets as it expected to be in a cumulative loss position and does not have sufficient positive evidence to support the realizability of its U.S. net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The following discussion and analysis of our financial condition as of September 30, 2023 and results of operations for the three and nine months ended September 30, 2023, should be read in conjunction with management’s discussion and analysis of financial condition and results of operations included in our Annual Report on Form 10-K for the year ended December 31, 2022 which was filed with the Securities and Exchange Commission (the “SEC”) on February 28, 2023.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of our Annual Report on Form 10-K and elsewhere in this Quarterly Report on Form 10-Q and other reports we file with the SEC. We use words such as “may,” “will,” “might,” “could,” “would,” “should,” “expect,” “intend,” “plan,” “anticipate,” “believe,” “estimate,” “predict,” “project,” “aim,” “potential,” “continue,” “ongoing,” “goal,” “forecast,” “guidance,” “outlook,” or the negative of these terms or other similar expressions to identify forward-looking statements, although not all forward-looking statements contain these words. All forward-looking statements included in this report are based on information available to us on the date hereof and, except as required by law, we assume no obligation to update any such forward-looking statements. Unless the context requires otherwise, references in this Quarterly Report on Form 10-Q to “Iovance,” “we,” “us” and “our” refer to Iovance Biotherapeutics, Inc. and our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are a biopharmaceutical company pioneering a transformational approach to treating cancer by harnessing the human immune system’s ability to recognize and destroy diverse cancer cells using therapies personalized for each patient. We are preparing for potential U.S. regulatory approval and commercialization of the first autologous T-cell therapy to address a solid tumor cancer. Our mission is to be the global leader in innovating, developing and delivering tumor infiltrating lymphocyte, or TIL, therapies for patients with solid tumor cancers. Our autologous TIL therapy platform uses a centralized, scalable and proprietary 22-day manufacturing process to grow polyclonal T-cells unique to each patient and yields a cryopreserved, individualized therapy. We have applied multiple TIL therapy modalities in clinical trials in solid tumors, including TIL monotherapies for patients with later stage disease who have progressed on or after standard of care, as well as TIL combinations with standard of care therapies in patients who are earlier in their disease, to potentially improve outcomes compared to current standard(s) of care. In May 2023, we acquired the worldwide rights to Proleukin®, a commercialized interleukin-2, or IL-2, product used to promote T-cell activity following TIL infusion. The acquisition of Proleukin® provides a new revenue source, secures the IL-2 supply chain and logistics surrounding TIL therapy administration, and lowers cost of goods and clinical trial expenses for Proleukin® used with TIL therapies.</w:t>
      </w:r>
    </w:p>
    <w:p>
      <w:pPr>
        <w:spacing w:after="0" w:line="152" w:lineRule="exact"/>
        <w:rPr>
          <w:sz w:val="20"/>
          <w:szCs w:val="20"/>
          <w:color w:val="auto"/>
        </w:rPr>
      </w:pPr>
    </w:p>
    <w:p>
      <w:pPr>
        <w:ind w:right="40" w:firstLine="492"/>
        <w:spacing w:after="0" w:line="288" w:lineRule="auto"/>
        <w:rPr>
          <w:sz w:val="20"/>
          <w:szCs w:val="20"/>
          <w:color w:val="auto"/>
        </w:rPr>
      </w:pPr>
      <w:r>
        <w:rPr>
          <w:rFonts w:ascii="Arial" w:cs="Arial" w:eastAsia="Arial" w:hAnsi="Arial"/>
          <w:sz w:val="16"/>
          <w:szCs w:val="16"/>
          <w:color w:val="auto"/>
        </w:rPr>
        <w:t>Our lead product candidate, lifileucel, is being developed in advanced, or metastatic or unresectable, melanoma as well as in other indications. Lifileucel was investigated in two consecutive cohorts in a clinical trial of advanced melanoma patients post-anti-PD-1 therapy, including in a prospectively defined pivotal cohort. These patients had progressed on or after standard of care therapy, which is immune checkpoint inhibitors, or ICIs, and, targeted BRAF/MEK inhibitor therapy where appropriate. Based on the positive results of these cohorts, we completed a rolling Biologics License Application, or BLA, submission to the U.S. Food and Drug Administration, or FDA, for lifileucel in March 2023. The FDA accepted our BLA for lifileucel for patients with advanced melanoma in May 2023 and granted lifileucel Priority Review. The FDA originally assigned November 25, 2023 as the target action date for a decision under the Prescription Drug User Fee Act, or PDUFA; the target action date was subsequently updated to February 24, 2024. Our Phase 3 clinical trial of lifileucel in combination with pembrolizumab, TILVANCE-301, is intended to be registrational in frontline advanced melanoma and serve as a confirmatory clinical trial to support full approval of lifileucel monotherapy in post-anti-PD-1 advanced melanoma.</w:t>
      </w:r>
    </w:p>
    <w:p>
      <w:pPr>
        <w:spacing w:after="0" w:line="128" w:lineRule="exact"/>
        <w:rPr>
          <w:sz w:val="20"/>
          <w:szCs w:val="20"/>
          <w:color w:val="auto"/>
        </w:rPr>
      </w:pPr>
    </w:p>
    <w:p>
      <w:pPr>
        <w:ind w:right="20" w:firstLine="492"/>
        <w:spacing w:after="0" w:line="290" w:lineRule="auto"/>
        <w:rPr>
          <w:sz w:val="20"/>
          <w:szCs w:val="20"/>
          <w:color w:val="auto"/>
        </w:rPr>
      </w:pPr>
      <w:r>
        <w:rPr>
          <w:rFonts w:ascii="Arial" w:cs="Arial" w:eastAsia="Arial" w:hAnsi="Arial"/>
          <w:sz w:val="16"/>
          <w:szCs w:val="16"/>
          <w:color w:val="auto"/>
        </w:rPr>
        <w:t>We are also pursuing registrational strategies for lifileucel in advanced cervical cancer and for our TIL therapy, LN-145, in metastatic non-small cell lung cancer, or NSCLC, including in our Phase 2 registrational clinical trial in advanced NSCLC patients, IOV-LUN-202. To continuously innovate and maintain our global leadership within the field, we are investigating next generation approaches to optimize TIL products, manufacturing processes and treatment regimens, including a first-in-human clinical trial of our lead genetically modified TIL therapy, IOV-4001. We are also exploring a shorter manufacturing process, tumor tissue procurement via core biopsy, additional genetically modified TIL therapies including multiple immune checkpoint gene edits and cytokine-tethered TIL therapies, and a novel interleukin-2, or IL-2, analog, designated IOV-3001, as potential avenues to improve efficacy, manufacturing timelines, sample collection and supportive treatments involved in the overall TIL therapy process and treatment regimen.</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Highlights of our current development pipeline are presented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126365</wp:posOffset>
            </wp:positionV>
            <wp:extent cx="5846445" cy="29146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644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Technologies and Manufacturing</w:t>
      </w:r>
    </w:p>
    <w:p>
      <w:pPr>
        <w:spacing w:after="0" w:line="185"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Our T-cell-based immunotherapy technology platforms are potentially applicable to many solid tumor types and blood cancers. Each platform is focused on leveraging patient-specific cells to recognize and attack diverse cancer cells that are unique to each patient. Unlike other cell therapies that act on a single or small number of shared antigen targets common to certain tumors, our polyclonal T-cells are personalized therapies designed to target a variety of neoantigens that are unique to the patient or tumor. The majority of solid tumor immune targets are patient-specific, with fewer than 1% shared among patients. TIL therapy is our lead T-cell-based immunotherapy platform in multiple advanced solid tumor cancers. For blood cancers, our peripheral blood lymphocyte, or PBL, therapy platform is based on polyclonal T-cells that are collected from a patient’s blood sample, and then amplified and reinvigorated.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TIL Therapy Clinical Development in Advanced, Metastatic or Unresectable Solid Tumor Cancers</w:t>
      </w:r>
    </w:p>
    <w:p>
      <w:pPr>
        <w:spacing w:after="0" w:line="198" w:lineRule="exact"/>
        <w:rPr>
          <w:sz w:val="20"/>
          <w:szCs w:val="20"/>
          <w:color w:val="auto"/>
        </w:rPr>
      </w:pPr>
    </w:p>
    <w:p>
      <w:pPr>
        <w:ind w:right="160" w:firstLine="492"/>
        <w:spacing w:after="0" w:line="311" w:lineRule="auto"/>
        <w:rPr>
          <w:sz w:val="20"/>
          <w:szCs w:val="20"/>
          <w:color w:val="auto"/>
        </w:rPr>
      </w:pPr>
      <w:r>
        <w:rPr>
          <w:rFonts w:ascii="Arial" w:cs="Arial" w:eastAsia="Arial" w:hAnsi="Arial"/>
          <w:sz w:val="16"/>
          <w:szCs w:val="16"/>
          <w:color w:val="auto"/>
        </w:rPr>
        <w:t>Building on the prior TIL therapy clinical trials conducted at single academic centers, including the National Cancer Institute, or NCI, we have investigated TIL therapy in global, multi-center Phase 2 clinical trials in advanced melanoma, cervical cancer, NSCLC, and head and neck squamous cell carcinoma, or HNSCC. Additional information about our clinical trials is summarized below.</w:t>
      </w:r>
    </w:p>
    <w:p>
      <w:pPr>
        <w:spacing w:after="0" w:line="108" w:lineRule="exact"/>
        <w:rPr>
          <w:sz w:val="20"/>
          <w:szCs w:val="20"/>
          <w:color w:val="auto"/>
        </w:rPr>
      </w:pPr>
    </w:p>
    <w:p>
      <w:pPr>
        <w:ind w:right="620" w:firstLine="492"/>
        <w:spacing w:after="0" w:line="277" w:lineRule="auto"/>
        <w:rPr>
          <w:sz w:val="20"/>
          <w:szCs w:val="20"/>
          <w:color w:val="auto"/>
        </w:rPr>
      </w:pPr>
      <w:r>
        <w:rPr>
          <w:rFonts w:ascii="Arial" w:cs="Arial" w:eastAsia="Arial" w:hAnsi="Arial"/>
          <w:sz w:val="18"/>
          <w:szCs w:val="18"/>
          <w:color w:val="auto"/>
        </w:rPr>
        <w:t>In post-anti-PD-1 advanced melanoma, we are investigating lifileucel in our C-144-01 clinical trial that supports our BLA submission and potential approval of lifileucel.</w:t>
      </w:r>
    </w:p>
    <w:p>
      <w:pPr>
        <w:spacing w:after="0" w:line="130"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In frontline advanced melanoma patients who are naïve to anti-PD-1 therapy, we are investigating lifileucel in combination with pembrolizumab in the IOV-COM-202 clinical trial and the Phase 3 TILVANCE-301 clinical trial. TILVANCE-301 is a randomized Phase 3 clinical trial intended to support registration in advanced frontline melanoma as well as to serve as a confirmatory trial for full approval in post-anti-PD-1 advanced melanoma.</w:t>
      </w:r>
    </w:p>
    <w:p>
      <w:pPr>
        <w:spacing w:after="0" w:line="160"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We are also executing a registrational strategy for lifileucel in advanced cervical cancer. C-145-04 is a multicenter Phase 2 clinical trial that is currently enrolling a pivotal cohort to support a BLA in cervical cancer following progression on or after chemotherapy and pembrolizumab.</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0" w:firstLine="492"/>
        <w:spacing w:after="0" w:line="259" w:lineRule="auto"/>
        <w:rPr>
          <w:sz w:val="20"/>
          <w:szCs w:val="20"/>
          <w:color w:val="auto"/>
        </w:rPr>
      </w:pPr>
      <w:r>
        <w:rPr>
          <w:rFonts w:ascii="Arial" w:cs="Arial" w:eastAsia="Arial" w:hAnsi="Arial"/>
          <w:sz w:val="18"/>
          <w:szCs w:val="18"/>
          <w:color w:val="auto"/>
        </w:rPr>
        <w:t>In NSCLC, we are investigating our TIL therapy, LN-145, in two clinical trials in several NSCLC patient populations with significant unmet need. IOV-LUN-202 is a registrational clinical trial of LN-145 in advanced NSCLC patients who have progressed following chemotherapy and anti-PD-1 therapy. IOV-COM-202 also includes cohorts of NSCLC patients treated with LN-145 monotherapy and combination therapy.</w:t>
      </w:r>
    </w:p>
    <w:p>
      <w:pPr>
        <w:spacing w:after="0" w:line="146"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In July 2023, we announced that we completed a preliminary analysis of the IOV-LUN-202 trial, which included 23 NSCLC patients treated with LN-145. An objective response rate of 26.1% by RECIST v1.1 (n=6, one complete response and five partial responses) was observed, with a disease control rate of 82.6%. While still early on study, the median duration of response, or DOR, was not reached. The DOR ranges from 1.4+ months to 9.8+ months. Treatment-emergent adverse events were consistent with the underlying disease and known adverse event profiles of non-myeloablative lymphodepletion and interleukin-2. Based on the regulatory discussions and positive regulatory feedback received by the FDA, we plan to enroll a total of approximately 120 patients into the registrational IOV-LUN-202 trial. Enrollment is expected to be completed during the second half of 2024. As previously announced, we are also preparing to meet with the FDA this year to discuss a randomized confirmatory trial of LN-145 in frontline advanced NSCLC patients. This confirmatory trial in frontline advanced NSCLC is expected to be well underway at the time of a potential approval in advanced post-anti-PD-1 NSCLC.</w:t>
      </w:r>
    </w:p>
    <w:p>
      <w:pPr>
        <w:spacing w:after="0" w:line="158" w:lineRule="exact"/>
        <w:rPr>
          <w:sz w:val="20"/>
          <w:szCs w:val="20"/>
          <w:color w:val="auto"/>
        </w:rPr>
      </w:pPr>
    </w:p>
    <w:p>
      <w:pPr>
        <w:jc w:val="both"/>
        <w:ind w:right="260" w:firstLine="492"/>
        <w:spacing w:after="0" w:line="311" w:lineRule="auto"/>
        <w:rPr>
          <w:sz w:val="20"/>
          <w:szCs w:val="20"/>
          <w:color w:val="auto"/>
        </w:rPr>
      </w:pPr>
      <w:r>
        <w:rPr>
          <w:rFonts w:ascii="Arial" w:cs="Arial" w:eastAsia="Arial" w:hAnsi="Arial"/>
          <w:sz w:val="16"/>
          <w:szCs w:val="16"/>
          <w:color w:val="auto"/>
        </w:rPr>
        <w:t>Our first genetically modified, PD-1 inactivated TIL therapy, IOV-4001, entered a first-in-human Phase 1/2 clinical trial, IOV-GM1-201, in 2022 in patients with previously treated advanced melanoma and NSCLC. IOV-4001 utilizes the gene-editing TALEN® technology, licensed from Cellectis S.A., or Cellectis, to inactivate the gene coding for the programmed cell death protein-1, or PD-1.</w:t>
      </w:r>
    </w:p>
    <w:p>
      <w:pPr>
        <w:spacing w:after="0" w:line="108" w:lineRule="exact"/>
        <w:rPr>
          <w:sz w:val="20"/>
          <w:szCs w:val="20"/>
          <w:color w:val="auto"/>
        </w:rPr>
      </w:pPr>
    </w:p>
    <w:p>
      <w:pPr>
        <w:ind w:right="20" w:firstLine="492"/>
        <w:spacing w:after="0" w:line="279" w:lineRule="auto"/>
        <w:rPr>
          <w:sz w:val="20"/>
          <w:szCs w:val="20"/>
          <w:color w:val="auto"/>
        </w:rPr>
      </w:pPr>
      <w:r>
        <w:rPr>
          <w:rFonts w:ascii="Arial" w:cs="Arial" w:eastAsia="Arial" w:hAnsi="Arial"/>
          <w:sz w:val="17"/>
          <w:szCs w:val="17"/>
          <w:color w:val="auto"/>
        </w:rPr>
        <w:t>In metastatic head and neck cancer squamous cell carcinoma, or HNSCC, we are evaluating LN-145 as monotherapy and in combination with pembrolizumab. The Phase 2 C-145-03 trial began in June 2017 and closed in January 2021 after reaching its pre-specified enrollment target to investigate LN-145 using various manufacturing processes. Cohort 2A in IOV-COM-202 is evaluating LN-145 in combination with pembrolizumab in patients with HNSCC who are naïve to anti-PD-1 therapy.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PBL Therapy in Blood Cancers</w:t>
      </w:r>
    </w:p>
    <w:p>
      <w:pPr>
        <w:spacing w:after="0" w:line="225" w:lineRule="exact"/>
        <w:rPr>
          <w:sz w:val="20"/>
          <w:szCs w:val="20"/>
          <w:color w:val="auto"/>
        </w:rPr>
      </w:pPr>
    </w:p>
    <w:p>
      <w:pPr>
        <w:ind w:right="300" w:firstLine="492"/>
        <w:spacing w:after="0" w:line="263" w:lineRule="auto"/>
        <w:rPr>
          <w:sz w:val="20"/>
          <w:szCs w:val="20"/>
          <w:color w:val="auto"/>
        </w:rPr>
      </w:pPr>
      <w:r>
        <w:rPr>
          <w:rFonts w:ascii="Arial" w:cs="Arial" w:eastAsia="Arial" w:hAnsi="Arial"/>
          <w:sz w:val="18"/>
          <w:szCs w:val="18"/>
          <w:color w:val="auto"/>
        </w:rPr>
        <w:t>In blood cancers, our clinical trial IOV-CLL-01 is a Phase 1/2 clinical trial evaluating the safety and efficacy of IOV-2001, our polyclonal PBL therapy, in patients with relapsed or refractory chronic lymphocytic leukemia, or CLL, and small lymphocytic lymphoma, or SLL, to receive IOV-2001.</w:t>
      </w:r>
    </w:p>
    <w:p>
      <w:pPr>
        <w:spacing w:after="0" w:line="184" w:lineRule="exact"/>
        <w:rPr>
          <w:sz w:val="20"/>
          <w:szCs w:val="20"/>
          <w:color w:val="auto"/>
        </w:rPr>
      </w:pPr>
    </w:p>
    <w:p>
      <w:pPr>
        <w:ind w:right="40" w:firstLine="492"/>
        <w:spacing w:after="0" w:line="277" w:lineRule="auto"/>
        <w:rPr>
          <w:sz w:val="20"/>
          <w:szCs w:val="20"/>
          <w:color w:val="auto"/>
        </w:rPr>
      </w:pPr>
      <w:r>
        <w:rPr>
          <w:rFonts w:ascii="Arial" w:cs="Arial" w:eastAsia="Arial" w:hAnsi="Arial"/>
          <w:sz w:val="18"/>
          <w:szCs w:val="18"/>
          <w:color w:val="auto"/>
        </w:rPr>
        <w:t>Beyond our Iovance-sponsored clinical trials, we have academic collaborations with leading cancer research centers to investigate TIL therapy, including next-generation processes and technologies, in other cancers and treatment settings.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Next-Generation Therapeutic and Manufacturing Approaches</w:t>
      </w:r>
    </w:p>
    <w:p>
      <w:pPr>
        <w:spacing w:after="0" w:line="225" w:lineRule="exact"/>
        <w:rPr>
          <w:sz w:val="20"/>
          <w:szCs w:val="20"/>
          <w:color w:val="auto"/>
        </w:rPr>
      </w:pPr>
    </w:p>
    <w:p>
      <w:pPr>
        <w:ind w:right="160" w:firstLine="492"/>
        <w:spacing w:after="0" w:line="342" w:lineRule="auto"/>
        <w:rPr>
          <w:sz w:val="20"/>
          <w:szCs w:val="20"/>
          <w:color w:val="auto"/>
        </w:rPr>
      </w:pPr>
      <w:r>
        <w:rPr>
          <w:rFonts w:ascii="Arial" w:cs="Arial" w:eastAsia="Arial" w:hAnsi="Arial"/>
          <w:sz w:val="16"/>
          <w:szCs w:val="16"/>
          <w:color w:val="auto"/>
        </w:rPr>
        <w:t>Our current next-generation technology platforms are designed to optimize TIL therapy, as well as TIL treatment regimen and manufacturing processes, across four key initiatives: genetic modifications, potency, process optimization and new treatment regimens.</w:t>
      </w:r>
    </w:p>
    <w:p>
      <w:pPr>
        <w:spacing w:after="0" w:line="124" w:lineRule="exact"/>
        <w:rPr>
          <w:sz w:val="20"/>
          <w:szCs w:val="20"/>
          <w:color w:val="auto"/>
        </w:rPr>
      </w:pPr>
    </w:p>
    <w:p>
      <w:pPr>
        <w:ind w:left="680" w:hanging="321"/>
        <w:spacing w:after="0" w:line="25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Genetic modifications: </w:t>
      </w:r>
      <w:r>
        <w:rPr>
          <w:rFonts w:ascii="Arial" w:cs="Arial" w:eastAsia="Arial" w:hAnsi="Arial"/>
          <w:sz w:val="18"/>
          <w:szCs w:val="18"/>
          <w:color w:val="auto"/>
        </w:rPr>
        <w:t>We are pursuing several targets for genetic modification that utilize the gene-editing TALEN®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from the clinical-stage biotechnology company, Cellectis. Programs include single- and double-knockout candidates to further harness the immune system response to cancer and potentially increase the efficiency, potency and application of TIL therapy. Preclinical development is also ongoing with cytokine-tethered TIL products and additional TIL products and TIL-cell lines using transient and stable gene insertion and inactivation. Additional transient and permanent genetic modifications of TIL, such as cytokine-tethered TIL, may expand and activate TIL to achieve better efficacy while avoiding systemic side effects of cytokines.</w:t>
      </w:r>
    </w:p>
    <w:p>
      <w:pPr>
        <w:spacing w:after="0" w:line="194" w:lineRule="exact"/>
        <w:rPr>
          <w:rFonts w:ascii="Arial" w:cs="Arial" w:eastAsia="Arial" w:hAnsi="Arial"/>
          <w:sz w:val="18"/>
          <w:szCs w:val="18"/>
          <w:color w:val="auto"/>
        </w:rPr>
      </w:pPr>
    </w:p>
    <w:p>
      <w:pPr>
        <w:ind w:left="680" w:right="220" w:hanging="321"/>
        <w:spacing w:after="0" w:line="301"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Potency: </w:t>
      </w:r>
      <w:r>
        <w:rPr>
          <w:rFonts w:ascii="Arial" w:cs="Arial" w:eastAsia="Arial" w:hAnsi="Arial"/>
          <w:sz w:val="16"/>
          <w:szCs w:val="16"/>
          <w:color w:val="auto"/>
        </w:rPr>
        <w:t>Potential approaches to increase potency of the final TIL product include the sorting and selection of specific TIL,</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PD-1+ selected TIL and CD39/69 double-negative TIL products, and the use of certain inhibitors or other reagents in TIL expansion cultures. Our TIL candidate LN-145-S1 is manufactured from TIL selected for PD-1 expression and has been investigated in post-anti-PD-1 advanced melanoma and post-anti-PD-1 HNSCC patient cohorts in our clinical trials.</w:t>
      </w:r>
    </w:p>
    <w:p>
      <w:pPr>
        <w:spacing w:after="0" w:line="157" w:lineRule="exact"/>
        <w:rPr>
          <w:rFonts w:ascii="Arial" w:cs="Arial" w:eastAsia="Arial" w:hAnsi="Arial"/>
          <w:sz w:val="16"/>
          <w:szCs w:val="16"/>
          <w:color w:val="auto"/>
        </w:rPr>
      </w:pPr>
    </w:p>
    <w:p>
      <w:pPr>
        <w:ind w:left="680" w:right="20" w:hanging="321"/>
        <w:spacing w:after="0" w:line="311"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Process optimization: </w:t>
      </w:r>
      <w:r>
        <w:rPr>
          <w:rFonts w:ascii="Arial" w:cs="Arial" w:eastAsia="Arial" w:hAnsi="Arial"/>
          <w:sz w:val="16"/>
          <w:szCs w:val="16"/>
          <w:color w:val="auto"/>
        </w:rPr>
        <w:t>We are committed to further optimizing and streamlining the processes for manufacturing TIL therapy</w:t>
      </w:r>
      <w:r>
        <w:rPr>
          <w:rFonts w:ascii="Arial" w:cs="Arial" w:eastAsia="Arial" w:hAnsi="Arial"/>
          <w:sz w:val="16"/>
          <w:szCs w:val="16"/>
          <w:i w:val="1"/>
          <w:iCs w:val="1"/>
          <w:color w:val="auto"/>
        </w:rPr>
        <w:t xml:space="preserve"> </w:t>
      </w:r>
      <w:r>
        <w:rPr>
          <w:rFonts w:ascii="Arial" w:cs="Arial" w:eastAsia="Arial" w:hAnsi="Arial"/>
          <w:sz w:val="16"/>
          <w:szCs w:val="16"/>
          <w:color w:val="auto"/>
        </w:rPr>
        <w:t>and collecting tumor samples. We are investigating a shorter manufacturing process, or Gen 3, in patient cohorts included in the C-145-03 clinical trial in HNSCC and the IOV-COM-202 clinical trial. We are also exploring our Gen 3 process to</w:t>
      </w:r>
    </w:p>
    <w:p>
      <w:pPr>
        <w:sectPr>
          <w:pgSz w:w="11900" w:h="16838" w:orient="portrait"/>
          <w:cols w:equalWidth="0" w:num="1">
            <w:col w:w="9900"/>
          </w:cols>
          <w:pgMar w:left="980" w:top="665"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spacing w:after="0" w:line="277" w:lineRule="auto"/>
        <w:rPr>
          <w:sz w:val="20"/>
          <w:szCs w:val="20"/>
          <w:color w:val="auto"/>
        </w:rPr>
      </w:pPr>
      <w:r>
        <w:rPr>
          <w:rFonts w:ascii="Arial" w:cs="Arial" w:eastAsia="Arial" w:hAnsi="Arial"/>
          <w:sz w:val="18"/>
          <w:szCs w:val="18"/>
          <w:color w:val="auto"/>
        </w:rPr>
        <w:t>manufacture TIL products from core biopsies as a less-invasive collection of tumor samples in a cohort of patients with NSCLC in our IOV-LUN-202 clinical trial.</w:t>
      </w:r>
    </w:p>
    <w:p>
      <w:pPr>
        <w:spacing w:after="0" w:line="170" w:lineRule="exact"/>
        <w:rPr>
          <w:sz w:val="20"/>
          <w:szCs w:val="20"/>
          <w:color w:val="auto"/>
        </w:rPr>
      </w:pPr>
    </w:p>
    <w:p>
      <w:pPr>
        <w:ind w:left="680" w:right="80" w:hanging="321"/>
        <w:spacing w:after="0" w:line="286"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New treatment regimens: </w:t>
      </w:r>
      <w:r>
        <w:rPr>
          <w:rFonts w:ascii="Arial" w:cs="Arial" w:eastAsia="Arial" w:hAnsi="Arial"/>
          <w:sz w:val="17"/>
          <w:szCs w:val="17"/>
          <w:color w:val="auto"/>
        </w:rPr>
        <w:t>We are exploring potential avenues to improve aspects of the TIL treatment regimen. In 2020, we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licensed an antibody cytokine-engrafted protein, or IL-2 analog, which we refer to as IOV-3001, from Novartis. IOV-4001 is in IND-enabling studies supporting its use as part of the TIL treatment regimen following TIL infusion.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185"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We have established a leading intellectual property portfolio developed internally and licensed from third parties. We currently own more than 60 U.S. patents related to TIL therapy, including patents directed to compositions and methods of treatment in a broad range of cancers, such as U.S. Patent Nos. 10,130,659; 10,166,257; 10,272,113; 10,363,273; 10,398,734; 10,420,799; 10,463,697; 10,517,894; 10,537,595; 10,639,330; 10,646,517; 10,653,723; 10,695,372; 10,894,063; 10,905,718; 10,918,666; 10,925,900; 10,933,094; 10,946,044; 10,946,045; 10,953,046; 10,953,047; 11,007,225; 11,007,226; 11,013,770; 11,026,974; 11,040,070; 11,052,115; 11,052,116; 11,058,728; 11,083,752; 11,123,371; 11,141,438 11,168,303; 11,168,304; 11,179,419; 11,202,803; 11,202,804; 11,241,456; 11,254,913; 11,266,694; 11,273,180; 11,273,181; 11,291,687; 11,304,979; 11,304,980; 11,311,578; 11,337,998; 11,344,579; 11,344,580; 11,344,581; 11,351,197; 11,351,198; 11,351,199; 11,364,266; 11,369,637; 11,384,637; 1,433,097; 11,529,372; and 11,541,077. More than 35 of these patents are related to our Gen 2 TIL manufacturing processes and have terms that we anticipate will extend to January 2038, not including any patent term extensions or adjustments that may be available. Our owned and licensed intellectual property portfolio also includes patents and patent applications relating to TIL, MIL, and PBL therapies; frozen tumor-based TIL technologies; remnant TIL and digest TIL compositions, methods and processes; methods of manufacturing TIL, MIL, and PBL therapies; the use of costimulatory and T-cell modulating molecules in TIL therapy and manufacturing; stable and transient genetically-modified TIL therapies, including genetic knockouts of immune checkpoints; cytokine-tethered TIL therapies; methods of using ICIs in combination with TIL therapies; TIL selection technologies; and methods of treating patient subpopulations.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and Liquidity</w:t>
      </w:r>
    </w:p>
    <w:p>
      <w:pPr>
        <w:spacing w:after="0" w:line="225" w:lineRule="exact"/>
        <w:rPr>
          <w:sz w:val="20"/>
          <w:szCs w:val="20"/>
          <w:color w:val="auto"/>
        </w:rPr>
      </w:pPr>
    </w:p>
    <w:p>
      <w:pPr>
        <w:ind w:right="200" w:firstLine="492"/>
        <w:spacing w:after="0" w:line="287" w:lineRule="auto"/>
        <w:rPr>
          <w:sz w:val="20"/>
          <w:szCs w:val="20"/>
          <w:color w:val="auto"/>
        </w:rPr>
      </w:pPr>
      <w:r>
        <w:rPr>
          <w:rFonts w:ascii="Arial" w:cs="Arial" w:eastAsia="Arial" w:hAnsi="Arial"/>
          <w:sz w:val="16"/>
          <w:szCs w:val="16"/>
          <w:color w:val="auto"/>
        </w:rPr>
        <w:t>The full impact of the novel strain of coronavirus, or COVID-19, pandemic is unknown and continuously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 determine that the COVID-19 pandemic is adequately contained for purposes of our business. We may take further actions as government authorities require or recommend or as we determine to be in the best interests of our employees. We do not believe that the COVID-19 pandemic had a material impact on our liquidity or results of operations for the three and nine months ended September 30, 2023. Further, to date, the COVID-19 pandemic has not had significant effects on our clinical trial enrollment. Given the nature and type of our short-term investments in U.S. government securities, we do not believe that the COVID-19 pandemic will have a material impact on our current investment liquidity.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225" w:lineRule="exact"/>
        <w:rPr>
          <w:sz w:val="20"/>
          <w:szCs w:val="20"/>
          <w:color w:val="auto"/>
        </w:rPr>
      </w:pPr>
    </w:p>
    <w:p>
      <w:pPr>
        <w:jc w:val="both"/>
        <w:ind w:right="60" w:firstLine="492"/>
        <w:spacing w:after="0" w:line="259" w:lineRule="auto"/>
        <w:rPr>
          <w:sz w:val="20"/>
          <w:szCs w:val="20"/>
          <w:color w:val="auto"/>
        </w:rPr>
      </w:pPr>
      <w:r>
        <w:rPr>
          <w:rFonts w:ascii="Arial" w:cs="Arial" w:eastAsia="Arial" w:hAnsi="Arial"/>
          <w:sz w:val="18"/>
          <w:szCs w:val="18"/>
          <w:color w:val="auto"/>
        </w:rPr>
        <w:t>Although there is uncertainty related to the anticipated impact of the recent COVID-19 pandemic on our future results, we believe our current cash reserves leave us well positioned to manage our business in light of the COVID-19 pandemic. However, the impacts of the COVID-19 pandemic are broad-reaching and continuing and the financial impacts associated with the COVID-19 pandemic are still uncertain.</w:t>
      </w:r>
    </w:p>
    <w:p>
      <w:pPr>
        <w:spacing w:after="0" w:line="146" w:lineRule="exact"/>
        <w:rPr>
          <w:sz w:val="20"/>
          <w:szCs w:val="20"/>
          <w:color w:val="auto"/>
        </w:rPr>
      </w:pPr>
    </w:p>
    <w:p>
      <w:pPr>
        <w:ind w:right="60" w:firstLine="492"/>
        <w:spacing w:after="0" w:line="286" w:lineRule="auto"/>
        <w:rPr>
          <w:sz w:val="20"/>
          <w:szCs w:val="20"/>
          <w:color w:val="auto"/>
        </w:rPr>
      </w:pPr>
      <w:r>
        <w:rPr>
          <w:rFonts w:ascii="Arial" w:cs="Arial" w:eastAsia="Arial" w:hAnsi="Arial"/>
          <w:sz w:val="17"/>
          <w:szCs w:val="17"/>
          <w:color w:val="auto"/>
        </w:rPr>
        <w:t>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results for future periods.</w:t>
      </w:r>
    </w:p>
    <w:p>
      <w:pPr>
        <w:spacing w:after="0" w:line="138" w:lineRule="exact"/>
        <w:rPr>
          <w:sz w:val="20"/>
          <w:szCs w:val="20"/>
          <w:color w:val="auto"/>
        </w:rPr>
      </w:pPr>
    </w:p>
    <w:p>
      <w:pPr>
        <w:jc w:val="both"/>
        <w:ind w:right="120" w:firstLine="492"/>
        <w:spacing w:after="0" w:line="286" w:lineRule="auto"/>
        <w:rPr>
          <w:sz w:val="20"/>
          <w:szCs w:val="20"/>
          <w:color w:val="auto"/>
        </w:rPr>
      </w:pPr>
      <w:r>
        <w:rPr>
          <w:rFonts w:ascii="Arial" w:cs="Arial" w:eastAsia="Arial" w:hAnsi="Arial"/>
          <w:sz w:val="17"/>
          <w:szCs w:val="17"/>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may take additional actions based on their</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recommendations. In these circumstances, there may be developments outside our control requiring us to adjust our operating plan. As such, given the dynamic nature of this situation, we cannot reasonably estimate the impacts of COVID-19 on our financial condition, results of operations or cash flows in the future.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2" w:lineRule="exact"/>
        <w:rPr>
          <w:sz w:val="20"/>
          <w:szCs w:val="20"/>
          <w:color w:val="auto"/>
        </w:rPr>
      </w:pPr>
    </w:p>
    <w:p>
      <w:pPr>
        <w:ind w:right="60" w:firstLine="492"/>
        <w:spacing w:after="0" w:line="273" w:lineRule="auto"/>
        <w:rPr>
          <w:sz w:val="20"/>
          <w:szCs w:val="20"/>
          <w:color w:val="auto"/>
        </w:rPr>
      </w:pPr>
      <w:r>
        <w:rPr>
          <w:rFonts w:ascii="Arial" w:cs="Arial" w:eastAsia="Arial" w:hAnsi="Arial"/>
          <w:sz w:val="17"/>
          <w:szCs w:val="17"/>
          <w:color w:val="auto"/>
        </w:rPr>
        <w:t>The preparation of our condensed consolidated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base our estimates on historical experience and variance other market factors that we believe are reasonable under the circumstances, the result of which form the basis for making judgments about the carrying value of assets and liabilities that are not apparent from other sources. Actual results may differ from these estimates under different assumptions or conditions.</w:t>
      </w:r>
    </w:p>
    <w:p>
      <w:pPr>
        <w:spacing w:after="0" w:line="137" w:lineRule="exact"/>
        <w:rPr>
          <w:sz w:val="20"/>
          <w:szCs w:val="20"/>
          <w:color w:val="auto"/>
        </w:rPr>
      </w:pPr>
    </w:p>
    <w:p>
      <w:pPr>
        <w:ind w:right="80" w:firstLine="492"/>
        <w:spacing w:after="0" w:line="277" w:lineRule="auto"/>
        <w:rPr>
          <w:sz w:val="20"/>
          <w:szCs w:val="20"/>
          <w:color w:val="auto"/>
        </w:rPr>
      </w:pPr>
      <w:r>
        <w:rPr>
          <w:rFonts w:ascii="Arial" w:cs="Arial" w:eastAsia="Arial" w:hAnsi="Arial"/>
          <w:sz w:val="18"/>
          <w:szCs w:val="18"/>
          <w:color w:val="auto"/>
        </w:rPr>
        <w:t>We believe the following critical accounting policies reflect the more significant judgments and estimates used in the preparation of our condensed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Acquisitions</w:t>
      </w:r>
    </w:p>
    <w:p>
      <w:pPr>
        <w:spacing w:after="0" w:line="225"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 xml:space="preserve">We make certain judgments to determine whether transactions should be accounted for acquisitions of assets or business combinations using the guidance in Accounting Standard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by first applying a screen test to assess if substantially all of the fair value of the gross assets acquired is concentrated in a single identifiable asset or group of assets. If the screen test is met, the transaction is accounted for as an asset acquisition. If the screen test is not met, further assessment is required to determine whether we have acquired inputs and processes that have the ability to create outputs, which would meet the requirements of a business.</w:t>
      </w:r>
    </w:p>
    <w:p>
      <w:pPr>
        <w:spacing w:after="0" w:line="165"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If the assets acquired do not constitute a business, we account for asset acquisitions using the cost accumulation and allocation method. Under this method the cost of the acquisition, including direct acquisition-related costs, is allocated to the assets acquired on a relative fair value basis. Goodwill is not recognized in an asset acquisition and any difference between consideration transferred and the fair value of the net assets acquired is allocated to the identifiable assets acquired based on their relative fair values.</w:t>
      </w:r>
    </w:p>
    <w:p>
      <w:pPr>
        <w:spacing w:after="0" w:line="117" w:lineRule="exact"/>
        <w:rPr>
          <w:sz w:val="20"/>
          <w:szCs w:val="20"/>
          <w:color w:val="auto"/>
        </w:rPr>
      </w:pPr>
    </w:p>
    <w:p>
      <w:pPr>
        <w:jc w:val="both"/>
        <w:ind w:right="180" w:firstLine="492"/>
        <w:spacing w:after="0" w:line="263" w:lineRule="auto"/>
        <w:rPr>
          <w:sz w:val="20"/>
          <w:szCs w:val="20"/>
          <w:color w:val="auto"/>
        </w:rPr>
      </w:pPr>
      <w:r>
        <w:rPr>
          <w:rFonts w:ascii="Arial" w:cs="Arial" w:eastAsia="Arial" w:hAnsi="Arial"/>
          <w:sz w:val="18"/>
          <w:szCs w:val="18"/>
          <w:color w:val="auto"/>
        </w:rPr>
        <w:t xml:space="preserve">Deferred tax liabilities arising from basis differences in assets acquired are calculated using the simultaneous equations method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and based on the effective tax rate. The resulting deferred tax liability is recorded against the carrying amount of the acquired intangible assets on a relative fair value basis.</w:t>
      </w:r>
    </w:p>
    <w:p>
      <w:pPr>
        <w:spacing w:after="0" w:line="143" w:lineRule="exact"/>
        <w:rPr>
          <w:sz w:val="20"/>
          <w:szCs w:val="20"/>
          <w:color w:val="auto"/>
        </w:rPr>
      </w:pPr>
    </w:p>
    <w:p>
      <w:pPr>
        <w:ind w:right="60" w:firstLine="492"/>
        <w:spacing w:after="0" w:line="263" w:lineRule="auto"/>
        <w:rPr>
          <w:sz w:val="20"/>
          <w:szCs w:val="20"/>
          <w:color w:val="auto"/>
        </w:rPr>
      </w:pPr>
      <w:r>
        <w:rPr>
          <w:rFonts w:ascii="Arial" w:cs="Arial" w:eastAsia="Arial" w:hAnsi="Arial"/>
          <w:sz w:val="18"/>
          <w:szCs w:val="18"/>
          <w:color w:val="auto"/>
        </w:rPr>
        <w:t xml:space="preserve">Contingent consideration 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is included in the cost of the asset acquisition at its acquisition date fair value. Contingent consideration in the scope of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(ASC “450”), is recognized when it is both probable and reasonably estimable.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Our intangible assets are initially measured based on an allocation of the cost of the acquisition to the assets acquired on a relative fair value basis and are recorded net of accumulated amortization. We amortize the intangible assets on a straight-line basis over their estimated useful lives.</w:t>
      </w:r>
    </w:p>
    <w:p>
      <w:pPr>
        <w:spacing w:after="0" w:line="143" w:lineRule="exact"/>
        <w:rPr>
          <w:sz w:val="20"/>
          <w:szCs w:val="20"/>
          <w:color w:val="auto"/>
        </w:rPr>
      </w:pPr>
    </w:p>
    <w:p>
      <w:pPr>
        <w:ind w:firstLine="492"/>
        <w:spacing w:after="0" w:line="279" w:lineRule="auto"/>
        <w:rPr>
          <w:sz w:val="20"/>
          <w:szCs w:val="20"/>
          <w:color w:val="auto"/>
        </w:rPr>
      </w:pPr>
      <w:r>
        <w:rPr>
          <w:rFonts w:ascii="Arial" w:cs="Arial" w:eastAsia="Arial" w:hAnsi="Arial"/>
          <w:sz w:val="17"/>
          <w:szCs w:val="17"/>
          <w:color w:val="auto"/>
        </w:rPr>
        <w:t>When contingent consideration is a component of the cost of an asset acquisition, we capitalize the amount of incremental cost from the contingent consideration related to the intangible asset acquired in the period the underlying contingency is resolved. When this occurs, we will recognize a cumulative catch-up to reflect amortization on the intangible assets that would have been recognized had the incremental cost from the contingent consideration been recorded as of the acquisition date.</w:t>
      </w:r>
    </w:p>
    <w:p>
      <w:pPr>
        <w:spacing w:after="0" w:line="131" w:lineRule="exact"/>
        <w:rPr>
          <w:sz w:val="20"/>
          <w:szCs w:val="20"/>
          <w:color w:val="auto"/>
        </w:rPr>
      </w:pPr>
    </w:p>
    <w:p>
      <w:pPr>
        <w:ind w:right="40" w:firstLine="492"/>
        <w:spacing w:after="0" w:line="296" w:lineRule="auto"/>
        <w:rPr>
          <w:sz w:val="20"/>
          <w:szCs w:val="20"/>
          <w:color w:val="auto"/>
        </w:rPr>
      </w:pPr>
      <w:r>
        <w:rPr>
          <w:rFonts w:ascii="Arial" w:cs="Arial" w:eastAsia="Arial" w:hAnsi="Arial"/>
          <w:sz w:val="16"/>
          <w:szCs w:val="16"/>
          <w:color w:val="auto"/>
        </w:rPr>
        <w:t>We review intangible assets for impairment at least annually and whenever events or changes in circumstances have occurred which could indicate that the carrying value of the assets are not recoverable. If such indicators are present, we assess the recoverability of affected assets by determining if the carrying value of the assets is less than the sum of the undiscounted future cash flows of the assets. If the assets are found to not be recoverable, we measure the amount of impairment by comparing the carrying value of the assets to their fair values. We determined that no indicators of impairment existed as of September 30, 2023.</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40" w:firstLine="492"/>
        <w:spacing w:after="0" w:line="275" w:lineRule="auto"/>
        <w:rPr>
          <w:sz w:val="20"/>
          <w:szCs w:val="20"/>
          <w:color w:val="auto"/>
        </w:rPr>
      </w:pPr>
      <w:r>
        <w:rPr>
          <w:rFonts w:ascii="Arial" w:cs="Arial" w:eastAsia="Arial" w:hAnsi="Arial"/>
          <w:sz w:val="17"/>
          <w:szCs w:val="17"/>
          <w:color w:val="auto"/>
        </w:rPr>
        <w:t xml:space="preserve">We recognize revenue from product sales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Under ASC 606, revenue is recognized when a customer obtains control of promised goods or services, in an amount that reflects the consideration which the entity expects to receive in exchange for those goods or services. To the extent the transaction price includes variable consideration, we estimate the amount of variable consideration that should be included in the transaction price using the most likely method based on historical experience as well as applicable information currently available.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ind w:right="80" w:firstLine="492"/>
        <w:spacing w:after="0" w:line="296" w:lineRule="auto"/>
        <w:rPr>
          <w:sz w:val="20"/>
          <w:szCs w:val="20"/>
          <w:color w:val="auto"/>
        </w:rPr>
      </w:pPr>
      <w:r>
        <w:rPr>
          <w:rFonts w:ascii="Arial" w:cs="Arial" w:eastAsia="Arial" w:hAnsi="Arial"/>
          <w:sz w:val="16"/>
          <w:szCs w:val="16"/>
          <w:color w:val="auto"/>
        </w:rPr>
        <w:t>Subsequent to the Proleukin® acquisition in May 2023, or the Acquisition, the Company began to sell Proleukin®. Proleukin® is currently being used in multiple active studies across multiple therapeutic areas and indications and investigated alongside TIL therapies within a number of oncology indications. Proleukin® is also part of our regimens of TIL therapy, including lifileucel, and is used in our multiple clinical trials. Revenues for the three and nine months ended September 30, 2023 represents product sales of Proleukin® in licensed markets outside of the U.S. To date, there have been no product sales from Proleukin® in the U.S. market.</w:t>
      </w:r>
    </w:p>
    <w:p>
      <w:pPr>
        <w:spacing w:after="0" w:line="134" w:lineRule="exact"/>
        <w:rPr>
          <w:sz w:val="20"/>
          <w:szCs w:val="20"/>
          <w:color w:val="auto"/>
        </w:rPr>
      </w:pPr>
    </w:p>
    <w:p>
      <w:pPr>
        <w:ind w:right="180" w:firstLine="492"/>
        <w:spacing w:after="0" w:line="257" w:lineRule="auto"/>
        <w:rPr>
          <w:sz w:val="20"/>
          <w:szCs w:val="20"/>
          <w:color w:val="auto"/>
        </w:rPr>
      </w:pPr>
      <w:r>
        <w:rPr>
          <w:rFonts w:ascii="Arial" w:cs="Arial" w:eastAsia="Arial" w:hAnsi="Arial"/>
          <w:sz w:val="18"/>
          <w:szCs w:val="18"/>
          <w:color w:val="auto"/>
        </w:rPr>
        <w:t>With the completion of the rolling BLA submission for lifileucel for advanced melanoma in March 2023, we expect to generate revenues from the sale of our product lifileucel, if the BLA is approved. However, such revenues for Proleukin® and lifileucel may not be material during the 12 months from the date these condensed consolidated financial statements are issued. Our ability to generate revenues in the future will depend on our ability to complete the development of our product candidates and to obtain regulatory approval for them.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98" w:lineRule="exact"/>
        <w:rPr>
          <w:sz w:val="20"/>
          <w:szCs w:val="20"/>
          <w:color w:val="auto"/>
        </w:rPr>
      </w:pPr>
    </w:p>
    <w:p>
      <w:pPr>
        <w:ind w:right="40" w:firstLine="492"/>
        <w:spacing w:after="0" w:line="263" w:lineRule="auto"/>
        <w:rPr>
          <w:sz w:val="20"/>
          <w:szCs w:val="20"/>
          <w:color w:val="auto"/>
        </w:rPr>
      </w:pPr>
      <w:r>
        <w:rPr>
          <w:rFonts w:ascii="Arial" w:cs="Arial" w:eastAsia="Arial" w:hAnsi="Arial"/>
          <w:sz w:val="18"/>
          <w:szCs w:val="18"/>
          <w:color w:val="auto"/>
        </w:rPr>
        <w:t>Cost of sales includes the cost of Proleukin® inventories and other costs that are directly associated with the purchase and sales of Proleukin®. In addition, amortization expense for the fair value step-up of acquired Proleukin® inventory and the acquired intangible assets related to the developed technology are included in cost of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spacing w:after="0" w:line="188"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Clinical development costs are a significant component of research and development expenses. We have a history of contracting with third parties that perform various clinical trial activities on our behalf in connection with the ongoing development of our product candidates. The financial terms of these contracts are subject to negotiations and may vary from contract to contract and may result in an uneven payment flow. We accrue and expense costs for clinical trial activities performed by third parties based upon estimates of work completed to date of the individual trial in accordance with agreements established with contract research organizations and clinical trial sites. 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w:t>
      </w:r>
    </w:p>
    <w:p>
      <w:pPr>
        <w:spacing w:after="0" w:line="181" w:lineRule="exact"/>
        <w:rPr>
          <w:sz w:val="20"/>
          <w:szCs w:val="20"/>
          <w:color w:val="auto"/>
        </w:rPr>
      </w:pPr>
    </w:p>
    <w:p>
      <w:pPr>
        <w:ind w:right="140" w:firstLine="492"/>
        <w:spacing w:after="0" w:line="286" w:lineRule="auto"/>
        <w:rPr>
          <w:sz w:val="20"/>
          <w:szCs w:val="20"/>
          <w:color w:val="auto"/>
        </w:rPr>
      </w:pPr>
      <w:r>
        <w:rPr>
          <w:rFonts w:ascii="Arial" w:cs="Arial" w:eastAsia="Arial" w:hAnsi="Arial"/>
          <w:sz w:val="17"/>
          <w:szCs w:val="17"/>
          <w:color w:val="auto"/>
        </w:rPr>
        <w:t>We expect our research and development expenses to continue to increase as we prepare for commercial manufacturing of our products and continue to conduct our clinical trials for other indications. However, it is difficult to determine with certainty the duration and completion costs of our current or future preclinical programs and clinical trials of our product candidates.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80" w:firstLine="492"/>
        <w:spacing w:after="0" w:line="254" w:lineRule="auto"/>
        <w:rPr>
          <w:sz w:val="20"/>
          <w:szCs w:val="20"/>
          <w:color w:val="auto"/>
        </w:rPr>
      </w:pPr>
      <w:r>
        <w:rPr>
          <w:rFonts w:ascii="Arial" w:cs="Arial" w:eastAsia="Arial" w:hAnsi="Arial"/>
          <w:sz w:val="18"/>
          <w:szCs w:val="18"/>
          <w:color w:val="auto"/>
        </w:rPr>
        <w:t>Selling, general and administrative expenses consist primarily of salaries and other related costs, including stock-based compensation, for personnel in executive, finance, procurement, legal, investor relations, facilities, business development, marketing, commercial, information technology and human resources functions. Other significant costs include facility costs not otherwise included in research and development expenses and amortization expense for the acquired assembled workforce intangible asset. Selling, general and administrative costs are expensed as incurred, and we accrue for services provided by third parties related to such expenses by monitoring the status of services provided and receiving estimates from its service providers and adjusting its accruals as actual costs become known.</w:t>
      </w:r>
    </w:p>
    <w:p>
      <w:pPr>
        <w:spacing w:after="0" w:line="195" w:lineRule="exact"/>
        <w:rPr>
          <w:sz w:val="20"/>
          <w:szCs w:val="20"/>
          <w:color w:val="auto"/>
        </w:rPr>
      </w:pPr>
    </w:p>
    <w:p>
      <w:pPr>
        <w:ind w:right="180" w:firstLine="492"/>
        <w:spacing w:after="0" w:line="263" w:lineRule="auto"/>
        <w:rPr>
          <w:sz w:val="20"/>
          <w:szCs w:val="20"/>
          <w:color w:val="auto"/>
        </w:rPr>
      </w:pPr>
      <w:r>
        <w:rPr>
          <w:rFonts w:ascii="Arial" w:cs="Arial" w:eastAsia="Arial" w:hAnsi="Arial"/>
          <w:sz w:val="18"/>
          <w:szCs w:val="18"/>
          <w:color w:val="auto"/>
        </w:rPr>
        <w:t>We anticipate selling, general and administrative expenses will increase as we continue to prepare for commercialization and the launch of lifileucel, the execution of the integration and launch of the recently acquired Proleukin® business, and support expected growth of the internal general and administrative team.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net results from our interest-bearing cash and investment balances.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tax benefit pertains to the operations in the United Kingdom and realization of related deferred taxes.</w:t>
      </w:r>
    </w:p>
    <w:p>
      <w:pPr>
        <w:spacing w:after="0" w:line="221" w:lineRule="exact"/>
        <w:rPr>
          <w:sz w:val="20"/>
          <w:szCs w:val="20"/>
          <w:color w:val="auto"/>
        </w:rPr>
      </w:pPr>
    </w:p>
    <w:p>
      <w:pPr>
        <w:ind w:right="2980"/>
        <w:spacing w:after="0" w:line="467" w:lineRule="auto"/>
        <w:rPr>
          <w:sz w:val="20"/>
          <w:szCs w:val="20"/>
          <w:color w:val="auto"/>
        </w:rPr>
      </w:pPr>
      <w:r>
        <w:rPr>
          <w:rFonts w:ascii="Arial" w:cs="Arial" w:eastAsia="Arial" w:hAnsi="Arial"/>
          <w:sz w:val="18"/>
          <w:szCs w:val="18"/>
          <w:b w:val="1"/>
          <w:bCs w:val="1"/>
          <w:color w:val="auto"/>
        </w:rPr>
        <w:t xml:space="preserve">Results of Operations for the Three and Nine Months Ended September 30, 2023 and 2022 </w:t>
      </w:r>
      <w:r>
        <w:rPr>
          <w:rFonts w:ascii="Arial" w:cs="Arial" w:eastAsia="Arial" w:hAnsi="Arial"/>
          <w:sz w:val="18"/>
          <w:szCs w:val="18"/>
          <w:b w:val="1"/>
          <w:bCs w:val="1"/>
          <w:i w:val="1"/>
          <w:iCs w:val="1"/>
          <w:color w:val="auto"/>
        </w:rPr>
        <w:t>Revenue</w:t>
      </w: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0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92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w w:val="91"/>
              </w:rPr>
              <w:t>Increase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Nine Months Ended</w:t>
            </w:r>
          </w:p>
        </w:tc>
        <w:tc>
          <w:tcPr>
            <w:tcW w:w="1020" w:type="dxa"/>
            <w:vAlign w:val="bottom"/>
            <w:gridSpan w:val="3"/>
          </w:tcPr>
          <w:p>
            <w:pPr>
              <w:ind w:left="420"/>
              <w:spacing w:after="0" w:line="149" w:lineRule="exact"/>
              <w:rPr>
                <w:sz w:val="20"/>
                <w:szCs w:val="20"/>
                <w:color w:val="auto"/>
              </w:rPr>
            </w:pPr>
            <w:r>
              <w:rPr>
                <w:rFonts w:ascii="Arial" w:cs="Arial" w:eastAsia="Arial" w:hAnsi="Arial"/>
                <w:sz w:val="14"/>
                <w:szCs w:val="14"/>
                <w:b w:val="1"/>
                <w:bCs w:val="1"/>
                <w:color w:val="auto"/>
              </w:rPr>
              <w:t>Increase</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220" w:type="dxa"/>
            <w:vAlign w:val="bottom"/>
          </w:tcPr>
          <w:p>
            <w:pPr>
              <w:spacing w:after="0"/>
              <w:rPr>
                <w:sz w:val="14"/>
                <w:szCs w:val="14"/>
                <w:color w:val="auto"/>
              </w:rPr>
            </w:pPr>
          </w:p>
        </w:tc>
        <w:tc>
          <w:tcPr>
            <w:tcW w:w="1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September 30,</w:t>
            </w:r>
          </w:p>
        </w:tc>
        <w:tc>
          <w:tcPr>
            <w:tcW w:w="130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4"/>
                <w:szCs w:val="14"/>
                <w:color w:val="auto"/>
              </w:rPr>
            </w:pPr>
          </w:p>
        </w:tc>
        <w:tc>
          <w:tcPr>
            <w:tcW w:w="14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gridSpan w:val="3"/>
          </w:tcPr>
          <w:p>
            <w:pPr>
              <w:ind w:left="360"/>
              <w:spacing w:after="0"/>
              <w:rPr>
                <w:sz w:val="20"/>
                <w:szCs w:val="20"/>
                <w:color w:val="auto"/>
              </w:rPr>
            </w:pPr>
            <w:r>
              <w:rPr>
                <w:rFonts w:ascii="Arial" w:cs="Arial" w:eastAsia="Arial" w:hAnsi="Arial"/>
                <w:sz w:val="14"/>
                <w:szCs w:val="14"/>
                <w:b w:val="1"/>
                <w:bCs w:val="1"/>
                <w:color w:val="auto"/>
                <w:w w:val="89"/>
              </w:rPr>
              <w:t>(Decrease)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EFF"/>
            </w:tcBorders>
            <w:vMerge w:val="continue"/>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Revenue - product sales</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   469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Revenue for the three and nine months ended September 30, 2023 was $0.5 million and $0.7 million, respectively, and related entirely to product sales of Proleukin® in licensed markets outside of the U.S following the completion of the acquisition of worldwide rights to Proleukin® in May 2023. To date, there have been no product sales from Proleukin® in the U.S. market. There was no revenue for the same periods in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period-over-period changes in our costs and expenses: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gridSpan w:val="3"/>
          </w:tcPr>
          <w:p>
            <w:pPr>
              <w:ind w:left="340"/>
              <w:spacing w:after="0"/>
              <w:rPr>
                <w:sz w:val="20"/>
                <w:szCs w:val="20"/>
                <w:color w:val="auto"/>
              </w:rPr>
            </w:pPr>
            <w:r>
              <w:rPr>
                <w:rFonts w:ascii="Arial" w:cs="Arial" w:eastAsia="Arial" w:hAnsi="Arial"/>
                <w:sz w:val="14"/>
                <w:szCs w:val="14"/>
                <w:b w:val="1"/>
                <w:bCs w:val="1"/>
                <w:color w:val="auto"/>
                <w:w w:val="94"/>
              </w:rPr>
              <w:t>Increase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gridSpan w:val="3"/>
          </w:tcPr>
          <w:p>
            <w:pPr>
              <w:ind w:left="360"/>
              <w:spacing w:after="0"/>
              <w:rPr>
                <w:sz w:val="20"/>
                <w:szCs w:val="20"/>
                <w:color w:val="auto"/>
              </w:rPr>
            </w:pPr>
            <w:r>
              <w:rPr>
                <w:rFonts w:ascii="Arial" w:cs="Arial" w:eastAsia="Arial" w:hAnsi="Arial"/>
                <w:sz w:val="14"/>
                <w:szCs w:val="14"/>
                <w:b w:val="1"/>
                <w:bCs w:val="1"/>
                <w:color w:val="auto"/>
                <w:w w:val="91"/>
              </w:rPr>
              <w:t>Increase</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4"/>
                <w:szCs w:val="14"/>
                <w:color w:val="auto"/>
              </w:rPr>
            </w:pPr>
          </w:p>
        </w:tc>
        <w:tc>
          <w:tcPr>
            <w:tcW w:w="15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rPr>
              <w:t>(Decrease)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28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39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4,340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87,526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72,502</w:t>
            </w: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256,607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214,208</w:t>
            </w: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26,964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27,893</w:t>
            </w: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77,634</w:t>
            </w: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85" w:lineRule="exact"/>
        <w:rPr>
          <w:sz w:val="20"/>
          <w:szCs w:val="20"/>
          <w:color w:val="auto"/>
        </w:rPr>
      </w:pPr>
    </w:p>
    <w:p>
      <w:pPr>
        <w:ind w:right="200" w:firstLine="492"/>
        <w:spacing w:after="0" w:line="301" w:lineRule="auto"/>
        <w:rPr>
          <w:sz w:val="20"/>
          <w:szCs w:val="20"/>
          <w:color w:val="auto"/>
        </w:rPr>
      </w:pPr>
      <w:r>
        <w:rPr>
          <w:rFonts w:ascii="Arial" w:cs="Arial" w:eastAsia="Arial" w:hAnsi="Arial"/>
          <w:sz w:val="16"/>
          <w:szCs w:val="16"/>
          <w:color w:val="auto"/>
        </w:rPr>
        <w:t>Cost of sales for the three and nine months ended September 30, 2023 was $4.3 million and $6.4 million, respectively, which consists of $0.3 million and $0.5 million cost of inventory and related inventoriable costs associated with sales of Proleukin® and $4.0 million and $5.9 million of amortization expense for the developed technology intangible asset recorded as part of the Acquisition. In addition, the fair-value step-up of inventory recorded at the time of the Acquisition was recognized in Cost of Sales on a per unit basis</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the units were sold, however such amount was immaterial for the three and nine months ended September 30, 2023. No cost of sales was incurred for the same periods in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 xml:space="preserve">Research and development expense for the three months ended September 30, 2023 increased by $15.0 million, or 21%, compared to the same period in 2022. The increase was primarily attributable to (i) a $8.5 million increase in payroll and related expenses, driven by increased hiring of research and development employees to support our ongoing and planned clinical development activities, (ii) a $4.0 million increase in clinical trial costs driven primarily by the initiation of our Phase 3 TILVANCE-301 clinical trial, (iii) a $1.5 million increase in manufacturing costs driven by activities associated with qualifying </w:t>
      </w:r>
      <w:r>
        <w:rPr>
          <w:rFonts w:ascii="Arial" w:cs="Arial" w:eastAsia="Arial" w:hAnsi="Arial"/>
          <w:sz w:val="17"/>
          <w:szCs w:val="17"/>
          <w:i w:val="1"/>
          <w:iCs w:val="1"/>
          <w:color w:val="auto"/>
        </w:rPr>
        <w:t>i</w:t>
      </w:r>
      <w:r>
        <w:rPr>
          <w:rFonts w:ascii="Arial" w:cs="Arial" w:eastAsia="Arial" w:hAnsi="Arial"/>
          <w:sz w:val="17"/>
          <w:szCs w:val="17"/>
          <w:color w:val="auto"/>
        </w:rPr>
        <w:t xml:space="preserve">CTC suites for commercial manufacturing readiness, and (iv) a $3.5 million increase in other costs, including facility and related costs associated with the second phase of the </w:t>
      </w:r>
      <w:r>
        <w:rPr>
          <w:rFonts w:ascii="Arial" w:cs="Arial" w:eastAsia="Arial" w:hAnsi="Arial"/>
          <w:sz w:val="17"/>
          <w:szCs w:val="17"/>
          <w:i w:val="1"/>
          <w:iCs w:val="1"/>
          <w:color w:val="auto"/>
        </w:rPr>
        <w:t>i</w:t>
      </w:r>
      <w:r>
        <w:rPr>
          <w:rFonts w:ascii="Arial" w:cs="Arial" w:eastAsia="Arial" w:hAnsi="Arial"/>
          <w:sz w:val="17"/>
          <w:szCs w:val="17"/>
          <w:color w:val="auto"/>
        </w:rPr>
        <w:t>CTC build-out intended to expand manufacturing capacity and license costs related to the expansion of our information technology infrastructure to support our clinical activities. These expenses were partially offset by a $2.5 million decrease in stock-based compensation expenses primarily driven by a lower average stock price.</w:t>
      </w:r>
    </w:p>
    <w:p>
      <w:pPr>
        <w:spacing w:after="0" w:line="154" w:lineRule="exact"/>
        <w:rPr>
          <w:sz w:val="20"/>
          <w:szCs w:val="20"/>
          <w:color w:val="auto"/>
        </w:rPr>
      </w:pPr>
    </w:p>
    <w:p>
      <w:pPr>
        <w:ind w:right="40" w:firstLine="492"/>
        <w:spacing w:after="0" w:line="288" w:lineRule="auto"/>
        <w:rPr>
          <w:sz w:val="20"/>
          <w:szCs w:val="20"/>
          <w:color w:val="auto"/>
        </w:rPr>
      </w:pPr>
      <w:r>
        <w:rPr>
          <w:rFonts w:ascii="Arial" w:cs="Arial" w:eastAsia="Arial" w:hAnsi="Arial"/>
          <w:sz w:val="16"/>
          <w:szCs w:val="16"/>
          <w:color w:val="auto"/>
        </w:rPr>
        <w:t>Research and development expense for the nine months ended September 30, 2023 increased by $42.4 million, or 20%, compared to the same period in 2022. The increase was primarily attributable to (i) a $29.3 million increase in payroll and related expenses, driven by increased hiring of research and development employees to support our ongoing and planned clinical development activities, (ii) a $10.8 million increase in clinical trial costs driven primarily by the initiation of our Phase 3 TILVANCE-301 clinical trial, (iii) a $6.2 million increase in manufacturing costs driven by activities associated with qualifying iCTC suites for commercial manufacturing readiness, (iv) a $5.4 million increase in facility and related costs associated with the second phase of the iCTC build-out intended to expand manufacturing capacity, and (v) a $3.1 million increase in other costs, including license costs related to the expansion of our information technology infrastructure to support our clinical activities and research alliance costs. These expenses were partially offset by an $11.8 million decrease in stock-based compensation expenses, primarily driven by a lower average stock price, and a $0.6 million decrease in other costs, including the timing of research expenses resulting from the reprioritization of certain current clinical programs.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225"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Selling, general and administrative expenses for the three months ended September 30, 2023 decreased by $0.9 million, or 3%, compared to the same period in 2022. The decrease was primarily attributable to (i) a $1.5 million decrease in stock-based compensation expenses primarily driven by a lower average stock price, and (ii) a $1.3 million decrease in other costs, including marketing and advertising expenses resulting from the alignment of the timing of spend with the expected and updated timing of BLA approval as well as legal costs related to intellectual property related matters. These decreases were partially offset by (i) a $1.5 million increase in payroll and related expenses, resulting from increases in headcount to support the growth in the overall business, and (ii) a $0.4 million increase in other costs, including professional fees and travel expenses.</w:t>
      </w:r>
    </w:p>
    <w:p>
      <w:pPr>
        <w:spacing w:after="0" w:line="137"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Selling, general and administrative expenses for the nine months ended September 30, 2023 decreased by $0.6 million, or 1%, compared to the same period in 2022. The decrease was primarily attributable to (i) a $4.5 million decrease in stock-based compensation expenses, primarily driven by a lower average stock price, and (ii) a $6.2 million decrease in other costs, including marketing and advertising, expenses resulting from the alignment of the timing of spend with the expected and updated timing of BLA approval as well as legal costs related to intellectual property related matters. These decreases were partially offset by (i) a $9.0 million increase in payroll and related expenses, resulting from increases in headcount to support the growth in the overall business and related corporate infrastructure, and (ii) a $1.1 million increase in other costs, including professional fees and travel expenses.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41" w:name="page42"/>
    <w:bookmarkEnd w:id="41"/>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Interest income, net</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gridSpan w:val="3"/>
          </w:tcPr>
          <w:p>
            <w:pPr>
              <w:jc w:val="center"/>
              <w:ind w:left="284"/>
              <w:spacing w:after="0"/>
              <w:rPr>
                <w:sz w:val="20"/>
                <w:szCs w:val="20"/>
                <w:color w:val="auto"/>
              </w:rPr>
            </w:pPr>
            <w:r>
              <w:rPr>
                <w:rFonts w:ascii="Arial" w:cs="Arial" w:eastAsia="Arial" w:hAnsi="Arial"/>
                <w:sz w:val="14"/>
                <w:szCs w:val="14"/>
                <w:b w:val="1"/>
                <w:bCs w:val="1"/>
                <w:color w:val="auto"/>
                <w:w w:val="91"/>
              </w:rPr>
              <w:t>Increase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Nine Months Ended</w:t>
            </w:r>
          </w:p>
        </w:tc>
        <w:tc>
          <w:tcPr>
            <w:tcW w:w="940" w:type="dxa"/>
            <w:vAlign w:val="bottom"/>
            <w:gridSpan w:val="3"/>
          </w:tcPr>
          <w:p>
            <w:pPr>
              <w:jc w:val="center"/>
              <w:ind w:left="304"/>
              <w:spacing w:after="0"/>
              <w:rPr>
                <w:sz w:val="20"/>
                <w:szCs w:val="20"/>
                <w:color w:val="auto"/>
              </w:rPr>
            </w:pPr>
            <w:r>
              <w:rPr>
                <w:rFonts w:ascii="Arial" w:cs="Arial" w:eastAsia="Arial" w:hAnsi="Arial"/>
                <w:sz w:val="14"/>
                <w:szCs w:val="14"/>
                <w:b w:val="1"/>
                <w:bCs w:val="1"/>
                <w:color w:val="auto"/>
                <w:w w:val="91"/>
              </w:rPr>
              <w:t>Increase</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4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4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(Decrease)</w:t>
            </w:r>
          </w:p>
        </w:tc>
        <w:tc>
          <w:tcPr>
            <w:tcW w:w="14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2023</w:t>
            </w:r>
          </w:p>
        </w:tc>
        <w:tc>
          <w:tcPr>
            <w:tcW w:w="7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660" w:type="dxa"/>
            <w:vAlign w:val="bottom"/>
            <w:tcBorders>
              <w:top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$ 3,358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2,581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332</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$ 9,925</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$ 1,268</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right="260" w:firstLine="492"/>
        <w:spacing w:after="0" w:line="259" w:lineRule="auto"/>
        <w:rPr>
          <w:sz w:val="20"/>
          <w:szCs w:val="20"/>
          <w:color w:val="auto"/>
        </w:rPr>
      </w:pPr>
      <w:r>
        <w:rPr>
          <w:rFonts w:ascii="Arial" w:cs="Arial" w:eastAsia="Arial" w:hAnsi="Arial"/>
          <w:sz w:val="18"/>
          <w:szCs w:val="18"/>
          <w:color w:val="auto"/>
        </w:rPr>
        <w:t>Interest income, net for the three and nine months ended September 30, 2023 increased by $2.6 million, or 332%, and $8.7 million, or 683%, compared to the same periods in 2022, respectively. The increase was primarily due to increases in interest rates resulting in increased interest income as well as a shift in our portfolio to interest bearing investments such as U.S. treasury securities and money market funds.</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Income tax benefit</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gridSpan w:val="3"/>
          </w:tcPr>
          <w:p>
            <w:pPr>
              <w:jc w:val="center"/>
              <w:ind w:left="284"/>
              <w:spacing w:after="0"/>
              <w:rPr>
                <w:sz w:val="20"/>
                <w:szCs w:val="20"/>
                <w:color w:val="auto"/>
              </w:rPr>
            </w:pPr>
            <w:r>
              <w:rPr>
                <w:rFonts w:ascii="Arial" w:cs="Arial" w:eastAsia="Arial" w:hAnsi="Arial"/>
                <w:sz w:val="14"/>
                <w:szCs w:val="14"/>
                <w:b w:val="1"/>
                <w:bCs w:val="1"/>
                <w:color w:val="auto"/>
                <w:w w:val="91"/>
              </w:rPr>
              <w:t>Increase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Nine Months Ended</w:t>
            </w:r>
          </w:p>
        </w:tc>
        <w:tc>
          <w:tcPr>
            <w:tcW w:w="940" w:type="dxa"/>
            <w:vAlign w:val="bottom"/>
            <w:gridSpan w:val="3"/>
          </w:tcPr>
          <w:p>
            <w:pPr>
              <w:jc w:val="center"/>
              <w:ind w:left="284"/>
              <w:spacing w:after="0"/>
              <w:rPr>
                <w:sz w:val="20"/>
                <w:szCs w:val="20"/>
                <w:color w:val="auto"/>
              </w:rPr>
            </w:pPr>
            <w:r>
              <w:rPr>
                <w:rFonts w:ascii="Arial" w:cs="Arial" w:eastAsia="Arial" w:hAnsi="Arial"/>
                <w:sz w:val="14"/>
                <w:szCs w:val="14"/>
                <w:b w:val="1"/>
                <w:bCs w:val="1"/>
                <w:color w:val="auto"/>
                <w:w w:val="87"/>
              </w:rPr>
              <w:t>Increase</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4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4"/>
                <w:szCs w:val="14"/>
                <w:color w:val="auto"/>
              </w:rPr>
            </w:pPr>
          </w:p>
        </w:tc>
        <w:tc>
          <w:tcPr>
            <w:tcW w:w="14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42"/>
        </w:trPr>
        <w:tc>
          <w:tcPr>
            <w:tcW w:w="41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$ 1,243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1,243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$ 1,720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right="160" w:firstLine="492"/>
        <w:spacing w:after="0" w:line="308" w:lineRule="auto"/>
        <w:rPr>
          <w:sz w:val="20"/>
          <w:szCs w:val="20"/>
          <w:color w:val="auto"/>
        </w:rPr>
      </w:pPr>
      <w:r>
        <w:rPr>
          <w:rFonts w:ascii="Arial" w:cs="Arial" w:eastAsia="Arial" w:hAnsi="Arial"/>
          <w:sz w:val="17"/>
          <w:szCs w:val="17"/>
          <w:color w:val="auto"/>
        </w:rPr>
        <w:t>Income tax benefit for the three and nine months ended September 30, 2023 was $1.2 million and $1.7 million, respectively, as a result of the tax benefit from the realization of the related deferred taxes for operations in the United Kingdom.</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Net loss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gridSpan w:val="3"/>
          </w:tcPr>
          <w:p>
            <w:pPr>
              <w:ind w:left="300"/>
              <w:spacing w:after="0"/>
              <w:rPr>
                <w:sz w:val="20"/>
                <w:szCs w:val="20"/>
                <w:color w:val="auto"/>
              </w:rPr>
            </w:pPr>
            <w:r>
              <w:rPr>
                <w:rFonts w:ascii="Arial" w:cs="Arial" w:eastAsia="Arial" w:hAnsi="Arial"/>
                <w:sz w:val="14"/>
                <w:szCs w:val="14"/>
                <w:b w:val="1"/>
                <w:bCs w:val="1"/>
                <w:color w:val="auto"/>
                <w:w w:val="91"/>
              </w:rPr>
              <w:t>Increase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Nine Months Ended</w:t>
            </w:r>
          </w:p>
        </w:tc>
        <w:tc>
          <w:tcPr>
            <w:tcW w:w="800" w:type="dxa"/>
            <w:vAlign w:val="bottom"/>
            <w:gridSpan w:val="3"/>
          </w:tcPr>
          <w:p>
            <w:pPr>
              <w:jc w:val="center"/>
              <w:ind w:left="164"/>
              <w:spacing w:after="0"/>
              <w:rPr>
                <w:sz w:val="20"/>
                <w:szCs w:val="20"/>
                <w:color w:val="auto"/>
              </w:rPr>
            </w:pPr>
            <w:r>
              <w:rPr>
                <w:rFonts w:ascii="Arial" w:cs="Arial" w:eastAsia="Arial" w:hAnsi="Arial"/>
                <w:sz w:val="14"/>
                <w:szCs w:val="14"/>
                <w:b w:val="1"/>
                <w:bCs w:val="1"/>
                <w:color w:val="auto"/>
                <w:w w:val="91"/>
              </w:rPr>
              <w:t>Increase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7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16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(Decrease)</w:t>
            </w: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040" w:type="dxa"/>
            <w:vAlign w:val="bottom"/>
            <w:gridSpan w:val="2"/>
            <w:vMerge w:val="continue"/>
          </w:tcPr>
          <w:p>
            <w:pPr>
              <w:spacing w:after="0"/>
              <w:rPr>
                <w:sz w:val="12"/>
                <w:szCs w:val="12"/>
                <w:color w:val="auto"/>
              </w:rPr>
            </w:pPr>
          </w:p>
        </w:tc>
        <w:tc>
          <w:tcPr>
            <w:tcW w:w="840" w:type="dxa"/>
            <w:vAlign w:val="bottom"/>
            <w:tcBorders>
              <w:top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680" w:type="dxa"/>
            <w:vAlign w:val="bottom"/>
            <w:tcBorders>
              <w:top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60" w:type="dxa"/>
            <w:vAlign w:val="bottom"/>
            <w:tcBorders>
              <w:top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(113,760)</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(99,618)</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(14,142)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(327,658)</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(290,574)</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(37,084)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right="100" w:firstLine="492"/>
        <w:spacing w:after="0" w:line="273" w:lineRule="auto"/>
        <w:rPr>
          <w:sz w:val="20"/>
          <w:szCs w:val="20"/>
          <w:color w:val="auto"/>
        </w:rPr>
      </w:pPr>
      <w:r>
        <w:rPr>
          <w:rFonts w:ascii="Arial" w:cs="Arial" w:eastAsia="Arial" w:hAnsi="Arial"/>
          <w:sz w:val="17"/>
          <w:szCs w:val="17"/>
          <w:color w:val="auto"/>
        </w:rPr>
        <w:t>Net loss for the three and nine months ended September 30, 2023 increased by $14.1 million, or 14%, and $37.1 million, or 13%, compared to the same periods in 2022, respectively. The increase in our net loss was due to the continued expansion of our research and development activities, ongoing and newly initiated clinical trials, and the overall growth in our workforce and corporate infrastructure, as well as our pre-commercialization activities for lifileucel. We anticipate that we will continue to incur net losses in the future as we further invest in our research and development activities, as well as our commercial readiness launch preparation, Proleukin® business integration and both clinical and internal development programs.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ind w:left="20" w:right="60" w:firstLine="492"/>
        <w:spacing w:after="0" w:line="286" w:lineRule="auto"/>
        <w:rPr>
          <w:sz w:val="20"/>
          <w:szCs w:val="20"/>
          <w:color w:val="auto"/>
        </w:rPr>
      </w:pPr>
      <w:r>
        <w:rPr>
          <w:rFonts w:ascii="Arial" w:cs="Arial" w:eastAsia="Arial" w:hAnsi="Arial"/>
          <w:sz w:val="16"/>
          <w:szCs w:val="16"/>
          <w:color w:val="auto"/>
        </w:rPr>
        <w:t xml:space="preserve">We have incurred losses and generated negative cash flows from operations since inception. Historically, we have funded our operations from various public and private offerings of our equity securities, both common stock and preferred stock, from option and warrant exercises, and from interest income. Since 2017, our primary source of funds has been from the public sale of our common stock. With the completion of the rolling BLA submission for lifileucel for advanced melanoma in March 2023, we expect to generate revenue from the sale of our product, lifileucel, if the BLA is approved. Furthermore, upon the completion of the closing of the acquisition of the worldwide rights to Proleukin® in the second quarter of 2023, we began to generate revenue from the sales of Proleukin®. However, such revenues for Proleukin® and lifileucel may not be material during the 12 months from the date these condensed consolidated financial statements are issued. We expect to continue to incur significant expenses to support our preparations for the commercialization and launch of lifileucel, if approved, including continuing to prepare the </w:t>
      </w:r>
      <w:r>
        <w:rPr>
          <w:rFonts w:ascii="Arial" w:cs="Arial" w:eastAsia="Arial" w:hAnsi="Arial"/>
          <w:sz w:val="16"/>
          <w:szCs w:val="16"/>
          <w:i w:val="1"/>
          <w:iCs w:val="1"/>
          <w:color w:val="auto"/>
        </w:rPr>
        <w:t>i</w:t>
      </w:r>
      <w:r>
        <w:rPr>
          <w:rFonts w:ascii="Arial" w:cs="Arial" w:eastAsia="Arial" w:hAnsi="Arial"/>
          <w:sz w:val="16"/>
          <w:szCs w:val="16"/>
          <w:color w:val="auto"/>
        </w:rPr>
        <w:t>CTC to support our ongoing clinical programs to expand the combination of TIL therapy and to support Proleukin® integration activities during the remainder of 2023 and beyond. Based on the funds available as of the date these condensed consolidated financial statements are issued in this Quarterly Report on Form 10-Q, we believe that we have sufficient capital to fund our anticipated operating expenses and capital expenditures as planned for at least the next twelve months from the date these condensed consolidated financial statements are issued.</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Corporate Capitalization</w:t>
      </w:r>
    </w:p>
    <w:p>
      <w:pPr>
        <w:spacing w:after="0" w:line="185" w:lineRule="exact"/>
        <w:rPr>
          <w:sz w:val="20"/>
          <w:szCs w:val="20"/>
          <w:color w:val="auto"/>
        </w:rPr>
      </w:pPr>
    </w:p>
    <w:p>
      <w:pPr>
        <w:ind w:left="20" w:right="180" w:firstLine="492"/>
        <w:spacing w:after="0" w:line="342" w:lineRule="auto"/>
        <w:rPr>
          <w:sz w:val="20"/>
          <w:szCs w:val="20"/>
          <w:color w:val="auto"/>
        </w:rPr>
      </w:pPr>
      <w:r>
        <w:rPr>
          <w:rFonts w:ascii="Arial" w:cs="Arial" w:eastAsia="Arial" w:hAnsi="Arial"/>
          <w:sz w:val="16"/>
          <w:szCs w:val="16"/>
          <w:color w:val="auto"/>
        </w:rPr>
        <w:t>As of September 30, 2023, we had outstanding 255,833,679 shares of our $0.000041666 par value common stock, 194 shares of our $0.001 par value Series A Convertible Preferred Stock, and 2,842,158 shares of our $0.001 par value Series B Convertible</w:t>
      </w:r>
    </w:p>
    <w:p>
      <w:pPr>
        <w:sectPr>
          <w:pgSz w:w="11900" w:h="16838" w:orient="portrait"/>
          <w:cols w:equalWidth="0" w:num="1">
            <w:col w:w="9940"/>
          </w:cols>
          <w:pgMar w:left="960" w:top="665" w:right="99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372110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60" w:top="665" w:right="99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Preferred Stock. The outstanding shares of Series A Convertible Preferred Stock are currently convertible into 97,000 shares of our common stock, and the outstanding shares of Series B Convertible Preferred Stock are currently convertible into 2,842,158 shares of our common stock. The shares of Series A Convertible Preferred Stock and Series B Convertible Preferred Stock do not have voting rights or accrue dividends.</w:t>
      </w:r>
    </w:p>
    <w:p>
      <w:pPr>
        <w:spacing w:after="0" w:line="146" w:lineRule="exact"/>
        <w:rPr>
          <w:sz w:val="20"/>
          <w:szCs w:val="20"/>
          <w:color w:val="auto"/>
        </w:rPr>
      </w:pPr>
    </w:p>
    <w:p>
      <w:pPr>
        <w:ind w:right="220" w:firstLine="492"/>
        <w:spacing w:after="0" w:line="257" w:lineRule="auto"/>
        <w:rPr>
          <w:sz w:val="20"/>
          <w:szCs w:val="20"/>
          <w:color w:val="auto"/>
        </w:rPr>
      </w:pPr>
      <w:r>
        <w:rPr>
          <w:rFonts w:ascii="Arial" w:cs="Arial" w:eastAsia="Arial" w:hAnsi="Arial"/>
          <w:sz w:val="18"/>
          <w:szCs w:val="18"/>
          <w:color w:val="auto"/>
        </w:rPr>
        <w:t>On July 13, 2023, we closed an underwritten public offering of 23,000,000 shares of our common stock, which included 3,000,000 shares issued pursuant to the exercise of the option granted to the underwriters, at a public offering price of $7.50 per share, before underwriting discounts and commissions. The total estimated net proceeds to us from the offering, including the exercise of the option by the underwriters, were approximately $161.5 million after deducting underwriting discounts and commissions and estimated offering expenses payable by us.</w:t>
      </w:r>
    </w:p>
    <w:p>
      <w:pPr>
        <w:spacing w:after="0" w:line="161" w:lineRule="exact"/>
        <w:rPr>
          <w:sz w:val="20"/>
          <w:szCs w:val="20"/>
          <w:color w:val="auto"/>
        </w:rPr>
      </w:pPr>
    </w:p>
    <w:p>
      <w:pPr>
        <w:ind w:right="180" w:firstLine="492"/>
        <w:spacing w:after="0" w:line="286" w:lineRule="auto"/>
        <w:rPr>
          <w:sz w:val="20"/>
          <w:szCs w:val="20"/>
          <w:color w:val="auto"/>
        </w:rPr>
      </w:pPr>
      <w:r>
        <w:rPr>
          <w:rFonts w:ascii="Arial" w:cs="Arial" w:eastAsia="Arial" w:hAnsi="Arial"/>
          <w:sz w:val="17"/>
          <w:szCs w:val="17"/>
          <w:color w:val="auto"/>
        </w:rPr>
        <w:t>On November 18, 2022, we entered into an Open Market Sale Agreement, or the 2022 Sale Agreement, with Jefferies LLC, or Jefferies, with respect to an “at the market” offering program. Under the terms of the 2022 Sale Agreement, we were able to, from time to time, in our sole discretion, issue and sell up to $500.0 million of shares of our Common Shares.</w:t>
      </w:r>
    </w:p>
    <w:p>
      <w:pPr>
        <w:spacing w:after="0" w:line="12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On June 16, 2023, we entered into a new Open Market Sale Agreement, or the 2023 Sale Agreement, with Jefferies, which superseded and replaced in its entirety the 2022 Sale Agreement. Under the terms of the 2023 Sale Agreement, we may, from time to time, in our sole discretion, issue and sell up to $450.0 million of shares of our common stock. The issuance and sale, if any, of the shares of common stock by us under the 2022 Sale Agreement and the 2023 Sale Agreement, or together, the Sale Agreements, was or will be made pursuant to prospectus supplements, dated November 18, 2022 and June 16, 2023, respectively, to our Registration Statements on Form S-3ASR, which became effective immediately upon filing with the Securities and Exchange Commission on May 27, 2020 and June 16, 2023. For the three months ended September 30, 2023, we received approximately $41.7 million in proceeds, net of offering costs, through the sale of 8,000,000 shares of our common stock at a weighted average price per share of $5.33, pursuant to the 2023 Sale Agreement. For the nine months ended September 30, 2023, we received approximately $301.8 million in net proceeds, net of offering costs, through the sale of 44,080,226 shares of our common stock at a weighted average price per share of $6.99, pursuant to the Sale Agreements.</w:t>
      </w:r>
    </w:p>
    <w:p>
      <w:pPr>
        <w:spacing w:after="0" w:line="141"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In the future, we may periodically offer one or more of these securities in amounts, prices and terms to be announced when and if the securities are offered. If any of the securities covered by our Registration Statement on Form S-3ASR filed on June 16, 2023 are offered for sale, a prospectus supplement will be prepared and filed with the SEC containing specific information about the terms of such offering at that time.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bottom w:val="single" w:sz="8" w:color="auto"/>
            </w:tcBorders>
            <w:gridSpan w:val="6"/>
          </w:tcPr>
          <w:p>
            <w:pPr>
              <w:jc w:val="right"/>
              <w:ind w:right="14"/>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74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ind w:left="14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(277,850)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(215,086)</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255,994</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461,997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101,750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40,483</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 Excludes effect of exchange rate changes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ind w:right="40" w:firstLine="492"/>
        <w:spacing w:after="0" w:line="289" w:lineRule="auto"/>
        <w:rPr>
          <w:sz w:val="20"/>
          <w:szCs w:val="20"/>
          <w:color w:val="auto"/>
        </w:rPr>
      </w:pPr>
      <w:r>
        <w:rPr>
          <w:rFonts w:ascii="Arial" w:cs="Arial" w:eastAsia="Arial" w:hAnsi="Arial"/>
          <w:sz w:val="16"/>
          <w:szCs w:val="16"/>
          <w:color w:val="auto"/>
        </w:rPr>
        <w:t>Net cash used in operating activities represents cash disbursements related to all of our activities other than investing and financing activities. Operating cash flow is derived by adjusting our net loss for non-cash items and changes in operating assets and liabilities. Net cash used in operating activities for the nine months ended September 30, 2023 was $277.9 million as compared to $215.1 million for the same period in 2022. The $62.8 million increase in cash used in operating activities was driven by a $37.1 million increase in net loss related to increased costs in research and development, including the overall expansion of our clinical trials for new TIL therapies, as well as our pre-commercialization activities for lifileucel and the overall growth in our workforce and corporate infrastructure. In addition, it reflects a decrease in non-cash charges of $13.2 million primarily driven by lower stock-based compensation expenses and accretion of discount on investments, partially offset by an increase in amortization of intangible assets and depreciation expense. Further, net cash used by changes in operating assets and liabilities increased by $12.5 million, driven</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primarily by cash used for the purchase of Proleukin® inventory as part of the Acquisition, an increase in lease payments for our lease arrangements as a result of full utilization of tenant improvement allowances offered under our lease agreements. These increases in the use of cash were partially offset by a net decrease in cash used for accounts payable and accrued expenses which primarily resulted from the timing of vendor invoicing and related payments.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8" w:lineRule="exact"/>
        <w:rPr>
          <w:sz w:val="20"/>
          <w:szCs w:val="20"/>
          <w:color w:val="auto"/>
        </w:rPr>
      </w:pPr>
    </w:p>
    <w:p>
      <w:pPr>
        <w:ind w:right="40" w:firstLine="492"/>
        <w:spacing w:after="0" w:line="273" w:lineRule="auto"/>
        <w:rPr>
          <w:sz w:val="20"/>
          <w:szCs w:val="20"/>
          <w:color w:val="auto"/>
        </w:rPr>
      </w:pPr>
      <w:r>
        <w:rPr>
          <w:rFonts w:ascii="Arial" w:cs="Arial" w:eastAsia="Arial" w:hAnsi="Arial"/>
          <w:sz w:val="17"/>
          <w:szCs w:val="17"/>
          <w:color w:val="auto"/>
        </w:rPr>
        <w:t>Net cash used in/provided by investing activities for the periods presented primarily relates to the cash utilized to fund the Acquisition, the purchase and maturity of investments and capital expenditures. Net cash used in investing activities for the nine months ended September 30, 2023 was $82.4 million compared to net cash provided by investing activities of $256.0 million for the same period in 2022. The increase in cash used of $338.4 million was driven by the $212.9 million payment for the acquisition of Proleukin® business, excluding the payment of acquired inventories which is presented in the operating activities, a $124.1 million net increase in the timing of maturities and purchases of investments and a $1.4 million increase in capital expenditures.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5" w:lineRule="exact"/>
        <w:rPr>
          <w:sz w:val="20"/>
          <w:szCs w:val="20"/>
          <w:color w:val="auto"/>
        </w:rPr>
      </w:pPr>
    </w:p>
    <w:p>
      <w:pPr>
        <w:ind w:right="40" w:firstLine="492"/>
        <w:spacing w:after="0" w:line="273" w:lineRule="auto"/>
        <w:rPr>
          <w:sz w:val="20"/>
          <w:szCs w:val="20"/>
          <w:color w:val="auto"/>
        </w:rPr>
      </w:pPr>
      <w:r>
        <w:rPr>
          <w:rFonts w:ascii="Arial" w:cs="Arial" w:eastAsia="Arial" w:hAnsi="Arial"/>
          <w:sz w:val="17"/>
          <w:szCs w:val="17"/>
          <w:color w:val="auto"/>
        </w:rPr>
        <w:t>Net cash used provided by financing activities for the nine months ended September 30, 2023 was $462.0 million compared to net cash used of $0.4 million for the same period in 2022. The increase in net cash provided by financing activities of $462.4 million was driven by net proceeds of $463.3 million received from sales of common stock through our July 2023 public offering and the “at the market” offering program, $0.7 million received from the issuance of common stock under the 2020 ESPP and a decrease in tax payments related to shares withheld for vested restricted stock units. These increases were partially offset by a $1.6 million decrease in proceeds from issuance of common stock upon exercise of stock options.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8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addition to the contractual obligations disclosed in our Annual Report on Form 10-K for the year ended December 31, 2022, we have included new contractual obligations associated with the manufacturing and supply agreement of Proleukin®. Details of our future contractual obligations and the effects that such obligations are expected to have on our liquidity and cash flows in future periods are presented below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55"/>
        </w:trPr>
        <w:tc>
          <w:tcPr>
            <w:tcW w:w="28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2026</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2027</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w w:val="93"/>
              </w:rPr>
              <w:t>Thereafter</w:t>
            </w: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Operating lease obligations - facilities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shd w:val="clear" w:color="auto" w:fill="CCEEFF"/>
              </w:rPr>
              <w:t>119,006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shd w:val="clear" w:color="auto" w:fill="CCEEFF"/>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2,101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8,579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shd w:val="clear" w:color="auto" w:fill="CCEEFF"/>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8,324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shd w:val="clear" w:color="auto" w:fill="CCEEFF"/>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7,989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8,186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83,827</w:t>
            </w:r>
          </w:p>
        </w:tc>
      </w:tr>
      <w:tr>
        <w:trPr>
          <w:trHeight w:val="216"/>
        </w:trPr>
        <w:tc>
          <w:tcPr>
            <w:tcW w:w="2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 obligations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5,905</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152,466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14,229</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13,894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83,827</w:t>
            </w:r>
          </w:p>
        </w:tc>
      </w:tr>
      <w:tr>
        <w:trPr>
          <w:trHeight w:val="20"/>
        </w:trPr>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We have purchase obligations of $33.5 million related to manufacturing and supply agreements for Proleukin® under a contract we acquired as part of the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2023, we had no obligations that would require disclosure as off-balance sheet arrangements.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85"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color w:val="auto"/>
        </w:rPr>
        <w:t>There were no applicable recently issued accounting standards nor did we adopt any new accounting standards during the three and nine months ended September 30,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Inflation has not had a material effect on our business, financial condition, or results of operations over our two most recent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62" w:lineRule="exact"/>
        <w:rPr>
          <w:sz w:val="20"/>
          <w:szCs w:val="20"/>
          <w:color w:val="auto"/>
        </w:rPr>
      </w:pPr>
    </w:p>
    <w:p>
      <w:pPr>
        <w:jc w:val="both"/>
        <w:ind w:firstLine="492"/>
        <w:spacing w:after="0" w:line="290" w:lineRule="auto"/>
        <w:rPr>
          <w:sz w:val="20"/>
          <w:szCs w:val="20"/>
          <w:color w:val="auto"/>
        </w:rPr>
      </w:pPr>
      <w:r>
        <w:rPr>
          <w:rFonts w:ascii="Arial" w:cs="Arial" w:eastAsia="Arial" w:hAnsi="Arial"/>
          <w:sz w:val="16"/>
          <w:szCs w:val="16"/>
          <w:color w:val="auto"/>
        </w:rPr>
        <w:t>Our exposure to market risk is limited primarily to interest income sensitivity, which is affected by changes in the general level of U.S. interest rates, particularly because a significant portion of our investments are in interest bearing cash accounts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As of September 30, 2023, we had $216.0 million invested in marketable securities with a maturity date of less than one year. As such, we believe that we are not exposed to any material market risk. If interest rates had varied by 1% as of September 30, 2023, the fair value of our investment portfolio would increase or decrease by $0.3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ind w:firstLine="492"/>
        <w:spacing w:after="0" w:line="272" w:lineRule="auto"/>
        <w:rPr>
          <w:sz w:val="20"/>
          <w:szCs w:val="20"/>
          <w:color w:val="auto"/>
        </w:rPr>
      </w:pPr>
      <w:r>
        <w:rPr>
          <w:rFonts w:ascii="Arial" w:cs="Arial" w:eastAsia="Arial" w:hAnsi="Arial"/>
          <w:sz w:val="17"/>
          <w:szCs w:val="17"/>
          <w:color w:val="auto"/>
        </w:rPr>
        <w:t>We have acquired and established newly formed foreign subsidiaries to consummate our acquisition of worldwide rights in Proleukin® in the second quarter of 2023, in addition to our existing foreign operations. As a result, our financial results could be significantly affected by factors such as changes in foreign currency exchange rates or weak economic conditions in the foreign markets in which we distribute our products of Proleukin®. Our operating results could be exposed to changes in foreign currency exchange rates between U.S. dollar and various foreign currencies, the most significant of which is the Great Britain Pound. When the U.S. dollar strengthens against these currencies the relative value of sales made in the respective foreign currency decreases. Conversely, when the U.S. dollar weakens against these currencies, the relative value of such sales increase.</w:t>
      </w:r>
    </w:p>
    <w:p>
      <w:pPr>
        <w:spacing w:after="0" w:line="177" w:lineRule="exact"/>
        <w:rPr>
          <w:sz w:val="20"/>
          <w:szCs w:val="20"/>
          <w:color w:val="auto"/>
        </w:rPr>
      </w:pPr>
    </w:p>
    <w:p>
      <w:pPr>
        <w:jc w:val="both"/>
        <w:ind w:right="20" w:firstLine="492"/>
        <w:spacing w:after="0" w:line="277" w:lineRule="auto"/>
        <w:rPr>
          <w:sz w:val="20"/>
          <w:szCs w:val="20"/>
          <w:color w:val="auto"/>
        </w:rPr>
      </w:pPr>
      <w:r>
        <w:rPr>
          <w:rFonts w:ascii="Arial" w:cs="Arial" w:eastAsia="Arial" w:hAnsi="Arial"/>
          <w:sz w:val="18"/>
          <w:szCs w:val="18"/>
          <w:color w:val="auto"/>
        </w:rPr>
        <w:t>All of our product sales during the three and nine months ended September 30, 2023 were denominated in foreign currencies, however, foreign currency transaction loss was immaterial for the periods ended September 30, 2023.</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62"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62"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ind w:right="20" w:firstLine="492"/>
        <w:spacing w:after="0" w:line="279" w:lineRule="auto"/>
        <w:rPr>
          <w:sz w:val="20"/>
          <w:szCs w:val="20"/>
          <w:color w:val="auto"/>
        </w:rPr>
      </w:pPr>
      <w:r>
        <w:rPr>
          <w:rFonts w:ascii="Arial" w:cs="Arial" w:eastAsia="Arial" w:hAnsi="Arial"/>
          <w:sz w:val="17"/>
          <w:szCs w:val="17"/>
          <w:color w:val="auto"/>
        </w:rPr>
        <w:t>The information in Note 9 to the condensed consolidated financial statements contained in Part I, Item 1 of this Quarterly Report on Form 10-Q is incorporated herein by reference. There are no matters which constitute material pending legal proceedings to which we are a party other than those incorporated into this item by reference from Note 13 to our condensed consolidated financial statements for the quarter ended September 30, 2023 contained in this Quarterly Report on Form 10-Q.</w:t>
      </w:r>
    </w:p>
    <w:p>
      <w:pPr>
        <w:spacing w:after="0" w:line="1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i w:val="1"/>
          <w:iCs w:val="1"/>
          <w:color w:val="auto"/>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this Quarterly Report on Form 10-Q, including our financial statements and related notes, and our other filings from time to time with the Securities and Exchange Commission, or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89"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i w:val="1"/>
          <w:iCs w:val="1"/>
          <w:color w:val="auto"/>
        </w:rPr>
        <w:t>We have marked with an asterisk (*) those risk factors below that reflect a substantive change from the risk factors included in our Annual Report on Form 10-K filed with the SEC on February 28, 2023.</w:t>
      </w:r>
    </w:p>
    <w:p>
      <w:pPr>
        <w:spacing w:after="0" w:line="130"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Our business is subject to a number of risks and uncertainties, including those risks discussed at length below. These risks include, among others, the brief bulleted list of our principal risk factors set forth below that make an investment in our company speculative or risky. You are encouraged to carefully review our full discussion of the material risk factors relevant to an investment in our business, which follows the brief bulleted list of our principal risk factors set forth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w:t>
      </w:r>
    </w:p>
    <w:p>
      <w:pPr>
        <w:spacing w:after="0" w:line="198" w:lineRule="exact"/>
        <w:rPr>
          <w:sz w:val="20"/>
          <w:szCs w:val="20"/>
          <w:color w:val="auto"/>
        </w:rPr>
      </w:pPr>
    </w:p>
    <w:p>
      <w:pPr>
        <w:ind w:left="680" w:hanging="321"/>
        <w:spacing w:after="0" w:line="281"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1" w:lineRule="exact"/>
        <w:rPr>
          <w:rFonts w:ascii="Arial" w:cs="Arial" w:eastAsia="Arial" w:hAnsi="Arial"/>
          <w:sz w:val="17"/>
          <w:szCs w:val="17"/>
          <w:color w:val="auto"/>
        </w:rPr>
      </w:pPr>
    </w:p>
    <w:p>
      <w:pPr>
        <w:ind w:left="680" w:right="100" w:hanging="321"/>
        <w:spacing w:after="0" w:line="263"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encounter substantial delays in our clinical trials or may not be able to conduct our clinical trials on the timelines we expect and we may be required to conduct additional clinical trials or modify current or future clinical trials based on feedback we receive from the FDA;*</w:t>
      </w:r>
    </w:p>
    <w:p>
      <w:pPr>
        <w:spacing w:after="0" w:line="8"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It may take longer and cost more to complete our clinical trials than we project, or we may not be able to complete them at all;</w:t>
      </w:r>
    </w:p>
    <w:p>
      <w:pPr>
        <w:spacing w:after="0" w:line="72" w:lineRule="exact"/>
        <w:rPr>
          <w:rFonts w:ascii="Arial" w:cs="Arial" w:eastAsia="Arial" w:hAnsi="Arial"/>
          <w:sz w:val="16"/>
          <w:szCs w:val="16"/>
          <w:color w:val="auto"/>
        </w:rPr>
      </w:pPr>
    </w:p>
    <w:p>
      <w:pPr>
        <w:ind w:left="680" w:right="40" w:hanging="321"/>
        <w:spacing w:after="0" w:line="266"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clinical trials may fail to demonstrate adequately the safety and efficacy of our product candidates, which would prevent or delay regulatory approval and commercialization;</w:t>
      </w:r>
    </w:p>
    <w:p>
      <w:pPr>
        <w:ind w:left="680" w:right="40" w:hanging="321"/>
        <w:spacing w:after="0" w:line="25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2" w:lineRule="exact"/>
        <w:rPr>
          <w:rFonts w:ascii="Arial" w:cs="Arial" w:eastAsia="Arial" w:hAnsi="Arial"/>
          <w:sz w:val="18"/>
          <w:szCs w:val="18"/>
          <w:color w:val="auto"/>
        </w:rPr>
      </w:pPr>
    </w:p>
    <w:p>
      <w:pPr>
        <w:ind w:left="680" w:right="40" w:hanging="321"/>
        <w:spacing w:after="0" w:line="294"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Cell-based therapies and biologics rely on the availability of biological raw materials (including live cells), chemicals and agents used for manufacturing, reagents, specialized equipment, and other specialty materials, which may not be available to us on acceptable terms or at all. For each of these, we rely or may rely on treatment sites, limited manufacturers, sole source vendors, or a limited number of vendors, which could impair our ability to manufacture and supply our products;*</w:t>
      </w:r>
    </w:p>
    <w:p>
      <w:pPr>
        <w:spacing w:after="0" w:line="2" w:lineRule="exact"/>
        <w:rPr>
          <w:rFonts w:ascii="Arial" w:cs="Arial" w:eastAsia="Arial" w:hAnsi="Arial"/>
          <w:sz w:val="16"/>
          <w:szCs w:val="16"/>
          <w:color w:val="auto"/>
        </w:rPr>
      </w:pPr>
    </w:p>
    <w:p>
      <w:pPr>
        <w:ind w:left="680" w:right="60" w:hanging="321"/>
        <w:spacing w:after="0" w:line="293"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rely on and collaborate with governmental, academic and corporate partners or agencies to approve, improve and develop TIL therapies for new indications for use in combination with other therapies and to evaluate new TIL manufacturing methods, the results of which, because the manufacturing processes are not within our control, and may be incorrect or unreliable;*</w:t>
      </w:r>
    </w:p>
    <w:p>
      <w:pPr>
        <w:spacing w:after="0" w:line="1" w:lineRule="exact"/>
        <w:rPr>
          <w:rFonts w:ascii="Arial" w:cs="Arial" w:eastAsia="Arial" w:hAnsi="Arial"/>
          <w:sz w:val="16"/>
          <w:szCs w:val="16"/>
          <w:color w:val="auto"/>
        </w:rPr>
      </w:pPr>
    </w:p>
    <w:p>
      <w:pPr>
        <w:ind w:left="680" w:right="120" w:hanging="321"/>
        <w:spacing w:after="0" w:line="342"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need additional financing to fund our operations and complete the development and commercialization of our various product candidates, and if we are unable to obtain such financing, we may be unable to complete the development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300"/>
        <w:spacing w:after="0" w:line="273" w:lineRule="auto"/>
        <w:rPr>
          <w:sz w:val="20"/>
          <w:szCs w:val="20"/>
          <w:color w:val="auto"/>
        </w:rPr>
      </w:pPr>
      <w:r>
        <w:rPr>
          <w:rFonts w:ascii="Arial" w:cs="Arial" w:eastAsia="Arial" w:hAnsi="Arial"/>
          <w:sz w:val="18"/>
          <w:szCs w:val="18"/>
          <w:color w:val="auto"/>
        </w:rPr>
        <w:t>and commercialization of our product candidates. Raising additional capital may cause dilution to our existing stockholders, restrict our operations or require us to relinquish rights to our technologies or product candidates;*</w:t>
      </w:r>
    </w:p>
    <w:p>
      <w:pPr>
        <w:spacing w:after="0" w:line="2" w:lineRule="exact"/>
        <w:rPr>
          <w:sz w:val="20"/>
          <w:szCs w:val="20"/>
          <w:color w:val="auto"/>
        </w:rPr>
      </w:pPr>
    </w:p>
    <w:p>
      <w:pPr>
        <w:ind w:left="680" w:right="100" w:hanging="321"/>
        <w:spacing w:after="0" w:line="281"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1" w:lineRule="exact"/>
        <w:rPr>
          <w:rFonts w:ascii="Arial" w:cs="Arial" w:eastAsia="Arial" w:hAnsi="Arial"/>
          <w:sz w:val="17"/>
          <w:szCs w:val="17"/>
          <w:color w:val="auto"/>
        </w:rPr>
      </w:pPr>
    </w:p>
    <w:p>
      <w:pPr>
        <w:ind w:left="680" w:right="220" w:hanging="321"/>
        <w:spacing w:after="0" w:line="308" w:lineRule="auto"/>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required to pay substantial royalties and lump sum benchmark payments under our license or acquisition agreements with the NIH, Moffitt, Novartis, Clinigen, and Cellectis, and we must meet certain milestones to maintain our license rights;*</w:t>
      </w:r>
    </w:p>
    <w:p>
      <w:pPr>
        <w:ind w:left="680" w:right="20" w:hanging="321"/>
        <w:spacing w:after="0" w:line="263"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8" w:lineRule="exact"/>
        <w:rPr>
          <w:rFonts w:ascii="Arial" w:cs="Arial" w:eastAsia="Arial" w:hAnsi="Arial"/>
          <w:sz w:val="18"/>
          <w:szCs w:val="18"/>
          <w:color w:val="auto"/>
        </w:rPr>
      </w:pPr>
    </w:p>
    <w:p>
      <w:pPr>
        <w:ind w:left="680" w:right="60" w:hanging="321"/>
        <w:spacing w:after="0" w:line="266"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assurance can be given that the Gen 2 manufacturing process or other processes we have selected will be FDA-compliant or more efficient and will lower the cost to manufacture TIL products;*</w:t>
      </w:r>
    </w:p>
    <w:p>
      <w:pPr>
        <w:ind w:left="680" w:hanging="321"/>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face significant competition from other biotechnology and pharmaceutical companies and from non-profit institutions;</w:t>
      </w:r>
    </w:p>
    <w:p>
      <w:pPr>
        <w:spacing w:after="0" w:line="61" w:lineRule="exact"/>
        <w:rPr>
          <w:rFonts w:ascii="Arial" w:cs="Arial" w:eastAsia="Arial" w:hAnsi="Arial"/>
          <w:sz w:val="17"/>
          <w:szCs w:val="17"/>
          <w:color w:val="auto"/>
        </w:rPr>
      </w:pPr>
    </w:p>
    <w:p>
      <w:pPr>
        <w:ind w:left="680" w:right="300" w:hanging="321"/>
        <w:spacing w:after="0" w:line="273"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 of a product candidate intended for use in combination with an already approved product may present more or different challenges than development of a product candidate for use as a single agent;</w:t>
      </w:r>
    </w:p>
    <w:p>
      <w:pPr>
        <w:spacing w:after="0" w:line="1" w:lineRule="exact"/>
        <w:rPr>
          <w:rFonts w:ascii="Arial" w:cs="Arial" w:eastAsia="Arial" w:hAnsi="Arial"/>
          <w:sz w:val="18"/>
          <w:szCs w:val="18"/>
          <w:color w:val="auto"/>
        </w:rPr>
      </w:pPr>
    </w:p>
    <w:p>
      <w:pPr>
        <w:ind w:left="680" w:right="320" w:hanging="321"/>
        <w:spacing w:after="0" w:line="260"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Fast Track product designation, Breakthrough Therapy Designation, or BTD,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2" w:lineRule="exact"/>
        <w:rPr>
          <w:rFonts w:ascii="Arial" w:cs="Arial" w:eastAsia="Arial" w:hAnsi="Arial"/>
          <w:sz w:val="18"/>
          <w:szCs w:val="18"/>
          <w:color w:val="auto"/>
        </w:rPr>
      </w:pPr>
    </w:p>
    <w:p>
      <w:pPr>
        <w:ind w:left="680" w:right="20" w:hanging="321"/>
        <w:spacing w:after="0" w:line="299" w:lineRule="auto"/>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While lifileucel has received Orphan Drug Designation, or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jc w:val="both"/>
        <w:ind w:left="680" w:right="300" w:hanging="321"/>
        <w:spacing w:after="0" w:line="263"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8" w:lineRule="exact"/>
        <w:rPr>
          <w:rFonts w:ascii="Arial" w:cs="Arial" w:eastAsia="Arial" w:hAnsi="Arial"/>
          <w:sz w:val="18"/>
          <w:szCs w:val="18"/>
          <w:color w:val="auto"/>
        </w:rPr>
      </w:pPr>
    </w:p>
    <w:p>
      <w:pPr>
        <w:ind w:left="680" w:right="240" w:hanging="321"/>
        <w:spacing w:after="0" w:line="299" w:lineRule="auto"/>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ind w:left="680" w:right="580" w:hanging="321"/>
        <w:spacing w:after="0" w:line="273"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our product candidates do not achieve broad market acceptance, the revenues that we generate from their sales will be limited;</w:t>
      </w:r>
    </w:p>
    <w:p>
      <w:pPr>
        <w:spacing w:after="0" w:line="1" w:lineRule="exact"/>
        <w:rPr>
          <w:rFonts w:ascii="Arial" w:cs="Arial" w:eastAsia="Arial" w:hAnsi="Arial"/>
          <w:sz w:val="18"/>
          <w:szCs w:val="18"/>
          <w:color w:val="auto"/>
        </w:rPr>
      </w:pPr>
    </w:p>
    <w:p>
      <w:pPr>
        <w:ind w:left="680" w:hanging="321"/>
        <w:spacing w:after="0" w:line="273"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business could be adversely affected by the effects of health epidemics, including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and at our manufacturing facility in Philadelphia, Pennsylvania, which have previously been subject to state executive orders and shelter-in-place orders, and at our clinical trial sites, as well as the business or operations of our other manufacturers, CROs or other third parties with whom we conduct business;</w:t>
      </w:r>
    </w:p>
    <w:p>
      <w:pPr>
        <w:spacing w:after="0" w:line="2" w:lineRule="exact"/>
        <w:rPr>
          <w:rFonts w:ascii="Arial" w:cs="Arial" w:eastAsia="Arial" w:hAnsi="Arial"/>
          <w:sz w:val="17"/>
          <w:szCs w:val="17"/>
          <w:color w:val="auto"/>
        </w:rPr>
      </w:pPr>
    </w:p>
    <w:p>
      <w:pPr>
        <w:ind w:left="680" w:hanging="321"/>
        <w:spacing w:after="0"/>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will need to grow the size and capabilities of our organization, and we may experience difficulties in managing this growth;</w:t>
      </w:r>
    </w:p>
    <w:p>
      <w:pPr>
        <w:spacing w:after="0" w:line="59" w:lineRule="exact"/>
        <w:rPr>
          <w:rFonts w:ascii="Arial" w:cs="Arial" w:eastAsia="Arial" w:hAnsi="Arial"/>
          <w:sz w:val="16"/>
          <w:szCs w:val="16"/>
          <w:color w:val="auto"/>
        </w:rPr>
      </w:pPr>
    </w:p>
    <w:p>
      <w:pPr>
        <w:ind w:left="680" w:right="160" w:hanging="321"/>
        <w:spacing w:after="0" w:line="273"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are currently operating in a period of economic uncertainty and capital markets disruption, which has been significantly impacted by geopolitical instability, ongoing military conflicts between Russia and Ukraine and Israel and Hamas and record inflation. Our business, financial condition and results of operations could be materially adversely affected by any negative impact on the global economy and capital markets resulting from the conflict in Ukraine and the Middle East, geopolitical tensions or record inflation; Climate change or legal, regulatory or market measures to address climate change may negatively affect our business, results of operations, cash flows and prospects;</w:t>
      </w:r>
    </w:p>
    <w:p>
      <w:pPr>
        <w:spacing w:after="0" w:line="2" w:lineRule="exact"/>
        <w:rPr>
          <w:rFonts w:ascii="Arial" w:cs="Arial" w:eastAsia="Arial" w:hAnsi="Arial"/>
          <w:sz w:val="17"/>
          <w:szCs w:val="17"/>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social and governance matters may impact our business and reputation; and</w:t>
      </w:r>
    </w:p>
    <w:p>
      <w:pPr>
        <w:spacing w:after="0" w:line="49" w:lineRule="exact"/>
        <w:rPr>
          <w:rFonts w:ascii="Arial" w:cs="Arial" w:eastAsia="Arial" w:hAnsi="Arial"/>
          <w:sz w:val="18"/>
          <w:szCs w:val="18"/>
          <w:color w:val="auto"/>
        </w:rPr>
      </w:pPr>
    </w:p>
    <w:p>
      <w:pPr>
        <w:ind w:left="680" w:right="200" w:hanging="321"/>
        <w:spacing w:after="0" w:line="25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Government Regulation:</w:t>
      </w:r>
    </w:p>
    <w:p>
      <w:pPr>
        <w:spacing w:after="0" w:line="185" w:lineRule="exact"/>
        <w:rPr>
          <w:sz w:val="20"/>
          <w:szCs w:val="20"/>
          <w:color w:val="auto"/>
        </w:rPr>
      </w:pPr>
    </w:p>
    <w:p>
      <w:pPr>
        <w:ind w:left="680" w:right="100" w:hanging="321"/>
        <w:spacing w:after="0" w:line="273"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regulatory approval process is lengthy and time-consuming, and we may experience significant delays in the clinical development and regulatory approval of our product candidates;*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be unable to successfully or sufficiently expand our manufacturing capacity to meet demand for our products;*</w:t>
      </w:r>
    </w:p>
    <w:p>
      <w:pPr>
        <w:spacing w:after="0" w:line="61" w:lineRule="exact"/>
        <w:rPr>
          <w:rFonts w:ascii="Arial" w:cs="Arial" w:eastAsia="Arial" w:hAnsi="Arial"/>
          <w:sz w:val="17"/>
          <w:szCs w:val="17"/>
          <w:color w:val="auto"/>
        </w:rPr>
      </w:pPr>
    </w:p>
    <w:p>
      <w:pPr>
        <w:ind w:left="680" w:right="400" w:hanging="321"/>
        <w:spacing w:after="0" w:line="266"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ind w:left="680" w:right="20" w:hanging="321"/>
        <w:spacing w:after="0" w:line="273"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Coverage and reimbursement may be limited or unavailable in certain market segments for our product candidates, which could make it difficult for us to sell our product candidates profitably; and</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Governments outside the U.S. tend to impose strict price controls, which may adversely affect our revenues, if 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 profitable.*</w:t>
      </w:r>
    </w:p>
    <w:p>
      <w:pPr>
        <w:spacing w:after="0" w:line="171" w:lineRule="exact"/>
        <w:rPr>
          <w:sz w:val="20"/>
          <w:szCs w:val="20"/>
          <w:color w:val="auto"/>
        </w:rPr>
      </w:pPr>
    </w:p>
    <w:p>
      <w:pPr>
        <w:ind w:right="20" w:firstLine="492"/>
        <w:spacing w:after="0" w:line="290" w:lineRule="auto"/>
        <w:rPr>
          <w:sz w:val="20"/>
          <w:szCs w:val="20"/>
          <w:color w:val="auto"/>
        </w:rPr>
      </w:pPr>
      <w:r>
        <w:rPr>
          <w:rFonts w:ascii="Arial" w:cs="Arial" w:eastAsia="Arial" w:hAnsi="Arial"/>
          <w:sz w:val="16"/>
          <w:szCs w:val="16"/>
          <w:color w:val="auto"/>
        </w:rPr>
        <w:t>We are a clinical-stage biotechnology company focused on the development and commercialization of novel cancer immunotherapy products designed to harness the power of a patient's own immune system to eradicate cancer. Until recently, we did not have products approved for commercial sale and have not generated revenue from operations. With the closing of the acquisition of the worldwide rights to Proleukin® in May 2023, we began to have commercial sales. As of September 30, 2023, we had an accumulated deficit of $1.9 billion. In addition, during the nine months ended September 30, 2023, we incurred a net loss of $327.7 million. While we are preparing for the commercial launch of our product, lifileucel, if approved, we do not expect to generate any meaningful product sales or royalty revenues until at least 2024. We expect to incur significant additional operating losses in the future as we expand our development and clinical trial activities in support of demonstrating the effectiveness of our products.</w:t>
      </w:r>
    </w:p>
    <w:p>
      <w:pPr>
        <w:spacing w:after="0" w:line="125" w:lineRule="exact"/>
        <w:rPr>
          <w:sz w:val="20"/>
          <w:szCs w:val="20"/>
          <w:color w:val="auto"/>
        </w:rPr>
      </w:pPr>
    </w:p>
    <w:p>
      <w:pPr>
        <w:ind w:right="140" w:firstLine="492"/>
        <w:spacing w:after="0" w:line="263"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30" w:lineRule="exact"/>
        <w:rPr>
          <w:sz w:val="20"/>
          <w:szCs w:val="20"/>
          <w:color w:val="auto"/>
        </w:rPr>
      </w:pPr>
    </w:p>
    <w:p>
      <w:pPr>
        <w:ind w:right="240" w:firstLine="492"/>
        <w:spacing w:after="0" w:line="277" w:lineRule="auto"/>
        <w:rPr>
          <w:sz w:val="20"/>
          <w:szCs w:val="20"/>
          <w:color w:val="auto"/>
        </w:rPr>
      </w:pPr>
      <w:r>
        <w:rPr>
          <w:rFonts w:ascii="Arial" w:cs="Arial" w:eastAsia="Arial" w:hAnsi="Arial"/>
          <w:sz w:val="18"/>
          <w:szCs w:val="18"/>
          <w:b w:val="1"/>
          <w:bCs w:val="1"/>
          <w:i w:val="1"/>
          <w:iCs w:val="1"/>
          <w:color w:val="auto"/>
        </w:rPr>
        <w:t>Our current line of business, and the biotechnology industry in which we operate, makes it difficult to evaluate our business plan and our prospects.*</w:t>
      </w:r>
    </w:p>
    <w:p>
      <w:pPr>
        <w:spacing w:after="0" w:line="116" w:lineRule="exact"/>
        <w:rPr>
          <w:sz w:val="20"/>
          <w:szCs w:val="20"/>
          <w:color w:val="auto"/>
        </w:rPr>
      </w:pPr>
    </w:p>
    <w:p>
      <w:pPr>
        <w:ind w:right="180" w:firstLine="492"/>
        <w:spacing w:after="0" w:line="275" w:lineRule="auto"/>
        <w:rPr>
          <w:sz w:val="20"/>
          <w:szCs w:val="20"/>
          <w:color w:val="auto"/>
        </w:rPr>
      </w:pPr>
      <w:r>
        <w:rPr>
          <w:rFonts w:ascii="Arial" w:cs="Arial" w:eastAsia="Arial" w:hAnsi="Arial"/>
          <w:sz w:val="17"/>
          <w:szCs w:val="17"/>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22" w:lineRule="exact"/>
        <w:rPr>
          <w:sz w:val="20"/>
          <w:szCs w:val="20"/>
          <w:color w:val="auto"/>
        </w:rPr>
      </w:pPr>
    </w:p>
    <w:p>
      <w:pPr>
        <w:ind w:firstLine="492"/>
        <w:spacing w:after="0" w:line="253" w:lineRule="auto"/>
        <w:rPr>
          <w:sz w:val="20"/>
          <w:szCs w:val="20"/>
          <w:color w:val="auto"/>
        </w:rPr>
      </w:pPr>
      <w:r>
        <w:rPr>
          <w:rFonts w:ascii="Arial" w:cs="Arial" w:eastAsia="Arial" w:hAnsi="Arial"/>
          <w:sz w:val="18"/>
          <w:szCs w:val="18"/>
          <w:color w:val="auto"/>
        </w:rPr>
        <w:t>We face the problems, expenses, difficulties, complications and delays normally associated with a commercial biotechnology company with significant pre-commercial assets,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commercial biotechnology companies with significant pre-commercial assets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business.</w:t>
      </w:r>
    </w:p>
    <w:p>
      <w:pPr>
        <w:spacing w:after="0" w:line="142" w:lineRule="exact"/>
        <w:rPr>
          <w:sz w:val="20"/>
          <w:szCs w:val="20"/>
          <w:color w:val="auto"/>
        </w:rPr>
      </w:pPr>
    </w:p>
    <w:p>
      <w:pPr>
        <w:ind w:right="160" w:firstLine="492"/>
        <w:spacing w:after="0" w:line="342" w:lineRule="auto"/>
        <w:rPr>
          <w:sz w:val="20"/>
          <w:szCs w:val="20"/>
          <w:color w:val="auto"/>
        </w:rPr>
      </w:pPr>
      <w:r>
        <w:rPr>
          <w:rFonts w:ascii="Arial" w:cs="Arial" w:eastAsia="Arial" w:hAnsi="Arial"/>
          <w:sz w:val="16"/>
          <w:szCs w:val="16"/>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70" w:lineRule="exact"/>
        <w:rPr>
          <w:sz w:val="20"/>
          <w:szCs w:val="20"/>
          <w:color w:val="auto"/>
        </w:rPr>
      </w:pPr>
    </w:p>
    <w:p>
      <w:pPr>
        <w:ind w:right="140" w:firstLine="492"/>
        <w:spacing w:after="0" w:line="296" w:lineRule="auto"/>
        <w:rPr>
          <w:sz w:val="20"/>
          <w:szCs w:val="20"/>
          <w:color w:val="auto"/>
        </w:rPr>
      </w:pPr>
      <w:r>
        <w:rPr>
          <w:rFonts w:ascii="Arial" w:cs="Arial" w:eastAsia="Arial" w:hAnsi="Arial"/>
          <w:sz w:val="16"/>
          <w:szCs w:val="16"/>
          <w:color w:val="auto"/>
        </w:rPr>
        <w:t>We currently have one product approved for commercial sale. We have invested a significant portion of our efforts and financial resources in the development of our current product candidates, including lifileucel, LN-145, IOV-4001, IOV-2001, and IOV-3001,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w:t>
      </w:r>
    </w:p>
    <w:p>
      <w:pPr>
        <w:sectPr>
          <w:pgSz w:w="11900" w:h="16838" w:orient="portrait"/>
          <w:cols w:equalWidth="0" w:num="1">
            <w:col w:w="9900"/>
          </w:cols>
          <w:pgMar w:left="980" w:top="665" w:right="101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obtain regulatory approval for, and then successfully commercialize our product candidates. We currently generate no revenue from the sale of any products that are in development, and we may never be able to develop or commercialize these potential products.</w:t>
      </w:r>
    </w:p>
    <w:p>
      <w:pPr>
        <w:spacing w:after="0" w:line="70"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 including the negative impact of the COVID-19 pandemic. Additionally, the costs associated with development of cell therapy products may be significant due to the length of treatment and the supportive therapies provided to the patient during the treatment process. Supportive therapies may impact costs and patient viability and may potentially limit availability.</w:t>
      </w:r>
    </w:p>
    <w:p>
      <w:pPr>
        <w:spacing w:after="0" w:line="141"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U.S. in the foreseeable future, or at all. Any significant delays in obtaining approval for and commercializing our product candidates will have a material adverse impact on our business and financial condition.</w:t>
      </w:r>
    </w:p>
    <w:p>
      <w:pPr>
        <w:spacing w:after="0" w:line="110"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Our products rely on coordination and collaboration with treatment centers that perform surgical procedures, obtain and provide lymphodepleting chemotherapy, and deliver other care to patients that are often in poor health as a result of the latter stages of cancer. This coordination of care is complicated in both the clinical trial setting and the commercial setting. Our treatment centers may not be able to obtain necessary supplies, such as lymphodepleting chemotherapy agents, because of shortages. If commercialized, our products will rely heavily on our ability to train centers and the center’s ability to choose suitable patients and deliver a complex regimen. We may be reliant on physicians with limited experience with TIL products and the associated regimens. Although we will make efforts to train hospitals and provide processes that must be followed precisely, there is no way to ensure that all institutions will be able to perform at a high level in all aspects of the coordination of care. Patients may progress in the course of their disease or may experience serious adverse events from our products or supportive regimens while undergoing or awaiting treatment with our therapies.</w:t>
      </w:r>
    </w:p>
    <w:p>
      <w:pPr>
        <w:spacing w:after="0" w:line="112"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Prior to our completion of a rolling BLA submission for lifileucel in March 2023 and its acceptance by the FDA in May 2023, we had not previously submitted a BLA to the FDA, or a similar marketing application to comparable foreign authorities, for any product candidate, and we cannot be certain that our current or any future product candidates will be successful in clinical trials or receive regulatory approval. Furthermore, although we have not submitted our BLA with comparisons to existing or more established therapies and likewise do not expect the FDA to base its determination with respect to product approval on such comparisons, the FDA may factor these comparisons into its decision whether to approve our TIL therapies, including lifileucel for advanced melanoma. The FDA may also consider its approvals of competing products, which may alter the treatment landscape concurrently with their review of our BLA filings, and which may lead to changes in the FDA’s review requirements that have been previously communicated to us and our interpretation thereof, including changes to requirements for clinical data or clinical trial design. Such challenges and variabilities could delay approval or necessitate withdrawal of our BLA filings.</w:t>
      </w:r>
    </w:p>
    <w:p>
      <w:pPr>
        <w:spacing w:after="0" w:line="131"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30"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will depend on our ability to:</w:t>
      </w:r>
    </w:p>
    <w:p>
      <w:pPr>
        <w:spacing w:after="0" w:line="130" w:lineRule="exact"/>
        <w:rPr>
          <w:sz w:val="20"/>
          <w:szCs w:val="20"/>
          <w:color w:val="auto"/>
        </w:rPr>
      </w:pPr>
    </w:p>
    <w:p>
      <w:pPr>
        <w:ind w:left="680" w:right="680" w:hanging="321"/>
        <w:spacing w:after="0" w:line="273"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 our product candidates competitively such that third-party and government reimbursement leads to broad product adoption;</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prepare a broad network of clinical sites for administration of our product;</w:t>
      </w:r>
    </w:p>
    <w:p>
      <w:pPr>
        <w:spacing w:after="0" w:line="49"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train and monitor sites for product delivery and consistent flow of appropriate patients;</w:t>
      </w:r>
    </w:p>
    <w:p>
      <w:pPr>
        <w:spacing w:after="0" w:line="36" w:lineRule="exact"/>
        <w:rPr>
          <w:rFonts w:ascii="Arial" w:cs="Arial" w:eastAsia="Arial" w:hAnsi="Arial"/>
          <w:sz w:val="18"/>
          <w:szCs w:val="18"/>
          <w:color w:val="auto"/>
        </w:rPr>
      </w:pPr>
    </w:p>
    <w:p>
      <w:pPr>
        <w:ind w:left="680" w:right="20" w:hanging="321"/>
        <w:spacing w:after="0" w:line="273"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spacing w:after="0" w:line="1" w:lineRule="exact"/>
        <w:rPr>
          <w:rFonts w:ascii="Arial" w:cs="Arial" w:eastAsia="Arial" w:hAnsi="Arial"/>
          <w:sz w:val="18"/>
          <w:szCs w:val="18"/>
          <w:color w:val="auto"/>
        </w:rPr>
      </w:pPr>
    </w:p>
    <w:p>
      <w:pPr>
        <w:ind w:left="680" w:right="500" w:hanging="321"/>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 regulatory approval for the targeted patient population(s) and claims that are necessary or desirable for successful marketing;</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the necessary regulatory approvals to deliver the therapies to a sufficiently sized patient population;</w:t>
      </w:r>
    </w:p>
    <w:p>
      <w:pPr>
        <w:spacing w:after="0" w:line="49"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commercialize our products;</w:t>
      </w:r>
    </w:p>
    <w:p>
      <w:pPr>
        <w:spacing w:after="0" w:line="36" w:lineRule="exact"/>
        <w:rPr>
          <w:rFonts w:ascii="Arial" w:cs="Arial" w:eastAsia="Arial" w:hAnsi="Arial"/>
          <w:sz w:val="18"/>
          <w:szCs w:val="18"/>
          <w:color w:val="auto"/>
        </w:rPr>
      </w:pPr>
    </w:p>
    <w:p>
      <w:pPr>
        <w:ind w:left="680" w:right="200" w:hanging="321"/>
        <w:spacing w:after="0" w:line="273"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manufacture product candidates through CMOs or in our own manufacturing facility in sufficient quantities and at acceptable quality and manufacturing cost to meet commercial demand at launch and thereafter;</w:t>
      </w:r>
    </w:p>
    <w:p>
      <w:pPr>
        <w:spacing w:after="0" w:line="1" w:lineRule="exact"/>
        <w:rPr>
          <w:rFonts w:ascii="Arial" w:cs="Arial" w:eastAsia="Arial" w:hAnsi="Arial"/>
          <w:sz w:val="18"/>
          <w:szCs w:val="18"/>
          <w:color w:val="auto"/>
        </w:rPr>
      </w:pPr>
    </w:p>
    <w:p>
      <w:pPr>
        <w:ind w:left="680" w:right="800" w:hanging="321"/>
        <w:spacing w:after="0" w:line="273"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pharmacies, and group purchasing organizations on commercially reasonable terms;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36"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 commercial sales of our product candidates;</w:t>
      </w:r>
    </w:p>
    <w:p>
      <w:pPr>
        <w:spacing w:after="0" w:line="49" w:lineRule="exact"/>
        <w:rPr>
          <w:rFonts w:ascii="Arial" w:cs="Arial" w:eastAsia="Arial" w:hAnsi="Arial"/>
          <w:sz w:val="18"/>
          <w:szCs w:val="18"/>
          <w:color w:val="auto"/>
        </w:rPr>
      </w:pPr>
    </w:p>
    <w:p>
      <w:pPr>
        <w:ind w:left="680" w:right="120" w:hanging="321"/>
        <w:spacing w:after="0" w:line="263"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8"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third-party payors;</w:t>
      </w:r>
    </w:p>
    <w:p>
      <w:pPr>
        <w:spacing w:after="0" w:line="36"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49" w:lineRule="exact"/>
        <w:rPr>
          <w:rFonts w:ascii="Arial" w:cs="Arial" w:eastAsia="Arial" w:hAnsi="Arial"/>
          <w:sz w:val="18"/>
          <w:szCs w:val="18"/>
          <w:color w:val="auto"/>
        </w:rPr>
      </w:pPr>
    </w:p>
    <w:p>
      <w:pPr>
        <w:ind w:left="680" w:right="200" w:hanging="321"/>
        <w:spacing w:after="0" w:line="273"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payor coverage at rates that will enable the market to adopt our product and enable sites to deliver the entire therapy to patients;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partner with third party logistics providers that will successfully distribute our products;</w:t>
      </w:r>
    </w:p>
    <w:p>
      <w:pPr>
        <w:spacing w:after="0" w:line="36" w:lineRule="exact"/>
        <w:rPr>
          <w:rFonts w:ascii="Arial" w:cs="Arial" w:eastAsia="Arial" w:hAnsi="Arial"/>
          <w:sz w:val="18"/>
          <w:szCs w:val="18"/>
          <w:color w:val="auto"/>
        </w:rPr>
      </w:pPr>
    </w:p>
    <w:p>
      <w:pPr>
        <w:ind w:left="680" w:right="20" w:hanging="321"/>
        <w:spacing w:after="0" w:line="273"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 distribution and logistics network capable of product storage within our specifications and regulatory guidelines, and further capable of timely product delivery to commercial clinical sites;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compete with other therapies or competitors; and</w:t>
      </w:r>
    </w:p>
    <w:p>
      <w:pPr>
        <w:spacing w:after="0" w:line="49"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following launch, ensure that our product will be used as directed and that additional unexpected safety risks will not arise.</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face risks due to the need to rely on third parties, including clinical trial sites.</w:t>
      </w:r>
    </w:p>
    <w:p>
      <w:pPr>
        <w:spacing w:after="0" w:line="18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are heavily reliant on third parties to conduct our clinical trials. We have a limited history of conducting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As a result of the COVID-19 pandemic, institutions and research sites that currently conduct clinical trials may not be able to return to normal clinical trial operations for some time or may no longer choose to participate in studies in the future. Furthermore, clinical trials may be delayed or otherwise may be more difficult to execute in the future.</w:t>
      </w:r>
    </w:p>
    <w:p>
      <w:pPr>
        <w:spacing w:after="0" w:line="145"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will progress according to our plans or expectations, or that our planned clinical trials will be initiated or initiated in a timely manner, progress according to our plans or expectations, or be completed on time, if they are completed at all.</w:t>
      </w:r>
    </w:p>
    <w:p>
      <w:pPr>
        <w:spacing w:after="0" w:line="165"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 xml:space="preserve">Large-scale clinical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In addition to manufacturing TIL at the </w:t>
      </w:r>
      <w:r>
        <w:rPr>
          <w:rFonts w:ascii="Arial" w:cs="Arial" w:eastAsia="Arial" w:hAnsi="Arial"/>
          <w:sz w:val="17"/>
          <w:szCs w:val="17"/>
          <w:i w:val="1"/>
          <w:iCs w:val="1"/>
          <w:color w:val="auto"/>
        </w:rPr>
        <w:t>i</w:t>
      </w:r>
      <w:r>
        <w:rPr>
          <w:rFonts w:ascii="Arial" w:cs="Arial" w:eastAsia="Arial" w:hAnsi="Arial"/>
          <w:sz w:val="17"/>
          <w:szCs w:val="17"/>
          <w:color w:val="auto"/>
        </w:rPr>
        <w:t xml:space="preserve">CTC, we rely on CMOs in the U.S. and Europe to manufacture TIL for use in our clinical trials and commercial use upon approval. We may not be able to demonstrate sufficient comparability between products manufactured at different facilities to allow for inclusion of the clinical results from patients treated with products from these different facilities, or with our own manufacturing facility, in our product registrations, or to allow for use of the </w:t>
      </w:r>
      <w:r>
        <w:rPr>
          <w:rFonts w:ascii="Arial" w:cs="Arial" w:eastAsia="Arial" w:hAnsi="Arial"/>
          <w:sz w:val="17"/>
          <w:szCs w:val="17"/>
          <w:i w:val="1"/>
          <w:iCs w:val="1"/>
          <w:color w:val="auto"/>
        </w:rPr>
        <w:t>i</w:t>
      </w:r>
      <w:r>
        <w:rPr>
          <w:rFonts w:ascii="Arial" w:cs="Arial" w:eastAsia="Arial" w:hAnsi="Arial"/>
          <w:sz w:val="17"/>
          <w:szCs w:val="17"/>
          <w:color w:val="auto"/>
        </w:rPr>
        <w:t>CTC at the time of launch. Further, our CMOs may not be able to manufacture TIL or otherwise fulfill their obligations to us because of interruptions to their business, including the loss of their key staff or interruptions to their raw material supply.</w:t>
      </w:r>
    </w:p>
    <w:p>
      <w:pPr>
        <w:spacing w:after="0" w:line="140" w:lineRule="exact"/>
        <w:rPr>
          <w:sz w:val="20"/>
          <w:szCs w:val="20"/>
          <w:color w:val="auto"/>
        </w:rPr>
      </w:pPr>
    </w:p>
    <w:p>
      <w:pPr>
        <w:ind w:right="240" w:firstLine="492"/>
        <w:spacing w:after="0" w:line="342" w:lineRule="auto"/>
        <w:rPr>
          <w:sz w:val="20"/>
          <w:szCs w:val="20"/>
          <w:color w:val="auto"/>
        </w:rPr>
      </w:pPr>
      <w:r>
        <w:rPr>
          <w:rFonts w:ascii="Arial" w:cs="Arial" w:eastAsia="Arial" w:hAnsi="Arial"/>
          <w:sz w:val="16"/>
          <w:szCs w:val="16"/>
          <w:color w:val="auto"/>
        </w:rPr>
        <w:t>We rely on third party CROs and clinical trial sites to conduct, supervise, and monitor our clinical trials for our product candidates. We expect to continue to rely on third parties, such as CROs, clinical data management organizations, medical institutions,</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37"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 not relieve us of these oversight responsibilities. For example, we will remain responsible for ensuring that each of our clinical trials is conducted in accordance with the general investigational plan and protocols for the clinical trial and for ensuring that our preclinical studies are conducted in accordance with Good Laboratory Practices, or GLPs, as appropriate. Moreover, the FDA and comparable foreign regulatory authorities require us to comply with Good Clinical Practices, or GCPs, for conducting, recording, and reporting the results of clinical trials to assure that data and reported results are credible and accurate and that the rights, integrity, and confidentiality of clinical trial participants are protected. Regulatory authorities enforce these requirements through periodic inspections (including pre-approval inspections upon completion of a BLA filing with the FDA) of clinical trial sponsors, clinical investigators, clinical trial sites and certain third parties including CMOs.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spacing w:after="0" w:line="155" w:lineRule="exact"/>
        <w:rPr>
          <w:sz w:val="20"/>
          <w:szCs w:val="20"/>
          <w:color w:val="auto"/>
        </w:rPr>
      </w:pPr>
    </w:p>
    <w:p>
      <w:pPr>
        <w:ind w:firstLine="492"/>
        <w:spacing w:after="0" w:line="286" w:lineRule="auto"/>
        <w:rPr>
          <w:sz w:val="20"/>
          <w:szCs w:val="20"/>
          <w:color w:val="auto"/>
        </w:rPr>
      </w:pPr>
      <w:r>
        <w:rPr>
          <w:rFonts w:ascii="Arial" w:cs="Arial" w:eastAsia="Arial" w:hAnsi="Arial"/>
          <w:sz w:val="17"/>
          <w:szCs w:val="17"/>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25" w:lineRule="exact"/>
        <w:rPr>
          <w:sz w:val="20"/>
          <w:szCs w:val="20"/>
          <w:color w:val="auto"/>
        </w:rPr>
      </w:pPr>
    </w:p>
    <w:p>
      <w:pPr>
        <w:ind w:right="180" w:firstLine="492"/>
        <w:spacing w:after="0" w:line="275" w:lineRule="auto"/>
        <w:rPr>
          <w:sz w:val="20"/>
          <w:szCs w:val="20"/>
          <w:color w:val="auto"/>
        </w:rPr>
      </w:pPr>
      <w:r>
        <w:rPr>
          <w:rFonts w:ascii="Arial" w:cs="Arial" w:eastAsia="Arial" w:hAnsi="Arial"/>
          <w:sz w:val="17"/>
          <w:szCs w:val="17"/>
          <w:color w:val="auto"/>
        </w:rPr>
        <w:t>In addition, our clinical trials must be conducted with product candidates that were produced under current Good Manufacturing Practices, or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spacing w:after="0" w:line="136"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clinical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59"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If any of our relationships with these third parties terminate, we may not be able to enter into alternative arrangements or do so on commercially reasonable terms. Switching or adding additional contractors involves additional costs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146" w:lineRule="exact"/>
        <w:rPr>
          <w:sz w:val="20"/>
          <w:szCs w:val="20"/>
          <w:color w:val="auto"/>
        </w:rPr>
      </w:pPr>
    </w:p>
    <w:p>
      <w:pPr>
        <w:ind w:right="120" w:firstLine="492"/>
        <w:spacing w:after="0" w:line="263"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our clinical trials on the timelines we expect and we may be required to conduct additional clinical trials or modify current or future clinical trials based on feedback we receive from the FDA.*</w:t>
      </w:r>
    </w:p>
    <w:p>
      <w:pPr>
        <w:spacing w:after="0" w:line="157" w:lineRule="exact"/>
        <w:rPr>
          <w:sz w:val="20"/>
          <w:szCs w:val="20"/>
          <w:color w:val="auto"/>
        </w:rPr>
      </w:pPr>
    </w:p>
    <w:p>
      <w:pPr>
        <w:ind w:right="140" w:firstLine="492"/>
        <w:spacing w:after="0" w:line="286" w:lineRule="auto"/>
        <w:rPr>
          <w:sz w:val="20"/>
          <w:szCs w:val="20"/>
          <w:color w:val="auto"/>
        </w:rPr>
      </w:pPr>
      <w:r>
        <w:rPr>
          <w:rFonts w:ascii="Arial" w:cs="Arial" w:eastAsia="Arial" w:hAnsi="Arial"/>
          <w:sz w:val="16"/>
          <w:szCs w:val="16"/>
          <w:color w:val="auto"/>
        </w:rPr>
        <w:t>Clinical testing is expensive, time consuming, and subject to uncertainty. We cannot guarantee that any current or future clinical trials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have completed enrollment in the pivotal clinical trial for melanoma, C-144-</w:t>
      </w:r>
    </w:p>
    <w:p>
      <w:pPr>
        <w:spacing w:after="0" w:line="1" w:lineRule="exact"/>
        <w:rPr>
          <w:sz w:val="20"/>
          <w:szCs w:val="20"/>
          <w:color w:val="auto"/>
        </w:rPr>
      </w:pPr>
    </w:p>
    <w:p>
      <w:pPr>
        <w:ind w:firstLine="8"/>
        <w:spacing w:after="0" w:line="268" w:lineRule="auto"/>
        <w:tabs>
          <w:tab w:leader="none" w:pos="27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June 2022, we announced that initial Cohort 4 data read by the independent review committee, or IRC, met the primary endpoint in this clinical trial. In March 2023, we completed submission of our BLA to the FDA for the treatment of adult patients with metastatic melanoma for approval, and the FDA accepted the BLA in May 2023, although approval remains pending. We plan to initiate clinical trials in new indications, and new cohorts in existing clinical trials. Even as these clinical trials progress, issues may arise that could require us to suspend or terminate such clinical trials or could cause the results of one cohort to differ from a prior cohort. For example, we may experience slower than anticipated enrollment in our additional pivotal clinical trials, which may consequently delay BLA submission to the FDA or permit competitors to obtain approvals that may alter our BLA filing strategy. A failure of one or more clinical trials can occur at any stage of testing, and our future clinical studies may not be successful. Events that may prevent successful or timely initiation or completion of clinical development, or product approval include:</w:t>
      </w:r>
    </w:p>
    <w:p>
      <w:pPr>
        <w:spacing w:after="0" w:line="208" w:lineRule="exact"/>
        <w:rPr>
          <w:rFonts w:ascii="Arial" w:cs="Arial" w:eastAsia="Arial" w:hAnsi="Arial"/>
          <w:sz w:val="17"/>
          <w:szCs w:val="17"/>
          <w:color w:val="auto"/>
        </w:rPr>
      </w:pPr>
    </w:p>
    <w:p>
      <w:pPr>
        <w:ind w:left="820" w:hanging="320"/>
        <w:spacing w:after="0" w:line="255" w:lineRule="auto"/>
        <w:tabs>
          <w:tab w:leader="none" w:pos="814"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conduct a clinical trial at a prospective clinical trial site, or amend clinical trial protocols, or regulators or IRBs may require that we modify or amend our clinical trial protocols;</w:t>
      </w:r>
    </w:p>
    <w:p>
      <w:pPr>
        <w:spacing w:after="0" w:line="2" w:lineRule="exact"/>
        <w:rPr>
          <w:rFonts w:ascii="Arial" w:cs="Arial" w:eastAsia="Arial" w:hAnsi="Arial"/>
          <w:sz w:val="18"/>
          <w:szCs w:val="18"/>
          <w:color w:val="auto"/>
        </w:rPr>
      </w:pPr>
    </w:p>
    <w:p>
      <w:pPr>
        <w:ind w:left="820" w:hanging="320"/>
        <w:spacing w:after="0"/>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delays in reaching a consensus or inability to obtain agreement with regulatory agencies on clinical trial design;</w:t>
      </w:r>
    </w:p>
    <w:p>
      <w:pPr>
        <w:spacing w:after="0" w:line="9" w:lineRule="exact"/>
        <w:rPr>
          <w:rFonts w:ascii="Arial" w:cs="Arial" w:eastAsia="Arial" w:hAnsi="Arial"/>
          <w:sz w:val="18"/>
          <w:szCs w:val="18"/>
          <w:color w:val="auto"/>
        </w:rPr>
      </w:pPr>
    </w:p>
    <w:p>
      <w:pPr>
        <w:jc w:val="both"/>
        <w:ind w:left="820" w:right="80" w:hanging="320"/>
        <w:spacing w:after="0" w:line="250" w:lineRule="auto"/>
        <w:tabs>
          <w:tab w:leader="none" w:pos="81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clinical trial design or our interpretation of data from preclinical studies and clinical trials or find that a product candidate’s benefits do not outweigh its safety risks;</w:t>
      </w:r>
    </w:p>
    <w:p>
      <w:pPr>
        <w:spacing w:after="0" w:line="1" w:lineRule="exact"/>
        <w:rPr>
          <w:rFonts w:ascii="Arial" w:cs="Arial" w:eastAsia="Arial" w:hAnsi="Arial"/>
          <w:sz w:val="18"/>
          <w:szCs w:val="18"/>
          <w:color w:val="auto"/>
        </w:rPr>
      </w:pPr>
    </w:p>
    <w:p>
      <w:pPr>
        <w:ind w:left="820" w:right="420" w:hanging="320"/>
        <w:spacing w:after="0" w:line="250" w:lineRule="auto"/>
        <w:tabs>
          <w:tab w:leader="none" w:pos="81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jc w:val="both"/>
        <w:ind w:left="820" w:right="40" w:hanging="320"/>
        <w:spacing w:after="0" w:line="250" w:lineRule="auto"/>
        <w:tabs>
          <w:tab w:leader="none" w:pos="81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trials;</w:t>
      </w:r>
    </w:p>
    <w:p>
      <w:pPr>
        <w:spacing w:after="0" w:line="1" w:lineRule="exact"/>
        <w:rPr>
          <w:rFonts w:ascii="Arial" w:cs="Arial" w:eastAsia="Arial" w:hAnsi="Arial"/>
          <w:sz w:val="18"/>
          <w:szCs w:val="18"/>
          <w:color w:val="auto"/>
        </w:rPr>
      </w:pPr>
    </w:p>
    <w:p>
      <w:pPr>
        <w:ind w:left="820" w:right="380" w:hanging="320"/>
        <w:spacing w:after="0" w:line="281" w:lineRule="auto"/>
        <w:tabs>
          <w:tab w:leader="none" w:pos="814"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delays in or failure to reach an agreement on acceptable terms with prospective CROs and clinical trial sites, the terms of which can be subject to extensive negotiation and may vary significantly among different CROs and clinical trial sites;</w:t>
      </w:r>
    </w:p>
    <w:p>
      <w:pPr>
        <w:spacing w:after="0" w:line="1" w:lineRule="exact"/>
        <w:rPr>
          <w:rFonts w:ascii="Arial" w:cs="Arial" w:eastAsia="Arial" w:hAnsi="Arial"/>
          <w:sz w:val="16"/>
          <w:szCs w:val="16"/>
          <w:color w:val="auto"/>
        </w:rPr>
      </w:pPr>
    </w:p>
    <w:p>
      <w:pPr>
        <w:ind w:left="820" w:hanging="320"/>
        <w:spacing w:after="0"/>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trial site;</w:t>
      </w:r>
    </w:p>
    <w:p>
      <w:pPr>
        <w:spacing w:after="0" w:line="9" w:lineRule="exact"/>
        <w:rPr>
          <w:rFonts w:ascii="Arial" w:cs="Arial" w:eastAsia="Arial" w:hAnsi="Arial"/>
          <w:sz w:val="18"/>
          <w:szCs w:val="18"/>
          <w:color w:val="auto"/>
        </w:rPr>
      </w:pPr>
    </w:p>
    <w:p>
      <w:pPr>
        <w:ind w:left="820" w:right="40" w:hanging="320"/>
        <w:spacing w:after="0" w:line="281" w:lineRule="auto"/>
        <w:tabs>
          <w:tab w:leader="none" w:pos="814" w:val="left"/>
        </w:tabs>
        <w:numPr>
          <w:ilvl w:val="1"/>
          <w:numId w:val="13"/>
        </w:numPr>
        <w:rPr>
          <w:rFonts w:ascii="Arial" w:cs="Arial" w:eastAsia="Arial" w:hAnsi="Arial"/>
          <w:sz w:val="16"/>
          <w:szCs w:val="16"/>
          <w:color w:val="auto"/>
        </w:rPr>
      </w:pPr>
      <w:r>
        <w:rPr>
          <w:rFonts w:ascii="Arial" w:cs="Arial" w:eastAsia="Arial" w:hAnsi="Arial"/>
          <w:sz w:val="16"/>
          <w:szCs w:val="16"/>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2" w:lineRule="exact"/>
        <w:rPr>
          <w:rFonts w:ascii="Arial" w:cs="Arial" w:eastAsia="Arial" w:hAnsi="Arial"/>
          <w:sz w:val="16"/>
          <w:szCs w:val="16"/>
          <w:color w:val="auto"/>
        </w:rPr>
      </w:pPr>
    </w:p>
    <w:p>
      <w:pPr>
        <w:ind w:left="820" w:hanging="320"/>
        <w:spacing w:after="0"/>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trials;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delay in adding new investigators or clinical trial sites, or withdrawal of clinical trial sites from a clinical trial;</w:t>
      </w:r>
    </w:p>
    <w:p>
      <w:pPr>
        <w:spacing w:after="0" w:line="9" w:lineRule="exact"/>
        <w:rPr>
          <w:rFonts w:ascii="Arial" w:cs="Arial" w:eastAsia="Arial" w:hAnsi="Arial"/>
          <w:sz w:val="18"/>
          <w:szCs w:val="18"/>
          <w:color w:val="auto"/>
        </w:rPr>
      </w:pPr>
    </w:p>
    <w:p>
      <w:pPr>
        <w:ind w:left="820" w:right="100" w:hanging="320"/>
        <w:spacing w:after="0" w:line="250" w:lineRule="auto"/>
        <w:tabs>
          <w:tab w:leader="none" w:pos="81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delay or change in strategic direction for an indication resulting from differences in results between cohorts in a clinical trial, such as Cohort 2 and Cohort 4 of the C-144-01 clinical trial or the previously disclosed preliminary results for the C-145-04 clinical trial and the final patient population and results, including differences in patient population, such as differences that might arise due to the impact of the existing immunotherapy treatment landscape, or from different interpretations of investigator results by IRC;</w:t>
      </w:r>
    </w:p>
    <w:p>
      <w:pPr>
        <w:spacing w:after="0" w:line="1" w:lineRule="exact"/>
        <w:rPr>
          <w:rFonts w:ascii="Arial" w:cs="Arial" w:eastAsia="Arial" w:hAnsi="Arial"/>
          <w:sz w:val="18"/>
          <w:szCs w:val="18"/>
          <w:color w:val="auto"/>
        </w:rPr>
      </w:pPr>
    </w:p>
    <w:p>
      <w:pPr>
        <w:ind w:left="820" w:right="80" w:hanging="320"/>
        <w:spacing w:after="0" w:line="250" w:lineRule="auto"/>
        <w:tabs>
          <w:tab w:leader="none" w:pos="814" w:val="left"/>
        </w:tabs>
        <w:numPr>
          <w:ilvl w:val="1"/>
          <w:numId w:val="13"/>
        </w:numPr>
        <w:rPr>
          <w:rFonts w:ascii="Arial" w:cs="Arial" w:eastAsia="Arial" w:hAnsi="Arial"/>
          <w:sz w:val="18"/>
          <w:szCs w:val="18"/>
          <w:color w:val="auto"/>
        </w:rPr>
      </w:pPr>
      <w:r>
        <w:rPr>
          <w:rFonts w:ascii="Arial" w:cs="Arial" w:eastAsia="Arial" w:hAnsi="Arial"/>
          <w:sz w:val="18"/>
          <w:szCs w:val="18"/>
          <w:color w:val="auto"/>
        </w:rPr>
        <w:t>failure by our CROs, clinical trial sites, patients, or other third parties, or us to adhere to clinical trial requirements, including regulatory, contractual or protocol requirements;</w:t>
      </w:r>
    </w:p>
    <w:p>
      <w:pPr>
        <w:ind w:left="820" w:right="220" w:hanging="320"/>
        <w:spacing w:after="0" w:line="260" w:lineRule="auto"/>
        <w:tabs>
          <w:tab w:leader="none" w:pos="814" w:val="left"/>
        </w:tabs>
        <w:numPr>
          <w:ilvl w:val="1"/>
          <w:numId w:val="13"/>
        </w:numPr>
        <w:rPr>
          <w:rFonts w:ascii="Arial" w:cs="Arial" w:eastAsia="Arial" w:hAnsi="Arial"/>
          <w:sz w:val="18"/>
          <w:szCs w:val="18"/>
          <w:color w:val="auto"/>
        </w:rPr>
      </w:pPr>
      <w:r>
        <w:rPr>
          <w:rFonts w:ascii="Arial" w:cs="Arial" w:eastAsia="Arial" w:hAnsi="Arial"/>
          <w:sz w:val="18"/>
          <w:szCs w:val="18"/>
          <w:color w:val="auto"/>
        </w:rPr>
        <w:t>failure to perform in accordance with the FDA’s current GCP, or cGCP requirements, or applicable regulatory guidelines in other countries;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20" w:right="140" w:hanging="320"/>
        <w:spacing w:after="0" w:line="255"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spacing w:after="0" w:line="2" w:lineRule="exact"/>
        <w:rPr>
          <w:rFonts w:ascii="Arial" w:cs="Arial" w:eastAsia="Arial" w:hAnsi="Arial"/>
          <w:sz w:val="18"/>
          <w:szCs w:val="18"/>
          <w:color w:val="auto"/>
        </w:rPr>
      </w:pPr>
    </w:p>
    <w:p>
      <w:pPr>
        <w:ind w:left="820" w:right="10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such patients from the clinical trial, increase the needed enrollment size for the clinical trial or extend the clinical trial’s duration;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patients dropping out of a clinical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occurrence of adverse events associated with the product candidate that are viewed to outweigh its potential benefits;</w:t>
      </w:r>
    </w:p>
    <w:p>
      <w:pPr>
        <w:spacing w:after="0" w:line="20" w:lineRule="exact"/>
        <w:rPr>
          <w:rFonts w:ascii="Arial" w:cs="Arial" w:eastAsia="Arial" w:hAnsi="Arial"/>
          <w:sz w:val="17"/>
          <w:szCs w:val="17"/>
          <w:color w:val="auto"/>
        </w:rPr>
      </w:pPr>
    </w:p>
    <w:p>
      <w:pPr>
        <w:ind w:left="820" w:right="340" w:hanging="320"/>
        <w:spacing w:after="0" w:line="281" w:lineRule="auto"/>
        <w:tabs>
          <w:tab w:leader="none" w:pos="814"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regulatory requirements and guidance that require amending or submitting new clinical protocols to regulatory authorities and IRBs, and which may cause delays in our development programs, or changes to regulatory review times;</w:t>
      </w:r>
    </w:p>
    <w:p>
      <w:pPr>
        <w:spacing w:after="0" w:line="1" w:lineRule="exact"/>
        <w:rPr>
          <w:rFonts w:ascii="Arial" w:cs="Arial" w:eastAsia="Arial" w:hAnsi="Arial"/>
          <w:sz w:val="16"/>
          <w:szCs w:val="16"/>
          <w:color w:val="auto"/>
        </w:rPr>
      </w:pPr>
    </w:p>
    <w:p>
      <w:pPr>
        <w:ind w:left="820" w:right="38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ind w:left="820" w:right="4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clinical trials;</w:t>
      </w:r>
    </w:p>
    <w:p>
      <w:pPr>
        <w:ind w:left="820" w:right="24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 or we may have insufficient funds for a clinical trial or to pay the substantial user fees required by the FDA upon the filing of a BLA;</w:t>
      </w:r>
    </w:p>
    <w:p>
      <w:pPr>
        <w:ind w:left="820" w:right="40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trials studies, or preclinical studies, or abandon product development programs;</w:t>
      </w:r>
    </w:p>
    <w:p>
      <w:pPr>
        <w:spacing w:after="0" w:line="1" w:lineRule="exact"/>
        <w:rPr>
          <w:rFonts w:ascii="Arial" w:cs="Arial" w:eastAsia="Arial" w:hAnsi="Arial"/>
          <w:sz w:val="18"/>
          <w:szCs w:val="18"/>
          <w:color w:val="auto"/>
        </w:rPr>
      </w:pPr>
    </w:p>
    <w:p>
      <w:pPr>
        <w:ind w:left="820" w:right="80" w:hanging="320"/>
        <w:spacing w:after="0" w:line="281" w:lineRule="auto"/>
        <w:tabs>
          <w:tab w:leader="none" w:pos="814"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early results from our clinical trials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pacing w:after="0" w:line="2" w:lineRule="exact"/>
        <w:rPr>
          <w:rFonts w:ascii="Arial" w:cs="Arial" w:eastAsia="Arial" w:hAnsi="Arial"/>
          <w:sz w:val="16"/>
          <w:szCs w:val="16"/>
          <w:color w:val="auto"/>
        </w:rPr>
      </w:pPr>
    </w:p>
    <w:p>
      <w:pPr>
        <w:ind w:left="820" w:right="4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ind w:left="820" w:right="56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may be changes to the therapeutics or their regulatory status which we are administering in combination with our product candidates;</w:t>
      </w:r>
    </w:p>
    <w:p>
      <w:pPr>
        <w:ind w:left="840" w:hanging="319"/>
        <w:spacing w:after="0"/>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delays in patient enrollment due to the ongoing COVID-19 pandemic;</w:t>
      </w:r>
    </w:p>
    <w:p>
      <w:pPr>
        <w:spacing w:after="0" w:line="9" w:lineRule="exact"/>
        <w:rPr>
          <w:rFonts w:ascii="Arial" w:cs="Arial" w:eastAsia="Arial" w:hAnsi="Arial"/>
          <w:sz w:val="18"/>
          <w:szCs w:val="18"/>
          <w:color w:val="auto"/>
        </w:rPr>
      </w:pPr>
    </w:p>
    <w:p>
      <w:pPr>
        <w:ind w:left="820" w:right="18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820" w:right="80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making a decision on our product candidates;</w:t>
      </w:r>
    </w:p>
    <w:p>
      <w:pPr>
        <w:ind w:left="82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of our manufacturing processes to our CMOs or other larger-scale facilities operated by a CMO or by us and delays or failure by our CMOs or us to make any necessary changes to such manufacturing process;</w:t>
      </w:r>
    </w:p>
    <w:p>
      <w:pPr>
        <w:ind w:left="820" w:right="26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spacing w:after="0" w:line="1" w:lineRule="exact"/>
        <w:rPr>
          <w:rFonts w:ascii="Arial" w:cs="Arial" w:eastAsia="Arial" w:hAnsi="Arial"/>
          <w:sz w:val="18"/>
          <w:szCs w:val="18"/>
          <w:color w:val="auto"/>
        </w:rPr>
      </w:pPr>
    </w:p>
    <w:p>
      <w:pPr>
        <w:jc w:val="both"/>
        <w:ind w:left="820" w:right="500" w:hanging="320"/>
        <w:spacing w:after="0" w:line="255"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 including as a result of any quality issues associated with the contract manufacturer.</w:t>
      </w:r>
    </w:p>
    <w:p>
      <w:pPr>
        <w:spacing w:after="0" w:line="149"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clinical trials, contract negotiations, the need to obtain agreement from multiple parties, and the necessity of obtaining additional approvals for therapeutics used in the combination clinical trials. These combination therapies will require additional testing and clinical trials will require additional FDA regulatory approval and will increase our future cost of expenses.</w:t>
      </w:r>
    </w:p>
    <w:p>
      <w:pPr>
        <w:spacing w:after="0" w:line="107" w:lineRule="exact"/>
        <w:rPr>
          <w:sz w:val="20"/>
          <w:szCs w:val="20"/>
          <w:color w:val="auto"/>
        </w:rPr>
      </w:pPr>
    </w:p>
    <w:p>
      <w:pPr>
        <w:ind w:right="60" w:firstLine="492"/>
        <w:spacing w:after="0" w:line="293"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FDA approval or notification, may not have their desired effect, or the FDA may not accept data from prior versions of the product to support an application, delaying our clinical trials or programs or necessitating additional clinical trials or preclinical studies. For example, while our first BLA submission includes our Gen 2 manufacturing process, in the future we may seek to commercialize other</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manufacturing processes, such as our Gen 3 manufacturing process or our PD-1 selected TIL manufacturing process. We may find that commercialization of these manufacturing processes has unintended consequences that necessitate additional development and manufacturing work or additional clinical trials and preclinical studies, or results in non-approval of a BLA.</w:t>
      </w:r>
    </w:p>
    <w:p>
      <w:pPr>
        <w:spacing w:after="0" w:line="111" w:lineRule="exact"/>
        <w:rPr>
          <w:sz w:val="20"/>
          <w:szCs w:val="20"/>
          <w:color w:val="auto"/>
        </w:rPr>
      </w:pPr>
    </w:p>
    <w:p>
      <w:pPr>
        <w:ind w:right="40" w:firstLine="492"/>
        <w:spacing w:after="0" w:line="263" w:lineRule="auto"/>
        <w:rPr>
          <w:sz w:val="20"/>
          <w:szCs w:val="20"/>
          <w:color w:val="auto"/>
        </w:rPr>
      </w:pPr>
      <w:r>
        <w:rPr>
          <w:rFonts w:ascii="Arial" w:cs="Arial" w:eastAsia="Arial" w:hAnsi="Arial"/>
          <w:sz w:val="18"/>
          <w:szCs w:val="18"/>
          <w:color w:val="auto"/>
        </w:rPr>
        <w:t>Clinical trial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30"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never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It may take longer and cost more to complete our clinical trials than we project, or we may not be able to complete them at all.</w:t>
      </w:r>
    </w:p>
    <w:p>
      <w:pPr>
        <w:spacing w:after="0" w:line="206"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For budgeting and planning purposes, we have projected the date for the commencement of future clinical trials, and continuation and completion of our ongoing clinical trials. However, a number of factors, including scheduling conflicts with participating clinicians and clinical institutions, difficulties in identifying and enrolling patients who meet clinical trial eligibility criteria, and the ongoing COVID-19 pandemic, may cause significant delays. We may not commence or complete clinical trials involving any of our products as projected or may not conduct them successfully.</w:t>
      </w:r>
    </w:p>
    <w:p>
      <w:pPr>
        <w:spacing w:after="0" w:line="134" w:lineRule="exact"/>
        <w:rPr>
          <w:sz w:val="20"/>
          <w:szCs w:val="20"/>
          <w:color w:val="auto"/>
        </w:rPr>
      </w:pPr>
    </w:p>
    <w:p>
      <w:pPr>
        <w:ind w:right="100" w:firstLine="492"/>
        <w:spacing w:after="0" w:line="272" w:lineRule="auto"/>
        <w:rPr>
          <w:sz w:val="20"/>
          <w:szCs w:val="20"/>
          <w:color w:val="auto"/>
        </w:rPr>
      </w:pPr>
      <w:r>
        <w:rPr>
          <w:rFonts w:ascii="Arial" w:cs="Arial" w:eastAsia="Arial" w:hAnsi="Arial"/>
          <w:sz w:val="17"/>
          <w:szCs w:val="17"/>
          <w:color w:val="auto"/>
        </w:rPr>
        <w:t>We are currently enrolling six company-sponsored clinical trials to assess the overall safety and efficacy of Iovance TIL monotherapy and TIL combinations in patients with melanoma, cervical, head and neck and lung cancers across late-line and early treatment settings, as well as our genetically modified TIL therapy IOV-4001 and our peripheral blood lymphocyte, or PBL, technology for hematological malignancies.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clinical trials.</w:t>
      </w:r>
    </w:p>
    <w:p>
      <w:pPr>
        <w:spacing w:after="0" w:line="123" w:lineRule="exact"/>
        <w:rPr>
          <w:sz w:val="20"/>
          <w:szCs w:val="20"/>
          <w:color w:val="auto"/>
        </w:rPr>
      </w:pPr>
    </w:p>
    <w:p>
      <w:pPr>
        <w:ind w:right="40" w:firstLine="492"/>
        <w:spacing w:after="0" w:line="267" w:lineRule="auto"/>
        <w:rPr>
          <w:sz w:val="20"/>
          <w:szCs w:val="20"/>
          <w:color w:val="auto"/>
        </w:rPr>
      </w:pPr>
      <w:r>
        <w:rPr>
          <w:rFonts w:ascii="Arial" w:cs="Arial" w:eastAsia="Arial" w:hAnsi="Arial"/>
          <w:sz w:val="17"/>
          <w:szCs w:val="17"/>
          <w:color w:val="auto"/>
        </w:rPr>
        <w:t>For example, our current clinical trials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the investigators have significant discretion over the selection of patient participants. Although preliminary data from certain clinical trials were generally positive, that data may not necessarily be representative of interim or final results, as new patients are cycled through the applicable treatment regimes. As the clinical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clinical trials and replaced by patients with less advanced forms of cancer. This opportunity for investigator selection bias in our clinical trials as a result of open-label design may not be adequately handled and may cause a decline in or distortion of clinical trial data from our preliminary results. Depending on the outcome of our open-label studies, we may need to conduct one or more follow-up or supporting studies in order to successfully develop our products for FDA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spacing w:after="0" w:line="137" w:lineRule="exact"/>
        <w:rPr>
          <w:sz w:val="20"/>
          <w:szCs w:val="20"/>
          <w:color w:val="auto"/>
        </w:rPr>
      </w:pPr>
    </w:p>
    <w:p>
      <w:pPr>
        <w:ind w:firstLine="492"/>
        <w:spacing w:after="0" w:line="286" w:lineRule="auto"/>
        <w:rPr>
          <w:sz w:val="20"/>
          <w:szCs w:val="20"/>
          <w:color w:val="auto"/>
        </w:rPr>
      </w:pPr>
      <w:r>
        <w:rPr>
          <w:rFonts w:ascii="Arial" w:cs="Arial" w:eastAsia="Arial" w:hAnsi="Arial"/>
          <w:sz w:val="17"/>
          <w:szCs w:val="17"/>
          <w:color w:val="auto"/>
        </w:rPr>
        <w:t>Furthermore, the timely completion of clinical trials in accordance with their protocols depends, among other things, on our ability to enroll a sufficient number of patients who remain in the clinical trial until its conclusion, including the ability of us or our collaborators to conduct clinical trials under the constraints of the COVID-19 pandemic. In addition, our clinical trials will compete</w:t>
      </w:r>
    </w:p>
    <w:p>
      <w:pPr>
        <w:sectPr>
          <w:pgSz w:w="11900" w:h="16838" w:orient="portrait"/>
          <w:cols w:equalWidth="0" w:num="1">
            <w:col w:w="9900"/>
          </w:cols>
          <w:pgMar w:left="980" w:top="665" w:right="1019"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Accordingly, we cannot guarantee that the clinical trial will progress as planned or as scheduled. Delays in patient enrollment may result in increased costs or may affect the timing or outcome of our ongoing clinical trial and planned clinical trials, which could prevent completion of these clinical trials and adversely affect our ability to advance the development of our product candidates.</w:t>
      </w:r>
    </w:p>
    <w:p>
      <w:pPr>
        <w:spacing w:after="0" w:line="137"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60" w:lineRule="exact"/>
        <w:rPr>
          <w:sz w:val="20"/>
          <w:szCs w:val="20"/>
          <w:color w:val="auto"/>
        </w:rPr>
      </w:pPr>
    </w:p>
    <w:p>
      <w:pPr>
        <w:ind w:right="300" w:firstLine="492"/>
        <w:spacing w:after="0" w:line="279" w:lineRule="auto"/>
        <w:rPr>
          <w:sz w:val="20"/>
          <w:szCs w:val="20"/>
          <w:color w:val="auto"/>
        </w:rPr>
      </w:pPr>
      <w:r>
        <w:rPr>
          <w:rFonts w:ascii="Arial" w:cs="Arial" w:eastAsia="Arial" w:hAnsi="Arial"/>
          <w:sz w:val="17"/>
          <w:szCs w:val="17"/>
          <w:color w:val="auto"/>
        </w:rPr>
        <w:t xml:space="preserve">We currently anticipate that we will have to rely on our CMOs to supplement the manufacturing capacity at the </w:t>
      </w:r>
      <w:r>
        <w:rPr>
          <w:rFonts w:ascii="Arial" w:cs="Arial" w:eastAsia="Arial" w:hAnsi="Arial"/>
          <w:sz w:val="17"/>
          <w:szCs w:val="17"/>
          <w:i w:val="1"/>
          <w:iCs w:val="1"/>
          <w:color w:val="auto"/>
        </w:rPr>
        <w:t>i</w:t>
      </w:r>
      <w:r>
        <w:rPr>
          <w:rFonts w:ascii="Arial" w:cs="Arial" w:eastAsia="Arial" w:hAnsi="Arial"/>
          <w:sz w:val="17"/>
          <w:szCs w:val="17"/>
          <w:color w:val="auto"/>
        </w:rPr>
        <w:t>CTC in manufacturing our adoptive cell therapy and biologic products for clinical trials. If they fail to commence or complete, or experiences delays in, manufacturing our adoptive cell therapy and other biologic products, our planned clinical trials will be delayed, which will adversely affect our stock price and our ability to conduct our business as currently planned.</w:t>
      </w:r>
    </w:p>
    <w:p>
      <w:pPr>
        <w:spacing w:after="0" w:line="131"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30"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include candidates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clinical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clinical trials, and the number of clinical trials that we may need to conduct, our overall clinical trial costs may be higher than for more conventional treatments.</w:t>
      </w:r>
    </w:p>
    <w:p>
      <w:pPr>
        <w:spacing w:after="0" w:line="152"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30" w:lineRule="exact"/>
        <w:rPr>
          <w:sz w:val="20"/>
          <w:szCs w:val="20"/>
          <w:color w:val="auto"/>
        </w:rPr>
      </w:pPr>
    </w:p>
    <w:p>
      <w:pPr>
        <w:ind w:firstLine="492"/>
        <w:spacing w:after="0" w:line="284" w:lineRule="auto"/>
        <w:rPr>
          <w:sz w:val="20"/>
          <w:szCs w:val="20"/>
          <w:color w:val="auto"/>
        </w:rPr>
      </w:pPr>
      <w:r>
        <w:rPr>
          <w:rFonts w:ascii="Arial" w:cs="Arial" w:eastAsia="Arial" w:hAnsi="Arial"/>
          <w:sz w:val="16"/>
          <w:szCs w:val="16"/>
          <w:color w:val="auto"/>
        </w:rPr>
        <w:t>The clinical trials of our product candidates are, and the manufacturing and marketing of our products will be, subject to extensive and rigorous review and regulation by numerous government authorities in the U.S.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clinical trial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trials may not be representative of the final clinical trial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ectPr>
          <w:pgSz w:w="11900" w:h="16838" w:orient="portrait"/>
          <w:cols w:equalWidth="0" w:num="1">
            <w:col w:w="9920"/>
          </w:cols>
          <w:pgMar w:left="980" w:top="665"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clinical trials. Most product candidates that begin clinical trials are never approved by regulatory authorities for commercialization.</w:t>
      </w:r>
    </w:p>
    <w:p>
      <w:pPr>
        <w:spacing w:after="0" w:line="137"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spacing w:after="0" w:line="150"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In addition, even if such clinical trials are successfully completed, we cannot guarantee that the FDA or foreign regulatory authorities will interpret the results as we do, and more clinical trials could be required before we submit our product candidates for approval.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w:t>
      </w:r>
    </w:p>
    <w:p>
      <w:pPr>
        <w:spacing w:after="0" w:line="147"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We have reported preliminary results for clinical trials of our product candidates, including TIL for the treatment of metastatic melanoma, non-small cell lung cancer,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trials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38"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43" w:lineRule="exact"/>
        <w:rPr>
          <w:sz w:val="20"/>
          <w:szCs w:val="20"/>
          <w:color w:val="auto"/>
        </w:rPr>
      </w:pPr>
    </w:p>
    <w:p>
      <w:pPr>
        <w:ind w:firstLine="492"/>
        <w:spacing w:after="0" w:line="311"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or similar patients from a Phase 2 clinical trial to a pivotal program, who remain in the clinical trial until its conclusion. We may experience difficulties or delays in patient enrollment in our clinical trials for a variety of reasons, including:</w:t>
      </w:r>
    </w:p>
    <w:p>
      <w:pPr>
        <w:spacing w:after="0" w:line="108" w:lineRule="exact"/>
        <w:rPr>
          <w:sz w:val="20"/>
          <w:szCs w:val="20"/>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03"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of the clinical trial population required for analysis of the clinical trial’s primary endpoints;</w:t>
      </w:r>
    </w:p>
    <w:p>
      <w:pPr>
        <w:spacing w:after="0" w:line="103"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proximity of patients to clinical trial sites;</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03"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cell-based immunotherapy;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820" w:right="200" w:hanging="320"/>
        <w:spacing w:after="0" w:line="263"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48" w:lineRule="exact"/>
        <w:rPr>
          <w:rFonts w:ascii="Arial" w:cs="Arial" w:eastAsia="Arial" w:hAnsi="Arial"/>
          <w:sz w:val="18"/>
          <w:szCs w:val="18"/>
          <w:color w:val="auto"/>
        </w:rPr>
      </w:pPr>
    </w:p>
    <w:p>
      <w:pPr>
        <w:ind w:left="820" w:right="140" w:hanging="320"/>
        <w:spacing w:after="0" w:line="277"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investigators enrolling patients who do not meet the enrollment criteria, requiring the inclusion of additional patients in the clinical trial;</w:t>
      </w:r>
    </w:p>
    <w:p>
      <w:pPr>
        <w:spacing w:after="0" w:line="48" w:lineRule="exact"/>
        <w:rPr>
          <w:rFonts w:ascii="Arial" w:cs="Arial" w:eastAsia="Arial" w:hAnsi="Arial"/>
          <w:sz w:val="18"/>
          <w:szCs w:val="18"/>
          <w:color w:val="auto"/>
        </w:rPr>
      </w:pPr>
    </w:p>
    <w:p>
      <w:pPr>
        <w:ind w:left="840" w:right="100" w:hanging="319"/>
        <w:spacing w:after="0" w:line="263" w:lineRule="auto"/>
        <w:tabs>
          <w:tab w:leader="none" w:pos="8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ongoing COVID-19 pandemic limiting our access to patients who would otherwise be eligible for enrollment, including treatment-naïve patients who may be more likely to seek standard of care therapies available at local treatment centers rather than enroll in a clinical trial at a larger hospital;</w:t>
      </w:r>
    </w:p>
    <w:p>
      <w:pPr>
        <w:spacing w:after="0" w:line="48"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w:t>
      </w:r>
    </w:p>
    <w:p>
      <w:pPr>
        <w:spacing w:after="0" w:line="103"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90" w:lineRule="exact"/>
        <w:rPr>
          <w:rFonts w:ascii="Arial" w:cs="Arial" w:eastAsia="Arial" w:hAnsi="Arial"/>
          <w:sz w:val="18"/>
          <w:szCs w:val="18"/>
          <w:color w:val="auto"/>
        </w:rPr>
      </w:pPr>
    </w:p>
    <w:p>
      <w:pPr>
        <w:ind w:left="820" w:right="120" w:hanging="320"/>
        <w:spacing w:after="0" w:line="259"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 return for post-treatment follow-up, or follow the required clinical trial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52"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resected and the TIL is infused back into the patient. Amendments to our clinical protocols may affect enrollment in, or results of, our trials, including amendments we have made to further define the patient population to be studied.</w:t>
      </w:r>
    </w:p>
    <w:p>
      <w:pPr>
        <w:spacing w:after="0" w:line="155" w:lineRule="exact"/>
        <w:rPr>
          <w:sz w:val="20"/>
          <w:szCs w:val="20"/>
          <w:color w:val="auto"/>
        </w:rPr>
      </w:pPr>
    </w:p>
    <w:p>
      <w:pPr>
        <w:jc w:val="both"/>
        <w:ind w:right="160" w:firstLine="492"/>
        <w:spacing w:after="0" w:line="286" w:lineRule="auto"/>
        <w:rPr>
          <w:sz w:val="20"/>
          <w:szCs w:val="20"/>
          <w:color w:val="auto"/>
        </w:rPr>
      </w:pPr>
      <w:r>
        <w:rPr>
          <w:rFonts w:ascii="Arial" w:cs="Arial" w:eastAsia="Arial" w:hAnsi="Arial"/>
          <w:sz w:val="17"/>
          <w:szCs w:val="17"/>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clinical trials and adversely affect our ability to advance the development of our product candidates.</w:t>
      </w:r>
    </w:p>
    <w:p>
      <w:pPr>
        <w:spacing w:after="0" w:line="125"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8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Results of our clinical trials could reveal a high and unacceptable severity and prevalence of side effects or unexpected characteristics. Undesirable side effects caused by our product candidates could cause us, IRBs,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indications for use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Risk Evaluation and Mitigations Strategy or REMS, to monitor the safety or efficacy of the products, and in turn prevent us from commercializing and generating revenues from the sale of our current or future product candidates.</w:t>
      </w:r>
    </w:p>
    <w:p>
      <w:pPr>
        <w:spacing w:after="0" w:line="167"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clinical trials and products may also negatively impact our ability to conduct clinical trials using TIL therapy in larger patient populations, such as in patients that have not yet been treated with other therapies or have not yet progressed on other therapies.</w:t>
      </w:r>
    </w:p>
    <w:p>
      <w:pPr>
        <w:sectPr>
          <w:pgSz w:w="11900" w:h="16838" w:orient="portrait"/>
          <w:cols w:equalWidth="0" w:num="1">
            <w:col w:w="9920"/>
          </w:cols>
          <w:pgMar w:left="980" w:top="665"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Treatment-related side effects could also affect patient recruitment or the ability of enrolled subjects to complete our clinical trials or result in potential product liability claims. Such toxicities, which may arise from TIL therapy in general, including co-therapies, may include, for example, thrombocytopenia, chills, anemia, pyrexia, febrile neutropenia, diarrhea, neutropenia, vomiting, hypotension, and dyspnea. For example, the update in October 2018 from the C-144-01 clinical trial included two grade 5 treatment emergent adverse events. In addition, failure to manage toxicities, adverse events or side effects and to take recommended or other precautions may result in deaths or harm to patients. Furthermore, harm to patients may not be appropriately recognized or managed by the treating medical staff, because treatments related to personalized cell therapy are not normally encountered in the general patient population and by medical personnel. Any of these occurrences may harm our business, financial condition and prospects significantly.</w:t>
      </w:r>
    </w:p>
    <w:p>
      <w:pPr>
        <w:spacing w:after="0" w:line="125" w:lineRule="exact"/>
        <w:rPr>
          <w:sz w:val="20"/>
          <w:szCs w:val="20"/>
          <w:color w:val="auto"/>
        </w:rPr>
      </w:pPr>
    </w:p>
    <w:p>
      <w:pPr>
        <w:ind w:right="180" w:firstLine="486"/>
        <w:spacing w:after="0" w:line="327" w:lineRule="auto"/>
        <w:rPr>
          <w:sz w:val="20"/>
          <w:szCs w:val="20"/>
          <w:color w:val="auto"/>
        </w:rPr>
      </w:pPr>
      <w:r>
        <w:rPr>
          <w:rFonts w:ascii="Arial" w:cs="Arial" w:eastAsia="Arial" w:hAnsi="Arial"/>
          <w:sz w:val="15"/>
          <w:szCs w:val="15"/>
          <w:b w:val="1"/>
          <w:bCs w:val="1"/>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13"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Our product candidates are biologics and the process of manufacturing our products is complex, highly regulated and subject to multiple risks. The manufacture of our product candidates involves complex processes, including harvesting tumor fragments from patients, isolating the T-cells from the tumor fragments, multiplying the T-cells to obtain the desired dose, and ultimately infusing the T-cells back into a patient. The complexities of manufacturing cell therapy products require extensive collaboration with treatment centers including the provision of patient tumor tissue for manufacture. Manufacturing is dependent on many factors including quality of the patient tumor tissue, treatment center training, and unique factors specific to autologous cell therapy manufacturing that can jeopardize the product approval, launch, scale, and capacity.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344" w:lineRule="exact"/>
        <w:rPr>
          <w:sz w:val="20"/>
          <w:szCs w:val="20"/>
          <w:color w:val="auto"/>
        </w:rPr>
      </w:pPr>
    </w:p>
    <w:p>
      <w:pPr>
        <w:ind w:right="60" w:firstLine="492"/>
        <w:spacing w:after="0" w:line="270" w:lineRule="auto"/>
        <w:rPr>
          <w:sz w:val="20"/>
          <w:szCs w:val="20"/>
          <w:color w:val="auto"/>
        </w:rPr>
      </w:pPr>
      <w:r>
        <w:rPr>
          <w:rFonts w:ascii="Arial" w:cs="Arial" w:eastAsia="Arial" w:hAnsi="Arial"/>
          <w:sz w:val="17"/>
          <w:szCs w:val="17"/>
          <w:color w:val="auto"/>
        </w:rPr>
        <w:t>Because our product candidates are manufactured specifically for each individual patient, we will be required to maintain a chain of identity and chain of custody with respect to the patient’s tumor as it moves from the patient to the manufacturing facility, through the manufacturing process, and back to the patient. Maintaining such chains of identity and chains of custody is difficult and complex, and failure to do so could result in adverse patient outcomes, loss of product, or regulatory action including withdrawal of our products from the market. Further, as product candidates are developed through preclinical studies to late-stage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40" w:lineRule="exact"/>
        <w:rPr>
          <w:sz w:val="20"/>
          <w:szCs w:val="20"/>
          <w:color w:val="auto"/>
        </w:rPr>
      </w:pPr>
    </w:p>
    <w:p>
      <w:pPr>
        <w:ind w:right="40" w:firstLine="492"/>
        <w:spacing w:after="0" w:line="288" w:lineRule="auto"/>
        <w:rPr>
          <w:sz w:val="20"/>
          <w:szCs w:val="20"/>
          <w:color w:val="auto"/>
        </w:rPr>
      </w:pPr>
      <w:r>
        <w:rPr>
          <w:rFonts w:ascii="Arial" w:cs="Arial" w:eastAsia="Arial" w:hAnsi="Arial"/>
          <w:sz w:val="16"/>
          <w:szCs w:val="16"/>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This includes potential risks associated with the FDA not agreeing with all of the details of our validation data or other aspects of our potency assay or assays for Cohort 4 of our C-144-01 clinical trial. For example, on October 5, 2020, we announced that we and the FDA were not able to agree on the required potency assays to fully define our TIL therapy, which is required as part of a BLA submission, and that as a result of these developments, our BLA submission was not expected by the end of 2020 and was anticipated instead to occur in 2021. Previously, we reported the</w:t>
      </w:r>
    </w:p>
    <w:p>
      <w:pPr>
        <w:sectPr>
          <w:pgSz w:w="11900" w:h="16838" w:orient="portrait"/>
          <w:cols w:equalWidth="0" w:num="1">
            <w:col w:w="9900"/>
          </w:cols>
          <w:pgMar w:left="980" w:top="665" w:right="101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submission of assay data to the FDA, and on May 18, 2021, we announced that we had received regulatory feedback from the FDA regarding our potency assays for lifileucel. Following FDA feedback regarding the potency assays for lifileucel, we continued work developing and validating our potency assays and engaged in discussions with the FDA during the second half of 2021 and first quarter of 2022. Based on feedback received from these discussions, we held a pre-BLA meeting in July 2022. We initiated a rolling BLA submission for lifileucel in metastatic melanoma in August 2022 and completed the BLA submission in March 2023. The FDA accepted our BLA for lifileucel for patients with advanced melanoma in May 2023 and granted lifileucel Priority Review. The FDA originally assigned November 25, 2023 as the target action date for a decision under PDUFA, however, the FDA subsequently reassigned February 24, 2024 as the revised target action date. In addition, as previously disclosed, we have begun a confirmatory Phase 3 clinical trial of lifileucel in combination with pembrolizumab in frontline advanced melanoma in late 2022 which we expect to utilize significant manufacturing capacity.</w:t>
      </w:r>
    </w:p>
    <w:p>
      <w:pPr>
        <w:spacing w:after="0" w:line="154"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As a result of these challenges, we may experience delays in our clinical development and/or commercialization plans. Furthermore, we may ultimately be unable to reduce the cost of goods for our product candidates to levels that will allow for an attractive return on investment if and when those product candidates are commercialized.</w:t>
      </w:r>
    </w:p>
    <w:p>
      <w:pPr>
        <w:spacing w:after="0" w:line="157" w:lineRule="exact"/>
        <w:rPr>
          <w:sz w:val="20"/>
          <w:szCs w:val="20"/>
          <w:color w:val="auto"/>
        </w:rPr>
      </w:pPr>
    </w:p>
    <w:p>
      <w:pPr>
        <w:ind w:right="20" w:firstLine="492"/>
        <w:spacing w:after="0" w:line="286" w:lineRule="auto"/>
        <w:rPr>
          <w:sz w:val="20"/>
          <w:szCs w:val="20"/>
          <w:color w:val="auto"/>
        </w:rPr>
      </w:pPr>
      <w:r>
        <w:rPr>
          <w:rFonts w:ascii="Arial" w:cs="Arial" w:eastAsia="Arial" w:hAnsi="Arial"/>
          <w:sz w:val="16"/>
          <w:szCs w:val="16"/>
          <w:color w:val="auto"/>
        </w:rPr>
        <w:t xml:space="preserve">In May 2019 we entered into a lease agreement to build a commercial-scale manufacturing facility, the </w:t>
      </w:r>
      <w:r>
        <w:rPr>
          <w:rFonts w:ascii="Arial" w:cs="Arial" w:eastAsia="Arial" w:hAnsi="Arial"/>
          <w:sz w:val="16"/>
          <w:szCs w:val="16"/>
          <w:i w:val="1"/>
          <w:iCs w:val="1"/>
          <w:color w:val="auto"/>
        </w:rPr>
        <w:t>i</w:t>
      </w:r>
      <w:r>
        <w:rPr>
          <w:rFonts w:ascii="Arial" w:cs="Arial" w:eastAsia="Arial" w:hAnsi="Arial"/>
          <w:sz w:val="16"/>
          <w:szCs w:val="16"/>
          <w:color w:val="auto"/>
        </w:rPr>
        <w:t xml:space="preserve">CTC, in Philadelphia, Pennsylvania for commercial and clinical production of autologous TIL products, including our product candidate lifileucel. The </w:t>
      </w:r>
      <w:r>
        <w:rPr>
          <w:rFonts w:ascii="Arial" w:cs="Arial" w:eastAsia="Arial" w:hAnsi="Arial"/>
          <w:sz w:val="16"/>
          <w:szCs w:val="16"/>
          <w:i w:val="1"/>
          <w:iCs w:val="1"/>
          <w:color w:val="auto"/>
        </w:rPr>
        <w:t>i</w:t>
      </w:r>
      <w:r>
        <w:rPr>
          <w:rFonts w:ascii="Arial" w:cs="Arial" w:eastAsia="Arial" w:hAnsi="Arial"/>
          <w:sz w:val="16"/>
          <w:szCs w:val="16"/>
          <w:color w:val="auto"/>
        </w:rPr>
        <w:t xml:space="preserve">CTC is currently manufacturing TIL for our ongoing clinical trials and preparing to provide commercial supply upon potential BLA approval; as of the end of 2021, we had completed the commissioning activities at the </w:t>
      </w:r>
      <w:r>
        <w:rPr>
          <w:rFonts w:ascii="Arial" w:cs="Arial" w:eastAsia="Arial" w:hAnsi="Arial"/>
          <w:sz w:val="16"/>
          <w:szCs w:val="16"/>
          <w:i w:val="1"/>
          <w:iCs w:val="1"/>
          <w:color w:val="auto"/>
        </w:rPr>
        <w:t>i</w:t>
      </w:r>
      <w:r>
        <w:rPr>
          <w:rFonts w:ascii="Arial" w:cs="Arial" w:eastAsia="Arial" w:hAnsi="Arial"/>
          <w:sz w:val="16"/>
          <w:szCs w:val="16"/>
          <w:color w:val="auto"/>
        </w:rPr>
        <w:t>CTC and successfully initiated manufacturing of clinical batches of lifileucel and LN-145, representing our first internally manufactured TIL product, as we continue our launch readiness activities to supply commercial TIL upon potential BLA approval. We expect our manufacturing facility will provide us with enhanced control of material supply for both clinical trials and the commercial market, enable the more rapid implementation of process changes, and allow for better long-term margins. We are building the capacity to treat thousands of cancer patients annually. However, we may not be successful in finalizing the development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33" w:lineRule="exact"/>
        <w:rPr>
          <w:sz w:val="20"/>
          <w:szCs w:val="20"/>
          <w:color w:val="auto"/>
        </w:rPr>
      </w:pPr>
    </w:p>
    <w:p>
      <w:pPr>
        <w:ind w:right="120" w:firstLine="492"/>
        <w:spacing w:after="0" w:line="273" w:lineRule="auto"/>
        <w:rPr>
          <w:sz w:val="20"/>
          <w:szCs w:val="20"/>
          <w:color w:val="auto"/>
        </w:rPr>
      </w:pPr>
      <w:r>
        <w:rPr>
          <w:rFonts w:ascii="Arial" w:cs="Arial" w:eastAsia="Arial" w:hAnsi="Arial"/>
          <w:sz w:val="17"/>
          <w:szCs w:val="17"/>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 The FDA may take a restrictive approach when regulating cell therapy manufacturing facilities that could result in delays, product release challenges, shortages or capacity restraints.</w:t>
      </w:r>
    </w:p>
    <w:p>
      <w:pPr>
        <w:spacing w:after="0" w:line="137" w:lineRule="exact"/>
        <w:rPr>
          <w:sz w:val="20"/>
          <w:szCs w:val="20"/>
          <w:color w:val="auto"/>
        </w:rPr>
      </w:pPr>
    </w:p>
    <w:p>
      <w:pPr>
        <w:ind w:right="60" w:firstLine="492"/>
        <w:spacing w:after="0" w:line="286" w:lineRule="auto"/>
        <w:rPr>
          <w:sz w:val="20"/>
          <w:szCs w:val="20"/>
          <w:color w:val="auto"/>
        </w:rPr>
      </w:pPr>
      <w:r>
        <w:rPr>
          <w:rFonts w:ascii="Arial" w:cs="Arial" w:eastAsia="Arial" w:hAnsi="Arial"/>
          <w:sz w:val="16"/>
          <w:szCs w:val="16"/>
          <w:color w:val="auto"/>
        </w:rPr>
        <w:t xml:space="preserve">Our current manufacturing strategy involves the use of CMOs in conjunction with the manufacturing capacity at the </w:t>
      </w:r>
      <w:r>
        <w:rPr>
          <w:rFonts w:ascii="Arial" w:cs="Arial" w:eastAsia="Arial" w:hAnsi="Arial"/>
          <w:sz w:val="16"/>
          <w:szCs w:val="16"/>
          <w:i w:val="1"/>
          <w:iCs w:val="1"/>
          <w:color w:val="auto"/>
        </w:rPr>
        <w:t>i</w:t>
      </w:r>
      <w:r>
        <w:rPr>
          <w:rFonts w:ascii="Arial" w:cs="Arial" w:eastAsia="Arial" w:hAnsi="Arial"/>
          <w:sz w:val="16"/>
          <w:szCs w:val="16"/>
          <w:color w:val="auto"/>
        </w:rPr>
        <w:t xml:space="preserve">CTC. Currently our product candidates are also manufactured by WuXi Advanced Therapies, Inc, or WuXi, and H. Lee Moffitt Cancer Center, or Moffitt. Additionally, we partner with American Red Cross, or ARC, to leverage their GMP approved facilities and operate our own facility to produce feeder cells for TIL manufacturing. The process for manufacturing TIL is heavily reliant on the supply of biological raw materials and maintaining a GMP facility capable of supplying our manufacturing facilities with quality cells to make the final product. There are only a limited number of these types of facilities and sources for the materials needed by TIL therapy manufacturers. The </w:t>
      </w:r>
      <w:r>
        <w:rPr>
          <w:rFonts w:ascii="Arial" w:cs="Arial" w:eastAsia="Arial" w:hAnsi="Arial"/>
          <w:sz w:val="16"/>
          <w:szCs w:val="16"/>
          <w:i w:val="1"/>
          <w:iCs w:val="1"/>
          <w:color w:val="auto"/>
        </w:rPr>
        <w:t>i</w:t>
      </w:r>
      <w:r>
        <w:rPr>
          <w:rFonts w:ascii="Arial" w:cs="Arial" w:eastAsia="Arial" w:hAnsi="Arial"/>
          <w:sz w:val="16"/>
          <w:szCs w:val="16"/>
          <w:color w:val="auto"/>
        </w:rPr>
        <w:t>CTC and our CMOs are aseptic manufacturing facilities that operate clean rooms for the production of TIL therapies, which are subject to contamination, labor, occupational safety, regulatory, climate, and environmental risks that could interfere with production.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44" w:lineRule="exact"/>
        <w:rPr>
          <w:sz w:val="20"/>
          <w:szCs w:val="20"/>
          <w:color w:val="auto"/>
        </w:rPr>
      </w:pPr>
    </w:p>
    <w:p>
      <w:pPr>
        <w:ind w:right="40" w:firstLine="492"/>
        <w:spacing w:after="0" w:line="296" w:lineRule="auto"/>
        <w:rPr>
          <w:sz w:val="20"/>
          <w:szCs w:val="20"/>
          <w:color w:val="auto"/>
        </w:rPr>
      </w:pPr>
      <w:r>
        <w:rPr>
          <w:rFonts w:ascii="Arial" w:cs="Arial" w:eastAsia="Arial" w:hAnsi="Arial"/>
          <w:sz w:val="16"/>
          <w:szCs w:val="16"/>
          <w:color w:val="auto"/>
        </w:rPr>
        <w:t>Moreover,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46"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143" w:lineRule="exact"/>
        <w:rPr>
          <w:sz w:val="20"/>
          <w:szCs w:val="20"/>
          <w:color w:val="auto"/>
        </w:rPr>
      </w:pPr>
    </w:p>
    <w:p>
      <w:pPr>
        <w:ind w:left="820" w:hanging="320"/>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inability to negotiate manufacturing and quality agreements with third parties under commercially reasonable terms;</w:t>
      </w:r>
    </w:p>
    <w:p>
      <w:pPr>
        <w:spacing w:after="0" w:line="34" w:lineRule="exact"/>
        <w:rPr>
          <w:rFonts w:ascii="Arial" w:cs="Arial" w:eastAsia="Arial" w:hAnsi="Arial"/>
          <w:sz w:val="17"/>
          <w:szCs w:val="17"/>
          <w:color w:val="auto"/>
        </w:rPr>
      </w:pPr>
    </w:p>
    <w:p>
      <w:pPr>
        <w:ind w:left="820" w:right="700" w:hanging="320"/>
        <w:spacing w:after="0" w:line="260"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our product candidates as a result of using third-party manufacturers for all aspects of manufacturing activities;</w:t>
      </w:r>
    </w:p>
    <w:p>
      <w:pPr>
        <w:spacing w:after="0" w:line="50"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reduced control over the protection of our trade secrets and know-how from misappropriation or inadvertent disclosure;</w:t>
      </w:r>
    </w:p>
    <w:p>
      <w:pPr>
        <w:spacing w:after="0" w:line="101" w:lineRule="exact"/>
        <w:rPr>
          <w:rFonts w:ascii="Arial" w:cs="Arial" w:eastAsia="Arial" w:hAnsi="Arial"/>
          <w:sz w:val="17"/>
          <w:szCs w:val="17"/>
          <w:color w:val="auto"/>
        </w:rPr>
      </w:pPr>
    </w:p>
    <w:p>
      <w:pPr>
        <w:ind w:left="820" w:right="460" w:hanging="320"/>
        <w:spacing w:after="0" w:line="308" w:lineRule="auto"/>
        <w:tabs>
          <w:tab w:leader="none" w:pos="81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may be costly or damaging to us or result in delays in the development or commercialization of our product candidates;</w:t>
      </w:r>
    </w:p>
    <w:p>
      <w:pPr>
        <w:spacing w:after="0" w:line="24" w:lineRule="exact"/>
        <w:rPr>
          <w:rFonts w:ascii="Arial" w:cs="Arial" w:eastAsia="Arial" w:hAnsi="Arial"/>
          <w:sz w:val="17"/>
          <w:szCs w:val="17"/>
          <w:color w:val="auto"/>
        </w:rPr>
      </w:pPr>
    </w:p>
    <w:p>
      <w:pPr>
        <w:ind w:left="820" w:right="220" w:hanging="320"/>
        <w:spacing w:after="0" w:line="277"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35" w:lineRule="exact"/>
        <w:rPr>
          <w:rFonts w:ascii="Arial" w:cs="Arial" w:eastAsia="Arial" w:hAnsi="Arial"/>
          <w:sz w:val="18"/>
          <w:szCs w:val="18"/>
          <w:color w:val="auto"/>
        </w:rPr>
      </w:pPr>
    </w:p>
    <w:p>
      <w:pPr>
        <w:ind w:left="820" w:right="60" w:hanging="320"/>
        <w:spacing w:after="0" w:line="342" w:lineRule="auto"/>
        <w:tabs>
          <w:tab w:leader="none" w:pos="814"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international or multi-national activities that are related to business activities outside of our scope, but may have an impact on a CMO’s ability to conduct business in a manner consistent with governmental or our regulatory and ethical standards; and</w:t>
      </w:r>
    </w:p>
    <w:p>
      <w:pPr>
        <w:spacing w:after="0" w:line="2" w:lineRule="exact"/>
        <w:rPr>
          <w:rFonts w:ascii="Arial" w:cs="Arial" w:eastAsia="Arial" w:hAnsi="Arial"/>
          <w:sz w:val="16"/>
          <w:szCs w:val="16"/>
          <w:color w:val="auto"/>
        </w:rPr>
      </w:pPr>
    </w:p>
    <w:p>
      <w:pPr>
        <w:ind w:left="820" w:right="720" w:hanging="320"/>
        <w:spacing w:after="0" w:line="277"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synchronize operations and standards to ensure that all aspects of manufacturing are consistent without deviations across facilities.</w:t>
      </w:r>
    </w:p>
    <w:p>
      <w:pPr>
        <w:spacing w:after="0" w:line="3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 xml:space="preserve">In addition, the manufacturing process and facilities for any products that we may develop at the </w:t>
      </w:r>
      <w:r>
        <w:rPr>
          <w:rFonts w:ascii="Arial" w:cs="Arial" w:eastAsia="Arial" w:hAnsi="Arial"/>
          <w:sz w:val="17"/>
          <w:szCs w:val="17"/>
          <w:i w:val="1"/>
          <w:iCs w:val="1"/>
          <w:color w:val="auto"/>
        </w:rPr>
        <w:t>i</w:t>
      </w:r>
      <w:r>
        <w:rPr>
          <w:rFonts w:ascii="Arial" w:cs="Arial" w:eastAsia="Arial" w:hAnsi="Arial"/>
          <w:sz w:val="17"/>
          <w:szCs w:val="17"/>
          <w:color w:val="auto"/>
        </w:rPr>
        <w:t>CTC and or our CMOs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our BLAs, to the FDA. Manufacturers are also subject to continuing regulatory oversight by FDA and other regulatory authorities, including inspections following marketing approval. Further, we, in cooperation with our CMOs, must supply all necessary chemistry, manufacturing, and control documentation for a pre-approval inspection in support of a BLA on a timely basis. There is no guarantee that we or our CMOs will be able to successfully pass all aspects of a pre-approval inspection by the FDA or other foreign regulatory authorities.</w:t>
      </w:r>
    </w:p>
    <w:p>
      <w:pPr>
        <w:spacing w:after="0" w:line="145"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Our manufacturing facilities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52"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25"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b w:val="1"/>
          <w:bCs w:val="1"/>
          <w:i w:val="1"/>
          <w:iCs w:val="1"/>
          <w:color w:val="auto"/>
        </w:rPr>
        <w:t>Cell-based therapies and biologics rely on the availability of biological raw materials (including live cells), chemicals and agents used for manufacturing, reagents, specialized equipment, and other specialty materials, which may not be available to us on acceptable terms or at all. For each of these, we rely or may rely on treatment sites, limited manufacturers, sole source vendors or a limited number of vendors, which could impair our ability to manufacture and supply our products.*</w:t>
      </w:r>
    </w:p>
    <w:p>
      <w:pPr>
        <w:spacing w:after="0" w:line="130" w:lineRule="exact"/>
        <w:rPr>
          <w:sz w:val="20"/>
          <w:szCs w:val="20"/>
          <w:color w:val="auto"/>
        </w:rPr>
      </w:pPr>
    </w:p>
    <w:p>
      <w:pPr>
        <w:ind w:right="60" w:firstLine="492"/>
        <w:spacing w:after="0" w:line="270" w:lineRule="auto"/>
        <w:rPr>
          <w:sz w:val="20"/>
          <w:szCs w:val="20"/>
          <w:color w:val="auto"/>
        </w:rPr>
      </w:pPr>
      <w:r>
        <w:rPr>
          <w:rFonts w:ascii="Arial" w:cs="Arial" w:eastAsia="Arial" w:hAnsi="Arial"/>
          <w:sz w:val="17"/>
          <w:szCs w:val="17"/>
          <w:color w:val="auto"/>
        </w:rPr>
        <w:t>Manufacturing our product candidates requires live cells among other biological raw materials, chemicals and agents used for manufacturing.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40"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For each of these biological raw materials (including live cells), chemicals and agents used for manufacturing, reagents, equipment, and materials, we rely and may in the future rely on treatment sites, limited manufacturers,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37"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comparability studies and to collect additional data from patients prior to undertaking more advanced clinical trials.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185"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With the exception of lifileucel currently undergoing human clinical trials for advanced melanoma, cervical cancer and metastatic non-small cell lung cancer, or NSCLC, our research and development programs are at various stages of clinical development, including several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47" w:lineRule="exact"/>
        <w:rPr>
          <w:sz w:val="20"/>
          <w:szCs w:val="20"/>
          <w:color w:val="auto"/>
        </w:rPr>
      </w:pPr>
    </w:p>
    <w:p>
      <w:pPr>
        <w:ind w:left="820" w:hanging="320"/>
        <w:spacing w:after="0" w:line="258"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 w:lineRule="exact"/>
        <w:rPr>
          <w:rFonts w:ascii="Arial" w:cs="Arial" w:eastAsia="Arial" w:hAnsi="Arial"/>
          <w:sz w:val="18"/>
          <w:szCs w:val="18"/>
          <w:color w:val="auto"/>
        </w:rPr>
      </w:pPr>
    </w:p>
    <w:p>
      <w:pPr>
        <w:ind w:left="820" w:right="52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after reviewing test results, we or our collaborators may abandon projects that we might previously have believed to be promising;</w:t>
      </w:r>
    </w:p>
    <w:p>
      <w:pPr>
        <w:ind w:left="820" w:right="16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ind w:left="820" w:right="68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ind w:left="82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w:t>
      </w:r>
    </w:p>
    <w:p>
      <w:pPr>
        <w:ind w:left="820" w:right="220" w:hanging="320"/>
        <w:spacing w:after="0" w:line="26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find that our clinical trial design or conduct does not meet the applicable approval requirements; and</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clinical trials, as well as clinical trials from our competitors, may diminish our anticipated revenues due to overlapping</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patient populations, costs and payor coverage, or patient needs.</w:t>
      </w:r>
    </w:p>
    <w:p>
      <w:pPr>
        <w:spacing w:after="0" w:line="9"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Even if our lead product lifileucel is approved and commercialized, we may not become profitable.*</w:t>
      </w:r>
    </w:p>
    <w:p>
      <w:pPr>
        <w:spacing w:after="0" w:line="198"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Our lead product candidate, lifileucel, is initially targeting a small population of refractory patients that suffer from metastatic melanoma. Even if the FDA approves lifileucel, and even if we obtain significant market share, because the potential target population for lifileucel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conducting clinical trials on these patient populations. Since Proleukin® is an established product and there are competing products in development, the success of Proleukin® is closely tied to lifileucel and use with other cell therapies. An approval for a marketed product, such as Proleukin®, may be withdrawn by the FDA or another regulatory agency and disrupt both Proleukin® and lifileucel because of their codependency. Additionally, Proleukin® revenues are dependent upon continued use in manufacturing and clinical settings by Iovance and other cell therapy companies.</w:t>
      </w:r>
    </w:p>
    <w:p>
      <w:pPr>
        <w:spacing w:after="0" w:line="154" w:lineRule="exact"/>
        <w:rPr>
          <w:sz w:val="20"/>
          <w:szCs w:val="20"/>
          <w:color w:val="auto"/>
        </w:rPr>
      </w:pPr>
    </w:p>
    <w:p>
      <w:pPr>
        <w:jc w:val="both"/>
        <w:ind w:right="140" w:firstLine="486"/>
        <w:spacing w:after="0" w:line="311" w:lineRule="auto"/>
        <w:rPr>
          <w:sz w:val="20"/>
          <w:szCs w:val="20"/>
          <w:color w:val="auto"/>
        </w:rPr>
      </w:pPr>
      <w:r>
        <w:rPr>
          <w:rFonts w:ascii="Arial" w:cs="Arial" w:eastAsia="Arial" w:hAnsi="Arial"/>
          <w:sz w:val="16"/>
          <w:szCs w:val="16"/>
          <w:b w:val="1"/>
          <w:bCs w:val="1"/>
          <w:i w:val="1"/>
          <w:iCs w:val="1"/>
          <w:color w:val="auto"/>
        </w:rPr>
        <w:t>We rely on and collaborate with governmental, academic and corporate partners or agencies to approve,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08"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In addition to our own research and process development efforts, we seek to collaborate with government, academic research institutions and corporate partners to improve TIL manufacturing and to develop TIL therapies for new indications. In 2017-2020, we announced our continued collaborations with Moffitt, MDACC, and The Ohio State University to evaluate several new solid tumor and hematologic indications for TIL therapy in clinical trials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and MDACC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 There may also be delays or other limitations on our activities as a result of the inability of these entities to expedite our priorities in the product, facility, or regulatory approval process.</w:t>
      </w:r>
    </w:p>
    <w:p>
      <w:pPr>
        <w:spacing w:after="0" w:line="149"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b w:val="1"/>
          <w:bCs w:val="1"/>
          <w:i w:val="1"/>
          <w:iCs w:val="1"/>
          <w:color w:val="auto"/>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spacing w:after="0" w:line="117" w:lineRule="exact"/>
        <w:rPr>
          <w:sz w:val="20"/>
          <w:szCs w:val="20"/>
          <w:color w:val="auto"/>
        </w:rPr>
      </w:pPr>
    </w:p>
    <w:p>
      <w:pPr>
        <w:ind w:right="40" w:firstLine="492"/>
        <w:spacing w:after="0" w:line="291" w:lineRule="auto"/>
        <w:rPr>
          <w:sz w:val="20"/>
          <w:szCs w:val="20"/>
          <w:color w:val="auto"/>
        </w:rPr>
      </w:pPr>
      <w:r>
        <w:rPr>
          <w:rFonts w:ascii="Arial" w:cs="Arial" w:eastAsia="Arial" w:hAnsi="Arial"/>
          <w:sz w:val="16"/>
          <w:szCs w:val="16"/>
          <w:color w:val="auto"/>
        </w:rPr>
        <w:t>Our operations have consumed substantial amounts of cash since inception. From our inception to September 30, 2023, we have an accumulated deficit of $1.9 billion. In addition, our research and development and our operating costs have also been substantial and are expected to increase. For example, in October 2018, we closed an underwritten public offering of our common stock. The net proceeds from the offering, after deducting the underwriting discounts and commissions and other offering expenses payable by us, were $236.7 million. In June 2020, we closed another underwritten offering of our common stock. The net proceeds from the offering, after deducting the underwriting discounts and commissions and other offering expenses payable by us, were $567.0 million. In July 2023, we closed another underwritten offering of our common stock. The net proceeds from the offering, after</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deducting the underwriting discounts and commissions and other offering expenses payable by us, were approximately $161.5 million. In February 2021, we entered into an open market sale agreement, or the 2021 Sale Agreement, with Jefferies LLC, which provided for the sale of up to $350.0 million of our common stock from time to time, which was subsequently increased to $500.0 million in November 2022 upon the execution of an updated open market sale agreement, or the 2022 Sale Agreement, with Jefferies LLC. In June 2023, we entered into a new open market sale agreement, or the 2023 Sale Agreement, with Jefferies LLC, which superseded the 2022 Sale Agreement and provided for the sale of up to $450.0 million of our common stock from time to time. As of September 30, 2023, we had $427.8 million in cash, cash equivalents and investments ($267.7 million of cash and cash equivalents, $93.7 million in short-term investments, and restricted cash of $66.4 million).</w:t>
      </w:r>
    </w:p>
    <w:p>
      <w:pPr>
        <w:spacing w:after="0" w:line="138"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Accordingly, we believe that our existing cash, cash equivalents and investments will be sufficient to fund our operations for at least the next twelve months from the date this Quarterly Report on Form 10-Q is issued. However, in order to complete the development of our current product candidates, and in order to affect our business plan, including establishing our own manufacturing facility, we anticipate that we will have to spend more than the funds currently available to us. Furthermore,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38"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83" w:lineRule="exact"/>
        <w:rPr>
          <w:sz w:val="20"/>
          <w:szCs w:val="20"/>
          <w:color w:val="auto"/>
        </w:rPr>
      </w:pPr>
    </w:p>
    <w:p>
      <w:pPr>
        <w:ind w:left="820" w:right="100" w:hanging="320"/>
        <w:spacing w:after="0" w:line="258"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spacing w:after="0" w:line="1" w:lineRule="exact"/>
        <w:rPr>
          <w:rFonts w:ascii="Arial" w:cs="Arial" w:eastAsia="Arial" w:hAnsi="Arial"/>
          <w:sz w:val="18"/>
          <w:szCs w:val="18"/>
          <w:color w:val="auto"/>
        </w:rPr>
      </w:pPr>
    </w:p>
    <w:p>
      <w:pPr>
        <w:ind w:left="820" w:right="6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 and cost necessary to obtain regulatory approvals that may be required by regulatory authorities to execute clinical trials or commercialize our product;</w:t>
      </w: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 successfully manufactured consistent with FDA and European Medicines Agency, or EMA, regulations;</w:t>
      </w:r>
    </w:p>
    <w:p>
      <w:pPr>
        <w:ind w:left="820" w:right="200" w:hanging="320"/>
        <w:spacing w:after="0" w:line="281" w:lineRule="auto"/>
        <w:tabs>
          <w:tab w:leader="none" w:pos="81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 of sales and other revenues from product candidates that we may commercialize, if any, including the selling prices for such potential products and the availability of adequate third-party coverage and reimbursement for patients;</w:t>
      </w:r>
    </w:p>
    <w:p>
      <w:pPr>
        <w:spacing w:after="0" w:line="1" w:lineRule="exact"/>
        <w:rPr>
          <w:rFonts w:ascii="Arial" w:cs="Arial" w:eastAsia="Arial" w:hAnsi="Arial"/>
          <w:sz w:val="16"/>
          <w:szCs w:val="16"/>
          <w:color w:val="auto"/>
        </w:rPr>
      </w:pPr>
    </w:p>
    <w:p>
      <w:pPr>
        <w:ind w:left="820" w:right="60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of building, staffing and validating our own manufacturing facility in the U.S.;</w:t>
      </w:r>
    </w:p>
    <w:p>
      <w:pPr>
        <w:spacing w:after="0" w:line="9" w:lineRule="exact"/>
        <w:rPr>
          <w:rFonts w:ascii="Arial" w:cs="Arial" w:eastAsia="Arial" w:hAnsi="Arial"/>
          <w:sz w:val="18"/>
          <w:szCs w:val="18"/>
          <w:color w:val="auto"/>
        </w:rPr>
      </w:pPr>
    </w:p>
    <w:p>
      <w:pPr>
        <w:ind w:left="820" w:right="68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terms and timing of our current and any potential future collaborations, licensing or other arrangements that we have established or may establish;</w:t>
      </w: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9" w:lineRule="exact"/>
        <w:rPr>
          <w:rFonts w:ascii="Arial" w:cs="Arial" w:eastAsia="Arial" w:hAnsi="Arial"/>
          <w:sz w:val="18"/>
          <w:szCs w:val="18"/>
          <w:color w:val="auto"/>
        </w:rPr>
      </w:pPr>
    </w:p>
    <w:p>
      <w:pPr>
        <w:ind w:left="820" w:right="680" w:hanging="320"/>
        <w:spacing w:after="0" w:line="26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(such as the acquisition of Proleukin®), strategic collaborations, licensing agreements or other arrangements that we may establish.</w:t>
      </w:r>
    </w:p>
    <w:p>
      <w:pPr>
        <w:spacing w:after="0" w:line="14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51"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47" w:lineRule="exact"/>
        <w:rPr>
          <w:sz w:val="20"/>
          <w:szCs w:val="20"/>
          <w:color w:val="auto"/>
        </w:rPr>
      </w:pPr>
    </w:p>
    <w:p>
      <w:pPr>
        <w:ind w:firstLine="486"/>
        <w:spacing w:after="0" w:line="340" w:lineRule="auto"/>
        <w:rPr>
          <w:sz w:val="20"/>
          <w:szCs w:val="20"/>
          <w:color w:val="auto"/>
        </w:rPr>
      </w:pPr>
      <w:r>
        <w:rPr>
          <w:rFonts w:ascii="Arial" w:cs="Arial" w:eastAsia="Arial" w:hAnsi="Arial"/>
          <w:sz w:val="15"/>
          <w:szCs w:val="15"/>
          <w:b w:val="1"/>
          <w:bCs w:val="1"/>
          <w:i w:val="1"/>
          <w:iCs w:val="1"/>
          <w:color w:val="auto"/>
        </w:rPr>
        <w:t>Subject to various spending levels approved by our Board of Directors, our management will have broad discretion in the use of the net proceeds from our capital raises, including our July 2023, June 2020, October 2018 and January 2018 public offerings and the proceeds from sales pursuant to our “at-the-market” sale agreement with Jefferies LLC, and may not use them effectively.*</w:t>
      </w:r>
    </w:p>
    <w:p>
      <w:pPr>
        <w:spacing w:after="0" w:line="104" w:lineRule="exact"/>
        <w:rPr>
          <w:sz w:val="20"/>
          <w:szCs w:val="20"/>
          <w:color w:val="auto"/>
        </w:rPr>
      </w:pPr>
    </w:p>
    <w:p>
      <w:pPr>
        <w:jc w:val="both"/>
        <w:ind w:right="80" w:firstLine="486"/>
        <w:spacing w:after="0" w:line="286" w:lineRule="auto"/>
        <w:rPr>
          <w:sz w:val="20"/>
          <w:szCs w:val="20"/>
          <w:color w:val="auto"/>
        </w:rPr>
      </w:pPr>
      <w:r>
        <w:rPr>
          <w:rFonts w:ascii="Arial" w:cs="Arial" w:eastAsia="Arial" w:hAnsi="Arial"/>
          <w:sz w:val="16"/>
          <w:szCs w:val="16"/>
          <w:color w:val="auto"/>
        </w:rPr>
        <w:t>Our management will have discretion in the application of the net proceeds from our capital raises, including our July 2023, June 2020, October 2018, and January 2018 public offerings, and the proceeds from sales pursuant to the 2023 Sale Agreement with Jefferies LLC, which provides for the sale of up to $450.0 million of our common stock from time to time, and our stockholders will not have the opportunity as part of their investment decision to assess whether the net proceeds from our capital raises are being used appropriately.</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You may not agree with our decisions, and our use of the proceeds from our capital raises may not yield any return to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non-interest-bearing cash accounts, short-term, investment-grade, interest-bearing instruments and U.S. government securities. These temporary investments are not likely to yield a significant return.</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85"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Our net operating loss carryforwards and any future research and development tax credits may expire and not be used. As of December 31, 2022, we had U.S. federal net operating loss carryforwards of approximately $1.0 billion.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5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Prior to December 31, 2022, we experienced multiple ownership changes.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154"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b w:val="1"/>
          <w:bCs w:val="1"/>
          <w:i w:val="1"/>
          <w:iCs w:val="1"/>
          <w:color w:val="auto"/>
        </w:rPr>
        <w:t>Recently enacted tax reform legislation in the U.S., changes to existing tax laws, or challenges to our tax positions could adversely affect our business and financial condition.</w:t>
      </w:r>
    </w:p>
    <w:p>
      <w:pPr>
        <w:spacing w:after="0" w:line="130"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In recent years, various tax legislations were signed into law. On December 22, 2017, the Tax Cuts and Jobs Act of 2017, or the Tax Act, was signed into law, making significant changes to the Internal Revenue Code.</w:t>
      </w:r>
    </w:p>
    <w:p>
      <w:pPr>
        <w:spacing w:after="0" w:line="143"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On March 27, 2020, the Coronavirus Aid, Relief, and Economic Security Act, or the CARES Act, was enacted in response to the COVID-19 pandemic. Certain provisions of the CARES Act amend or suspend certain provisions of the Tax Act. For example,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On June 15, 2020, Assembly Bill 85 was passed in California which suspended the use of net operating losses and limited the use of credits for certain corporations. Changes to existing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federal and state tax laws could adversely impact our business, results of operations and financial position as the impact of recent tax legislation is uncertain.</w:t>
      </w:r>
    </w:p>
    <w:p>
      <w:pPr>
        <w:spacing w:after="0" w:line="130" w:lineRule="exact"/>
        <w:rPr>
          <w:sz w:val="20"/>
          <w:szCs w:val="20"/>
          <w:color w:val="auto"/>
        </w:rPr>
      </w:pPr>
    </w:p>
    <w:p>
      <w:pPr>
        <w:ind w:right="40" w:firstLine="492"/>
        <w:spacing w:after="0" w:line="287" w:lineRule="auto"/>
        <w:rPr>
          <w:sz w:val="20"/>
          <w:szCs w:val="20"/>
          <w:color w:val="auto"/>
        </w:rPr>
      </w:pPr>
      <w:r>
        <w:rPr>
          <w:rFonts w:ascii="Arial" w:cs="Arial" w:eastAsia="Arial" w:hAnsi="Arial"/>
          <w:sz w:val="16"/>
          <w:szCs w:val="16"/>
          <w:color w:val="auto"/>
        </w:rPr>
        <w:t xml:space="preserve">In addition, U.S. federal, state and local tax laws are extremely complex and subject to various interpretations. Although we believe that our tax estimates and positions are reasonable, including our decision to build the </w:t>
      </w:r>
      <w:r>
        <w:rPr>
          <w:rFonts w:ascii="Arial" w:cs="Arial" w:eastAsia="Arial" w:hAnsi="Arial"/>
          <w:sz w:val="16"/>
          <w:szCs w:val="16"/>
          <w:i w:val="1"/>
          <w:iCs w:val="1"/>
          <w:color w:val="auto"/>
        </w:rPr>
        <w:t>i</w:t>
      </w:r>
      <w:r>
        <w:rPr>
          <w:rFonts w:ascii="Arial" w:cs="Arial" w:eastAsia="Arial" w:hAnsi="Arial"/>
          <w:sz w:val="16"/>
          <w:szCs w:val="16"/>
          <w:color w:val="auto"/>
        </w:rPr>
        <w:t>CTC at the Navy Yard in Philadelphia in order to take advantage of the site’s designation as a Keystone Opportunity Zone, Keystone Opportunity Expansion Zone, or Keystone Opportunity Improvement Zone, or collectively a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 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w:t>
      </w:r>
    </w:p>
    <w:p>
      <w:pPr>
        <w:spacing w:after="0" w:line="145"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83"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Our potential products, cell processing and manufacturing activities, are subject to comprehensive regulation by the FDA in the U.S.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36"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No adoptive cell therapy using TIL has been approved for marketing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initiated the process for FDA approval for one adoptive cell therapy product. We will not be able to commercialize any of our potential products until we obtain FDA approval, and so any delay in obtaining, or inability to obtain, FDA approval would harm our business.</w:t>
      </w:r>
    </w:p>
    <w:p>
      <w:pPr>
        <w:spacing w:after="0" w:line="165"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If we fail to comply with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license new technology from third parties.</w:t>
      </w:r>
    </w:p>
    <w:p>
      <w:pPr>
        <w:spacing w:after="0" w:line="185"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130" w:lineRule="exact"/>
        <w:rPr>
          <w:sz w:val="20"/>
          <w:szCs w:val="20"/>
          <w:color w:val="auto"/>
        </w:rPr>
      </w:pPr>
    </w:p>
    <w:p>
      <w:pPr>
        <w:ind w:firstLine="492"/>
        <w:spacing w:after="0" w:line="288" w:lineRule="auto"/>
        <w:rPr>
          <w:sz w:val="20"/>
          <w:szCs w:val="20"/>
          <w:color w:val="auto"/>
        </w:rPr>
      </w:pPr>
      <w:r>
        <w:rPr>
          <w:rFonts w:ascii="Arial" w:cs="Arial" w:eastAsia="Arial" w:hAnsi="Arial"/>
          <w:sz w:val="16"/>
          <w:szCs w:val="16"/>
          <w:color w:val="auto"/>
        </w:rPr>
        <w:t>Our projections of both the number of people who have the advanced cancers we are targeting, as well as the subset of people with these cancers who are metastatic or unresectable,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141" w:lineRule="exact"/>
        <w:rPr>
          <w:sz w:val="20"/>
          <w:szCs w:val="20"/>
          <w:color w:val="auto"/>
        </w:rPr>
      </w:pPr>
    </w:p>
    <w:p>
      <w:pPr>
        <w:ind w:right="180" w:firstLine="486"/>
        <w:spacing w:after="0" w:line="381" w:lineRule="auto"/>
        <w:rPr>
          <w:sz w:val="20"/>
          <w:szCs w:val="20"/>
          <w:color w:val="auto"/>
        </w:rPr>
      </w:pPr>
      <w:r>
        <w:rPr>
          <w:rFonts w:ascii="Arial" w:cs="Arial" w:eastAsia="Arial" w:hAnsi="Arial"/>
          <w:sz w:val="15"/>
          <w:szCs w:val="15"/>
          <w:b w:val="1"/>
          <w:bCs w:val="1"/>
          <w:i w:val="1"/>
          <w:iCs w:val="1"/>
          <w:color w:val="auto"/>
        </w:rPr>
        <w:t>We are required to pay substantial royalties and lump sum benchmark payments under our license or acquisition agreements with the NIH, Moffitt, Novartis, Clinigen and Cellectis, and we must meet certain milestones to maintain our license rights.*</w:t>
      </w:r>
    </w:p>
    <w:p>
      <w:pPr>
        <w:spacing w:after="0" w:line="60"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Under our license or acquisition agreements with the NIH, Moffitt, Novartis, Clinigen, and Cellectis for our adoptive cell therapy and immunotherapy technologies, we are currently required to pay both substantial benchmark payments and royalties to each entity based on our revenues from sales of our products utilizing the licensed or acquired technologies. These payments could adversely affect the overall profitability for us of any products that we may seek to commercialize under these license agreements. In order to maintain our license rights under the NIH, Moffitt, Novartis, and Cellectis license agreements, we will need to meet certain specified milestones, subject to certain cure provisions, in the development of our product candidates, and a milestone payment is required to Clinigen upon the approval of lifileucel in melanoma. There is no assurance that we will be successful in meeting these milestones on a timely basis, or at all.</w:t>
      </w:r>
    </w:p>
    <w:p>
      <w:pPr>
        <w:spacing w:after="0" w:line="151" w:lineRule="exact"/>
        <w:rPr>
          <w:sz w:val="20"/>
          <w:szCs w:val="20"/>
          <w:color w:val="auto"/>
        </w:rPr>
      </w:pPr>
    </w:p>
    <w:p>
      <w:pPr>
        <w:jc w:val="both"/>
        <w:ind w:right="380" w:firstLine="486"/>
        <w:spacing w:after="0" w:line="263"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57"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clinical trial period, the number of patients the FDA will require to be enrolled in the clinical trials in order to establish the safety, efficacy, purity and potency of immunotherapy products, or that the data generated in these clinical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28"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36"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product candidates that have an uncertain commercial market. The market for any products that we successfully develop will also depend on the cost of the product.</w:t>
      </w:r>
    </w:p>
    <w:p>
      <w:pPr>
        <w:spacing w:after="0" w:line="130"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Cell based therapies may take longer to attain insurance coverage, and although we may apply for special government programs and prepare the market for product approval, there is no way to ensure that healthcare providers, insurance companies, or other third parties will reimburse our product at an expeditious rate. Even if we obtain insurance coverage for our product from payors, coverage at treatment centers will require payment for the total cost of care which involves surgery, conditioning chemotherapy, as well as other staffing and hospitalization needs. This will require coordination between authorized treatment centers and other payors including government payors that may only cover a portion of charges. If our treatment centers do not successfully obtain coverage in time, there may be a slow uptake or variable or limited access at all to our therapies.</w:t>
      </w:r>
    </w:p>
    <w:p>
      <w:pPr>
        <w:spacing w:after="0" w:line="150" w:lineRule="exact"/>
        <w:rPr>
          <w:sz w:val="20"/>
          <w:szCs w:val="20"/>
          <w:color w:val="auto"/>
        </w:rPr>
      </w:pPr>
    </w:p>
    <w:p>
      <w:pPr>
        <w:ind w:right="180" w:firstLine="486"/>
        <w:spacing w:after="0" w:line="293" w:lineRule="auto"/>
        <w:rPr>
          <w:sz w:val="20"/>
          <w:szCs w:val="20"/>
          <w:color w:val="auto"/>
        </w:rPr>
      </w:pPr>
      <w:r>
        <w:rPr>
          <w:rFonts w:ascii="Arial" w:cs="Arial" w:eastAsia="Arial" w:hAnsi="Arial"/>
          <w:sz w:val="16"/>
          <w:szCs w:val="16"/>
          <w:color w:val="auto"/>
        </w:rPr>
        <w:t>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2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TIL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spacing w:after="0" w:line="146"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b w:val="1"/>
          <w:bCs w:val="1"/>
          <w:i w:val="1"/>
          <w:iCs w:val="1"/>
          <w:color w:val="auto"/>
        </w:rPr>
        <w:t>No assurance can be given that the Gen 2 manufacturing process or other processes we have selected will be FDA-compliant or more efficient and will lower the cost to manufacture TIL products.*</w:t>
      </w:r>
    </w:p>
    <w:p>
      <w:pPr>
        <w:spacing w:after="0" w:line="143"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We have developed and are developing improved methods for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As a novel therapy, TIL manufacturing and product release is complex and must evolve with both industry-wide autologous cell therapy challenges and new regulatory requirements that may result in delays and unexpected denials.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we and our third-party manufacturers will have to continually adhere to current cGMP regulations enforced by the FDA through its facilities inspection program. If our facilities or any of the facilities of these manufacturers cannot demonstrate adequate assurance of compliance with FDA standards during a pre-approval inspection, the FDA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352"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30"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ectPr>
          <w:pgSz w:w="11900" w:h="16838" w:orient="portrait"/>
          <w:cols w:equalWidth="0" w:num="1">
            <w:col w:w="9900"/>
          </w:cols>
          <w:pgMar w:left="980" w:top="665" w:right="101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withdrawal of clinical trial participants or sites and potential termination of clinical trial sites or entire clinical programs;</w:t>
      </w:r>
    </w:p>
    <w:p>
      <w:pPr>
        <w:spacing w:after="0" w:line="20" w:lineRule="exact"/>
        <w:rPr>
          <w:rFonts w:ascii="Arial" w:cs="Arial" w:eastAsia="Arial" w:hAnsi="Arial"/>
          <w:sz w:val="17"/>
          <w:szCs w:val="17"/>
          <w:color w:val="auto"/>
        </w:rPr>
      </w:pPr>
    </w:p>
    <w:p>
      <w:pPr>
        <w:ind w:left="820" w:right="560" w:hanging="320"/>
        <w:spacing w:after="0" w:line="25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initiation of investigations by regulators, refusal to approve marketing applications or supplements, and withdrawal or limitation of product approvals;</w:t>
      </w: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clinical trial participants or patients;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the price of our stock and overall value of our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exhaustion of our available insurance coverage and our capital resources;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0" w:lineRule="exact"/>
        <w:rPr>
          <w:sz w:val="20"/>
          <w:szCs w:val="20"/>
          <w:color w:val="auto"/>
        </w:rPr>
      </w:pPr>
    </w:p>
    <w:p>
      <w:pPr>
        <w:ind w:right="100" w:firstLine="492"/>
        <w:spacing w:after="0" w:line="272"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face significant competition from other biotechnology and pharmaceutical companies and from non-profit institutions.</w:t>
      </w:r>
    </w:p>
    <w:p>
      <w:pPr>
        <w:spacing w:after="0" w:line="208" w:lineRule="exact"/>
        <w:rPr>
          <w:sz w:val="20"/>
          <w:szCs w:val="20"/>
          <w:color w:val="auto"/>
        </w:rPr>
      </w:pPr>
    </w:p>
    <w:p>
      <w:pPr>
        <w:ind w:right="60" w:firstLine="492"/>
        <w:spacing w:after="0" w:line="296" w:lineRule="auto"/>
        <w:rPr>
          <w:sz w:val="20"/>
          <w:szCs w:val="20"/>
          <w:color w:val="auto"/>
        </w:rPr>
      </w:pPr>
      <w:r>
        <w:rPr>
          <w:rFonts w:ascii="Arial" w:cs="Arial" w:eastAsia="Arial" w:hAnsi="Arial"/>
          <w:sz w:val="16"/>
          <w:szCs w:val="16"/>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21" w:lineRule="exact"/>
        <w:rPr>
          <w:sz w:val="20"/>
          <w:szCs w:val="20"/>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safer, more convenient or more effective immunotherapies and other therapeutic products;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therapies that are less expensive or have better reimbursement from private or public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184"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Due to the promising clinical therapeutic effect of competitor therapies in clinical exploratory trials, we anticipate substantial direct competition from other organizations developing advanced T-cell therapies targeting patients who have received prior anti-PD-1/PD-L1 therapies. In particular, we expect to compete with other new therapies for our lead indications developed by companies such as Agenus, BeyondSpring, Bristol-Myers Squibb, Merck, Nektar Therapeutics, Checkmate Pharmaceuticals, Daiichi Sankyo, Eisai, Exelixis, Moderna, Mirati Therapeutics, OncoSec Medical, Replimune, Regeneron Pharmaceuticals, Seagen, and Genmab. We also may compete with other TIL therapies in development by companies such as Instil Bio, Achilles Therapeutics, KSQ Therapeutics, Obsidian Therapeutics, Immatics, TILT Biotherapeutics, WindMIL Therapeutics, GRIT Biotechnology, Lyell Immunopharma, Cellular Biomedicine Group, and others. We also may compete with therapies based on genetically engineered T-cell receptors rendered reactive against tumor-associated antigens prior to their administration to patients, as well as TIL therapies that are designed to be specific to neoantigens, including products developed by Adaptimmune Therapeutics, Alaunos Therapeutics, Intima Bioscience, Marker Therapeutics, Turnstone Biologics, Neogene, and others. To date, these technologies have been primarily applicable to hematologic malignancies, but their application in solid tumor indications may create competition with us. We may also face competition from immunotherapy treatments offered by companies such as Amgen, AstraZeneca, Bristol-Myers Squibb, Merck, Pfizer, Regeneron Pharmaceuticals, Roche, and BioNTech. We may also face competition from novel IL-2 treatments in development by Alkermes, Werewolf, Nektar Therapeutics, Merck, Sanofi, Neoleukin Therapeutics and others.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 regulatory approval for</w:t>
      </w:r>
    </w:p>
    <w:p>
      <w:pPr>
        <w:sectPr>
          <w:pgSz w:w="11900" w:h="16838" w:orient="portrait"/>
          <w:cols w:equalWidth="0" w:num="1">
            <w:col w:w="9880"/>
          </w:cols>
          <w:pgMar w:left="980" w:top="665" w:right="1039" w:bottom="1440" w:gutter="0" w:footer="0" w:header="0"/>
        </w:sect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their products more rapidly than we may obtain approval for ours, which could result in competitors establishing a strong market position before we are able to enter the market.</w:t>
      </w:r>
    </w:p>
    <w:p>
      <w:pPr>
        <w:spacing w:after="0" w:line="130"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Universities and public and private research institutions in the U.S. and Europe are also potential competitors. For example, a Phase 3 M14TIL clinical trial comparing TIL to standard ipilimumab in patients with metastatic melanoma is currently being conducted in Europe by the Netherlands Cancer Institute, the Copenhagen County Herlev University Hospital, and the University of Manchester. Results from the M14TIL clinical trial were presented at the European Society for Medical Oncology Congress in September 2022.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68"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Our lead product candidate lifileucel is a therapy for the treatment of metastatic melanoma and metastatic cervical cancer. Currently, there are numerous companies that are developing various alternate treatments for melanoma and cervical cancer, including patients that have progressed after prior treatment with checkpoint inhibitors and chemotherapy. Accordingly, lifileucel faces significant competition in the melanoma and cervical cancer treatment space from multiple companies. Even if we obtain regulatory approval for lifileucel,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38" w:lineRule="exact"/>
        <w:rPr>
          <w:sz w:val="20"/>
          <w:szCs w:val="20"/>
          <w:color w:val="auto"/>
        </w:rPr>
      </w:pPr>
    </w:p>
    <w:p>
      <w:pPr>
        <w:ind w:right="80" w:firstLine="492"/>
        <w:spacing w:after="0" w:line="275"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36" w:lineRule="exact"/>
        <w:rPr>
          <w:sz w:val="20"/>
          <w:szCs w:val="20"/>
          <w:color w:val="auto"/>
        </w:rPr>
      </w:pPr>
    </w:p>
    <w:p>
      <w:pPr>
        <w:ind w:right="500" w:firstLine="492"/>
        <w:spacing w:after="0" w:line="342" w:lineRule="auto"/>
        <w:rPr>
          <w:sz w:val="20"/>
          <w:szCs w:val="20"/>
          <w:color w:val="auto"/>
        </w:rPr>
      </w:pPr>
      <w:r>
        <w:rPr>
          <w:rFonts w:ascii="Arial" w:cs="Arial" w:eastAsia="Arial" w:hAnsi="Arial"/>
          <w:sz w:val="16"/>
          <w:szCs w:val="16"/>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p>
    <w:p>
      <w:pPr>
        <w:spacing w:after="0" w:line="97" w:lineRule="exact"/>
        <w:rPr>
          <w:sz w:val="20"/>
          <w:szCs w:val="20"/>
          <w:color w:val="auto"/>
        </w:rPr>
      </w:pPr>
    </w:p>
    <w:p>
      <w:pPr>
        <w:jc w:val="both"/>
        <w:ind w:right="80" w:firstLine="492"/>
        <w:spacing w:after="0" w:line="287" w:lineRule="auto"/>
        <w:rPr>
          <w:sz w:val="20"/>
          <w:szCs w:val="20"/>
          <w:color w:val="auto"/>
        </w:rPr>
      </w:pPr>
      <w:r>
        <w:rPr>
          <w:rFonts w:ascii="Arial" w:cs="Arial" w:eastAsia="Arial" w:hAnsi="Arial"/>
          <w:sz w:val="16"/>
          <w:szCs w:val="16"/>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36"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Cellectis, Yale University, the Ohio State University, and Novartis.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pacing w:after="0" w:line="127"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43" w:lineRule="exact"/>
        <w:rPr>
          <w:sz w:val="20"/>
          <w:szCs w:val="20"/>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9"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ind w:left="820" w:hanging="320"/>
        <w:spacing w:after="0" w:line="265" w:lineRule="auto"/>
        <w:tabs>
          <w:tab w:leader="none" w:pos="814"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ind w:left="820" w:right="14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 w:lineRule="exact"/>
        <w:rPr>
          <w:rFonts w:ascii="Arial" w:cs="Arial" w:eastAsia="Arial" w:hAnsi="Arial"/>
          <w:sz w:val="18"/>
          <w:szCs w:val="18"/>
          <w:color w:val="auto"/>
        </w:rPr>
      </w:pPr>
    </w:p>
    <w:p>
      <w:pPr>
        <w:jc w:val="both"/>
        <w:ind w:left="820" w:right="600" w:hanging="320"/>
        <w:spacing w:after="0" w:line="281" w:lineRule="auto"/>
        <w:tabs>
          <w:tab w:leader="none" w:pos="814"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 w:lineRule="exact"/>
        <w:rPr>
          <w:rFonts w:ascii="Arial" w:cs="Arial" w:eastAsia="Arial" w:hAnsi="Arial"/>
          <w:sz w:val="16"/>
          <w:szCs w:val="16"/>
          <w:color w:val="auto"/>
        </w:rPr>
      </w:pPr>
    </w:p>
    <w:p>
      <w:pPr>
        <w:ind w:left="820" w:right="16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 w:lineRule="exact"/>
        <w:rPr>
          <w:rFonts w:ascii="Arial" w:cs="Arial" w:eastAsia="Arial" w:hAnsi="Arial"/>
          <w:sz w:val="18"/>
          <w:szCs w:val="18"/>
          <w:color w:val="auto"/>
        </w:rPr>
      </w:pPr>
    </w:p>
    <w:p>
      <w:pPr>
        <w:ind w:left="820" w:right="14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ind w:left="820" w:right="80" w:hanging="320"/>
        <w:spacing w:after="0" w:line="25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resulting in the decreased emphasis or termination of development or commercialization of any product candidate subject to the collaboration agreement; and</w:t>
      </w:r>
    </w:p>
    <w:p>
      <w:pPr>
        <w:ind w:left="820" w:right="20" w:hanging="320"/>
        <w:spacing w:after="0" w:line="323" w:lineRule="auto"/>
        <w:tabs>
          <w:tab w:leader="none" w:pos="814" w:val="left"/>
        </w:tabs>
        <w:numPr>
          <w:ilvl w:val="0"/>
          <w:numId w:val="23"/>
        </w:numPr>
        <w:rPr>
          <w:rFonts w:ascii="Arial" w:cs="Arial" w:eastAsia="Arial" w:hAnsi="Arial"/>
          <w:sz w:val="16"/>
          <w:szCs w:val="16"/>
          <w:color w:val="auto"/>
        </w:rPr>
      </w:pPr>
      <w:r>
        <w:rPr>
          <w:rFonts w:ascii="Arial" w:cs="Arial" w:eastAsia="Arial" w:hAnsi="Arial"/>
          <w:sz w:val="16"/>
          <w:szCs w:val="16"/>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111"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If any third-party collaborator breaches or terminates its agreement with us or fails to conduct its activities in a timely manner, the commercialization of our products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36"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46"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ectPr>
          <w:pgSz w:w="11900" w:h="16838" w:orient="portrait"/>
          <w:cols w:equalWidth="0" w:num="1">
            <w:col w:w="9860"/>
          </w:cols>
          <w:pgMar w:left="980" w:top="665" w:right="105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46"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43" w:lineRule="exact"/>
        <w:rPr>
          <w:sz w:val="20"/>
          <w:szCs w:val="20"/>
          <w:color w:val="auto"/>
        </w:rPr>
      </w:pPr>
    </w:p>
    <w:p>
      <w:pPr>
        <w:ind w:right="40" w:firstLine="492"/>
        <w:spacing w:after="0" w:line="287" w:lineRule="auto"/>
        <w:rPr>
          <w:sz w:val="20"/>
          <w:szCs w:val="20"/>
          <w:color w:val="auto"/>
        </w:rPr>
      </w:pPr>
      <w:r>
        <w:rPr>
          <w:rFonts w:ascii="Arial" w:cs="Arial" w:eastAsia="Arial" w:hAnsi="Arial"/>
          <w:sz w:val="16"/>
          <w:szCs w:val="16"/>
          <w:color w:val="auto"/>
        </w:rPr>
        <w:t>We are currently developing lifileucel as part of a regimen which uses IL-2. We and our collaborators are also clinical trialing TIL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clinical trials could show that any positive results are attributable to the already approved product. Moreover, following product approval, the FDA may require that products used in conjunction with each other be cross labeled for combined use. Additionally, the FDA review process can be more complicated for combination products, and may result in delays, particularly if complex therapeutics are involved.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131" w:lineRule="exact"/>
        <w:rPr>
          <w:sz w:val="20"/>
          <w:szCs w:val="20"/>
          <w:color w:val="auto"/>
        </w:rPr>
      </w:pPr>
    </w:p>
    <w:p>
      <w:pPr>
        <w:ind w:right="120" w:firstLine="492"/>
        <w:spacing w:after="0" w:line="286" w:lineRule="auto"/>
        <w:rPr>
          <w:sz w:val="20"/>
          <w:szCs w:val="20"/>
          <w:color w:val="auto"/>
        </w:rPr>
      </w:pPr>
      <w:r>
        <w:rPr>
          <w:rFonts w:ascii="Arial" w:cs="Arial" w:eastAsia="Arial" w:hAnsi="Arial"/>
          <w:sz w:val="17"/>
          <w:szCs w:val="17"/>
          <w:b w:val="1"/>
          <w:bCs w:val="1"/>
          <w:i w:val="1"/>
          <w:iCs w:val="1"/>
          <w:color w:val="auto"/>
        </w:rPr>
        <w:t>A Fast Track product designation, Breakthrough Therapy Designation, or BTD,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25" w:lineRule="exact"/>
        <w:rPr>
          <w:sz w:val="20"/>
          <w:szCs w:val="20"/>
          <w:color w:val="auto"/>
        </w:rPr>
      </w:pPr>
    </w:p>
    <w:p>
      <w:pPr>
        <w:ind w:right="80" w:firstLine="492"/>
        <w:spacing w:after="0" w:line="270" w:lineRule="auto"/>
        <w:rPr>
          <w:sz w:val="20"/>
          <w:szCs w:val="20"/>
          <w:color w:val="auto"/>
        </w:rPr>
      </w:pPr>
      <w:r>
        <w:rPr>
          <w:rFonts w:ascii="Arial" w:cs="Arial" w:eastAsia="Arial" w:hAnsi="Arial"/>
          <w:sz w:val="17"/>
          <w:szCs w:val="17"/>
          <w:color w:val="auto"/>
        </w:rPr>
        <w:t>We were granted Fast Track designation by the FDA for lifileucel in metastatic melanoma and metastatic cervical cancer, as well as for lifileucel in combination with pembrolizumab in advanced melanoma. We were granted BTD, for lifileucel for metastatic cervical cancer and Regenerative Medicine Advanced Therapy, or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54" w:lineRule="exact"/>
        <w:rPr>
          <w:sz w:val="20"/>
          <w:szCs w:val="20"/>
          <w:color w:val="auto"/>
        </w:rPr>
      </w:pPr>
    </w:p>
    <w:p>
      <w:pPr>
        <w:jc w:val="both"/>
        <w:ind w:right="60" w:firstLine="492"/>
        <w:spacing w:after="0" w:line="311" w:lineRule="auto"/>
        <w:rPr>
          <w:sz w:val="20"/>
          <w:szCs w:val="20"/>
          <w:color w:val="auto"/>
        </w:rPr>
      </w:pPr>
      <w:r>
        <w:rPr>
          <w:rFonts w:ascii="Arial" w:cs="Arial" w:eastAsia="Arial" w:hAnsi="Arial"/>
          <w:sz w:val="16"/>
          <w:szCs w:val="16"/>
          <w:b w:val="1"/>
          <w:bCs w:val="1"/>
          <w:i w:val="1"/>
          <w:iCs w:val="1"/>
          <w:color w:val="auto"/>
        </w:rPr>
        <w:t>While lifileucel has received Orphan Drug Designation, or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08"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received ODD in the U.S. for lifileucel to treat malignant melanoma stages IIB-IV and cervical cancer patients with tumors greater than 2 cm. We may also seek ODD for our other product candidates, as appropriate. ODD, however, may be lost if the indication for which we develop our designated product candidates does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45" w:lineRule="exact"/>
        <w:rPr>
          <w:sz w:val="20"/>
          <w:szCs w:val="20"/>
          <w:color w:val="auto"/>
        </w:rPr>
      </w:pPr>
    </w:p>
    <w:p>
      <w:pPr>
        <w:jc w:val="both"/>
        <w:ind w:right="220" w:firstLine="492"/>
        <w:spacing w:after="0" w:line="286" w:lineRule="auto"/>
        <w:rPr>
          <w:sz w:val="20"/>
          <w:szCs w:val="20"/>
          <w:color w:val="auto"/>
        </w:rPr>
      </w:pPr>
      <w:r>
        <w:rPr>
          <w:rFonts w:ascii="Arial" w:cs="Arial" w:eastAsia="Arial" w:hAnsi="Arial"/>
          <w:sz w:val="17"/>
          <w:szCs w:val="17"/>
          <w:color w:val="auto"/>
        </w:rPr>
        <w:t>Moreover, the FDA may grant ODDs to multiple of the same products for the same indication. If another sponsor receives FDA approval for an ODD-designated product that is the same as our product candidates and intended for the same indication before we do, we would be prevented from launching our product in the U.S. for this indication for a period of at least 7 years.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492"/>
        <w:spacing w:after="0" w:line="257" w:lineRule="auto"/>
        <w:rPr>
          <w:sz w:val="20"/>
          <w:szCs w:val="20"/>
          <w:color w:val="auto"/>
        </w:rPr>
      </w:pPr>
      <w:r>
        <w:rPr>
          <w:rFonts w:ascii="Arial" w:cs="Arial" w:eastAsia="Arial" w:hAnsi="Arial"/>
          <w:sz w:val="18"/>
          <w:szCs w:val="18"/>
          <w:color w:val="auto"/>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47" w:lineRule="exact"/>
        <w:rPr>
          <w:sz w:val="20"/>
          <w:szCs w:val="20"/>
          <w:color w:val="auto"/>
        </w:rPr>
      </w:pPr>
    </w:p>
    <w:p>
      <w:pPr>
        <w:ind w:right="200" w:firstLine="492"/>
        <w:spacing w:after="0" w:line="263" w:lineRule="auto"/>
        <w:rPr>
          <w:sz w:val="20"/>
          <w:szCs w:val="20"/>
          <w:color w:val="auto"/>
        </w:rPr>
      </w:pPr>
      <w:r>
        <w:rPr>
          <w:rFonts w:ascii="Arial" w:cs="Arial" w:eastAsia="Arial" w:hAnsi="Arial"/>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57" w:lineRule="exact"/>
        <w:rPr>
          <w:sz w:val="20"/>
          <w:szCs w:val="20"/>
          <w:color w:val="auto"/>
        </w:rPr>
      </w:pPr>
    </w:p>
    <w:p>
      <w:pPr>
        <w:ind w:right="60" w:firstLine="492"/>
        <w:spacing w:after="0" w:line="271" w:lineRule="auto"/>
        <w:rPr>
          <w:sz w:val="20"/>
          <w:szCs w:val="20"/>
          <w:color w:val="auto"/>
        </w:rPr>
      </w:pPr>
      <w:r>
        <w:rPr>
          <w:rFonts w:ascii="Arial" w:cs="Arial" w:eastAsia="Arial" w:hAnsi="Arial"/>
          <w:sz w:val="17"/>
          <w:szCs w:val="17"/>
          <w:color w:val="auto"/>
        </w:rPr>
        <w:t>As a condition of biologic licensing, the FDA is authorized to require that sponsors of approved BLAs implement various post-marketing requirements, including REMS and Phase 4 studies. For example, we reached an agreement with the FDA regarding a confirmatory trial to support full approval of lifileucel in post-anti-PD-1 advanced melanoma, which we refer to as TILVANCE-301. We began startup activities for the randomized Phase 3 TILVANCE-301 trial in the fourth quarter of 2022.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38" w:lineRule="exact"/>
        <w:rPr>
          <w:sz w:val="20"/>
          <w:szCs w:val="20"/>
          <w:color w:val="auto"/>
        </w:rPr>
      </w:pPr>
    </w:p>
    <w:p>
      <w:pPr>
        <w:ind w:right="140" w:firstLine="492"/>
        <w:spacing w:after="0" w:line="342" w:lineRule="auto"/>
        <w:rPr>
          <w:sz w:val="20"/>
          <w:szCs w:val="20"/>
          <w:color w:val="auto"/>
        </w:rPr>
      </w:pPr>
      <w:r>
        <w:rPr>
          <w:rFonts w:ascii="Arial" w:cs="Arial" w:eastAsia="Arial" w:hAnsi="Arial"/>
          <w:sz w:val="16"/>
          <w:szCs w:val="16"/>
          <w:b w:val="1"/>
          <w:bCs w:val="1"/>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83" w:lineRule="exact"/>
        <w:rPr>
          <w:sz w:val="20"/>
          <w:szCs w:val="20"/>
          <w:color w:val="auto"/>
        </w:rPr>
      </w:pPr>
    </w:p>
    <w:p>
      <w:pPr>
        <w:ind w:right="120" w:firstLine="492"/>
        <w:spacing w:after="0" w:line="271" w:lineRule="auto"/>
        <w:rPr>
          <w:sz w:val="20"/>
          <w:szCs w:val="20"/>
          <w:color w:val="auto"/>
        </w:rPr>
      </w:pPr>
      <w:r>
        <w:rPr>
          <w:rFonts w:ascii="Arial" w:cs="Arial" w:eastAsia="Arial" w:hAnsi="Arial"/>
          <w:sz w:val="17"/>
          <w:szCs w:val="17"/>
          <w:color w:val="auto"/>
        </w:rPr>
        <w:t>We currently have a small commercial team focused on our commercial strategy, but we do not have a large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51"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In addition to marketing our product, we will need to establish authorized treatment centers that will be able to obtain patients from the broader community and provide access to our therapies. Even if we are able to obtain approval for a product candidate, we may not be able to approve enough treatment centers for the provision of our product to a broad patient population. Additionally, certain areas do not have hospitals with the facilities to safely administer our therapy. Accordingly, we may only be able to launch our products with a limited number of treatment centers, which could ultimately reduce the uptake of our products. Although we have a team allocated to authorize and monitor our treatment centers, substantial resources and investment from us and each treatment center may be required. Additionally, the treatment center onboarding process can be complicated and requires extensive training, technical equipment, and coordination of processes. Once authorized, treatment centers will be required to ensure that their training, facilities, and treatment capabilities are adequately maintained.</w:t>
      </w:r>
    </w:p>
    <w:p>
      <w:pPr>
        <w:spacing w:after="0" w:line="140" w:lineRule="exact"/>
        <w:rPr>
          <w:sz w:val="20"/>
          <w:szCs w:val="20"/>
          <w:color w:val="auto"/>
        </w:rPr>
      </w:pPr>
    </w:p>
    <w:p>
      <w:pPr>
        <w:ind w:right="120" w:firstLine="492"/>
        <w:spacing w:after="0" w:line="290" w:lineRule="auto"/>
        <w:rPr>
          <w:sz w:val="20"/>
          <w:szCs w:val="20"/>
          <w:color w:val="auto"/>
        </w:rPr>
      </w:pPr>
      <w:r>
        <w:rPr>
          <w:rFonts w:ascii="Arial" w:cs="Arial" w:eastAsia="Arial" w:hAnsi="Arial"/>
          <w:sz w:val="16"/>
          <w:szCs w:val="16"/>
          <w:color w:val="auto"/>
        </w:rPr>
        <w:t>We have limited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In the event we are unable to develop a commercial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spacing w:after="0" w:line="125" w:lineRule="exact"/>
        <w:rPr>
          <w:sz w:val="20"/>
          <w:szCs w:val="20"/>
          <w:color w:val="auto"/>
        </w:rPr>
      </w:pPr>
    </w:p>
    <w:p>
      <w:pPr>
        <w:ind w:left="820" w:right="300" w:hanging="320"/>
        <w:spacing w:after="0" w:line="291" w:lineRule="auto"/>
        <w:tabs>
          <w:tab w:leader="none" w:pos="814"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the COVID-19 pandemic continues or reoccurs it may negatively impact our ability to establish commercial operations, educate and interact with healthcare professionals, and successfully launch our product on a timely basis;</w:t>
      </w:r>
    </w:p>
    <w:p>
      <w:pPr>
        <w:ind w:left="820" w:right="28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current or future product candidates;</w:t>
      </w: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ectPr>
          <w:pgSz w:w="11900" w:h="16838" w:orient="portrait"/>
          <w:cols w:equalWidth="0" w:num="1">
            <w:col w:w="9880"/>
          </w:cols>
          <w:pgMar w:left="980" w:top="665" w:right="10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20" w:right="240" w:hanging="320"/>
        <w:spacing w:after="0" w:line="258"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and time associated with the initial and ongoing training of sales and marketing personnel on legal and regulatory compliance matters and monitoring their actions;</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claims that we may make for the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9" w:lineRule="exact"/>
        <w:rPr>
          <w:rFonts w:ascii="Arial" w:cs="Arial" w:eastAsia="Arial" w:hAnsi="Arial"/>
          <w:sz w:val="18"/>
          <w:szCs w:val="18"/>
          <w:color w:val="auto"/>
        </w:rPr>
      </w:pPr>
    </w:p>
    <w:p>
      <w:pPr>
        <w:ind w:left="820" w:right="300" w:hanging="320"/>
        <w:spacing w:after="0" w:line="25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9"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820" w:right="540" w:hanging="320"/>
        <w:spacing w:after="0" w:line="26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45" w:lineRule="exact"/>
        <w:rPr>
          <w:sz w:val="20"/>
          <w:szCs w:val="20"/>
          <w:color w:val="auto"/>
        </w:rPr>
      </w:pPr>
    </w:p>
    <w:p>
      <w:pPr>
        <w:ind w:right="480" w:firstLine="492"/>
        <w:spacing w:after="0" w:line="277" w:lineRule="auto"/>
        <w:rPr>
          <w:sz w:val="20"/>
          <w:szCs w:val="20"/>
          <w:color w:val="auto"/>
        </w:rPr>
      </w:pPr>
      <w:r>
        <w:rPr>
          <w:rFonts w:ascii="Arial" w:cs="Arial" w:eastAsia="Arial" w:hAnsi="Arial"/>
          <w:sz w:val="18"/>
          <w:szCs w:val="18"/>
          <w:b w:val="1"/>
          <w:bCs w:val="1"/>
          <w:i w:val="1"/>
          <w:iCs w:val="1"/>
          <w:color w:val="auto"/>
        </w:rPr>
        <w:t>If our product candidates do not achieve broad market acceptance, the revenues that we generate from their sales will be limited.</w:t>
      </w:r>
    </w:p>
    <w:p>
      <w:pPr>
        <w:spacing w:after="0" w:line="143"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Until recently, with the closing of the Proleukin® acquisition in May 2023, we had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51"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46" w:lineRule="exact"/>
        <w:rPr>
          <w:sz w:val="20"/>
          <w:szCs w:val="20"/>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clinical indications for which the products are approved and the approved claims that we may make for the products;</w:t>
      </w:r>
    </w:p>
    <w:p>
      <w:pPr>
        <w:spacing w:after="0" w:line="20" w:lineRule="exact"/>
        <w:rPr>
          <w:rFonts w:ascii="Arial" w:cs="Arial" w:eastAsia="Arial" w:hAnsi="Arial"/>
          <w:sz w:val="17"/>
          <w:szCs w:val="17"/>
          <w:color w:val="auto"/>
        </w:rPr>
      </w:pPr>
    </w:p>
    <w:p>
      <w:pPr>
        <w:ind w:left="820" w:right="64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warnings contained in the approved product’s FDA-required labeling, including potential limitations or warnings for such products that may be more restrictive than other competitive products;</w:t>
      </w: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relative difficulty of administration of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9"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9" w:lineRule="exact"/>
        <w:rPr>
          <w:rFonts w:ascii="Arial" w:cs="Arial" w:eastAsia="Arial" w:hAnsi="Arial"/>
          <w:sz w:val="18"/>
          <w:szCs w:val="18"/>
          <w:color w:val="auto"/>
        </w:rPr>
      </w:pPr>
    </w:p>
    <w:p>
      <w:pPr>
        <w:ind w:left="820" w:right="24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ind w:left="82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mandatory risk evaluation and mitigation strategy or voluntary risk management plan;</w:t>
      </w: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offer such product candidates for sale at competitive prices;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198"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enactment of the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54"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127"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proprietary branded product names, and any failure or delay associated with such approval may adversely affect our business.</w:t>
      </w:r>
    </w:p>
    <w:p>
      <w:pPr>
        <w:spacing w:after="0" w:line="143"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proprietary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26"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30"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We maintain a specialized information technology system for tracking chain of custody and chain of identity for TIL therapy patients. Like other autologous cell therapies, this is extremely important for patient safety and is a requirement outlined in our BLA submission. This requires us to store and maintain patient specific heath information. The risks associated with storing patient health and personal data may increase cyber threats and regulatory accountability and scrutiny. Although we have industry-standard secure systems and maintain privacy controls, there is a possibility that incidents compromising this information can occur. In addition to the regulatory and civil litigation risks, failure to maintain this data correctly could result in loss of patients or our ability to deliver patient care.</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dependent on information technology, systems, infrastructure and data.</w:t>
      </w:r>
    </w:p>
    <w:p>
      <w:pPr>
        <w:spacing w:after="0" w:line="198" w:lineRule="exact"/>
        <w:rPr>
          <w:sz w:val="20"/>
          <w:szCs w:val="20"/>
          <w:color w:val="auto"/>
        </w:rPr>
      </w:pPr>
    </w:p>
    <w:p>
      <w:pPr>
        <w:ind w:right="120" w:firstLine="486"/>
        <w:spacing w:after="0" w:line="268" w:lineRule="auto"/>
        <w:rPr>
          <w:sz w:val="20"/>
          <w:szCs w:val="20"/>
          <w:color w:val="auto"/>
        </w:rPr>
      </w:pPr>
      <w:r>
        <w:rPr>
          <w:rFonts w:ascii="Arial" w:cs="Arial" w:eastAsia="Arial" w:hAnsi="Arial"/>
          <w:sz w:val="17"/>
          <w:szCs w:val="17"/>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cybersecurity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The Russia-Ukraine conflict may also increase cybersecurity risks on a global basis. Cyberattacks could include the deployment of harmful malware, denial-of-service, ransomware, social engineering and other means to affect service reliability and threaten data confidentiality, privacy,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cybersecurity related breaches.</w:t>
      </w:r>
    </w:p>
    <w:p>
      <w:pPr>
        <w:spacing w:after="0" w:line="144" w:lineRule="exact"/>
        <w:rPr>
          <w:sz w:val="20"/>
          <w:szCs w:val="20"/>
          <w:color w:val="auto"/>
        </w:rPr>
      </w:pPr>
    </w:p>
    <w:p>
      <w:pPr>
        <w:ind w:right="100" w:firstLine="492"/>
        <w:spacing w:after="0" w:line="273" w:lineRule="auto"/>
        <w:rPr>
          <w:sz w:val="20"/>
          <w:szCs w:val="20"/>
          <w:color w:val="auto"/>
        </w:rPr>
      </w:pPr>
      <w:r>
        <w:rPr>
          <w:rFonts w:ascii="Arial" w:cs="Arial" w:eastAsia="Arial" w:hAnsi="Arial"/>
          <w:sz w:val="17"/>
          <w:szCs w:val="17"/>
          <w:b w:val="1"/>
          <w:bCs w:val="1"/>
          <w:i w:val="1"/>
          <w:iCs w:val="1"/>
          <w:color w:val="auto"/>
        </w:rPr>
        <w:t>Our business could be adversely affected by the effects of health epidemics, including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at our manufacturing facility in Philadelphia, Pennsylvania, which have previously been subject to state executive orders and shelter-in-place orders, and at our clinical trial sites, as well as the business or operations of our other manufacturers, CROs or other third parties with whom we conduct business.</w:t>
      </w:r>
    </w:p>
    <w:p>
      <w:pPr>
        <w:spacing w:after="0" w:line="137"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Our business could be adversely affected by health epidemics in regions where we have offices, manufacturing facilities, concentrations of clinical trial sites or other business operations, and could cause significant disruption in the operations of clinical trial sites, third party manufacturers and CROs upon whom we rely. For example, starting in December 2019, a novel strain of coronavirus, COVID-19, was reported to have surfaced in Wuhan, China and has spread to multiple countries, including the U.S. and several European countries. In March 2020, the World Health Organization declared COVID-19 a global pandemic and the U.S. declared the COVID-19 pandemic a national emergency. Similarly, during that time, the State of California declared a state of emergency related to the spread of the COVID-19 pandemic and the health officers of six San Francisco Bay Area counties, including San Mateo County where our headquarters in San Carlos is located, issued shelter-in-place orders.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Throughout 2020 and 2021, similar executive orders were issued by state and local governments, and states of emergency had been declared at the state and local level in most jurisdictions throughout the U.S. As recently as April 2022, ports and airports in Shanghai, China have been closed due to another outbreak of COVID-19, resulting in a lockdown of the city and disruption to export and import activities. In the U.S., many of these executive orders have been rescinded, however, the Company remains vigilant and continues to monitor the ongoing COVID-19 pandemic closely to determine if additional actions are required.</w:t>
      </w:r>
    </w:p>
    <w:p>
      <w:pPr>
        <w:spacing w:after="0" w:line="153" w:lineRule="exact"/>
        <w:rPr>
          <w:sz w:val="20"/>
          <w:szCs w:val="20"/>
          <w:color w:val="auto"/>
        </w:rPr>
      </w:pPr>
    </w:p>
    <w:p>
      <w:pPr>
        <w:ind w:right="20" w:firstLine="492"/>
        <w:spacing w:after="0" w:line="291" w:lineRule="auto"/>
        <w:rPr>
          <w:sz w:val="20"/>
          <w:szCs w:val="20"/>
          <w:color w:val="auto"/>
        </w:rPr>
      </w:pPr>
      <w:r>
        <w:rPr>
          <w:rFonts w:ascii="Arial" w:cs="Arial" w:eastAsia="Arial" w:hAnsi="Arial"/>
          <w:sz w:val="16"/>
          <w:szCs w:val="16"/>
          <w:color w:val="auto"/>
        </w:rPr>
        <w:t>Quarantines, shelter-in-place and similar government orders, or the perception that such orders, shutdowns or other restrictions on the conduct of business operations could occur, related to the COVID-19 pandemic or other infectious diseases could impact personnel at third-party manufacturing facilities in the U.S. and other countries, or the availability or cost of materials, which would disrupt our supply chain. In addition, our clinical trials may be affected by the COVID-19 pandemic. Clinical site initiation, patient enrollment and patient monitoring may be delayed due to prioritization of hospital resources toward the COVID-19 pandemic. Some sites may no longer be available to see patients for clinical trials. Some patients may not be able to comply with clinical trial protocols if quarantines impede patient movement or interrupt healthcare services. Patients may also miss follow-up visits after receiving our</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therapies during our clinical trials, which may or may not be rectified by future patient visits and which may result in the exclusion of data from such patients from the clinical trial data. Similarly, our ability to recruit and retain patients and principal investigators and site staff who, as healthcare providers, may have heightened exposure to the virus that causes the COVID-19 pandemic and adversely impact our clinical trial operations. The COVID-19 pandemic may also affect our ability to recruit treatment-naïve patients into our clinical trials, because those patients may be more likely to seek standard of care therapies available at local treatment centers rather than enroll in a clinical trial at a larger hospital.</w:t>
      </w:r>
    </w:p>
    <w:p>
      <w:pPr>
        <w:spacing w:after="0" w:line="152" w:lineRule="exact"/>
        <w:rPr>
          <w:sz w:val="20"/>
          <w:szCs w:val="20"/>
          <w:color w:val="auto"/>
        </w:rPr>
      </w:pPr>
    </w:p>
    <w:p>
      <w:pPr>
        <w:ind w:right="120" w:firstLine="492"/>
        <w:spacing w:after="0" w:line="288" w:lineRule="auto"/>
        <w:rPr>
          <w:sz w:val="20"/>
          <w:szCs w:val="20"/>
          <w:color w:val="auto"/>
        </w:rPr>
      </w:pPr>
      <w:r>
        <w:rPr>
          <w:rFonts w:ascii="Arial" w:cs="Arial" w:eastAsia="Arial" w:hAnsi="Arial"/>
          <w:sz w:val="16"/>
          <w:szCs w:val="16"/>
          <w:color w:val="auto"/>
        </w:rPr>
        <w:t>We continue to monitor the impact, if any, of the COVID-19 pandemic on our current and future operations, including our regulatory filing timelines and strategy as well as our preparation for commercial launch. Despite the wide-spread availability of COVID-19 vaccines, it is unclear the extent to which the COVID-19 pandemic (including future variants) will impact our business, results of operations, financial condition and our future strategic plans as future developments of the outbreak are highly uncertain and cannot be predicted. New information is constantly emerging concerning the severity of COVID-19 and the actions to contain COVID-19 or treat its impact, among others. As the COVID-19 pandemic continues for an extended period of time, any restrictions regarding travel and face to face interactions, or constraints on resources, either by us or our contractors, including our CMOs, our regulatory strategy or commercial launch preparations may be negatively impacted. The COVID-19 pandemic may also impact the FDA and their ability to timely review our regulatory filings and conduct the pre-approval inspections necessary for ultimate approval of BLA. We cannot predict at this time whether and how FDA operations may be impacted at relevant times for our planned regulatory submissions.</w:t>
      </w:r>
    </w:p>
    <w:p>
      <w:pPr>
        <w:spacing w:after="0" w:line="141"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30" w:lineRule="exact"/>
        <w:rPr>
          <w:sz w:val="20"/>
          <w:szCs w:val="20"/>
          <w:color w:val="auto"/>
        </w:rPr>
      </w:pPr>
    </w:p>
    <w:p>
      <w:pPr>
        <w:ind w:right="60" w:firstLine="492"/>
        <w:spacing w:after="0" w:line="254" w:lineRule="auto"/>
        <w:rPr>
          <w:sz w:val="20"/>
          <w:szCs w:val="20"/>
          <w:color w:val="auto"/>
        </w:rPr>
      </w:pPr>
      <w:r>
        <w:rPr>
          <w:rFonts w:ascii="Arial" w:cs="Arial" w:eastAsia="Arial" w:hAnsi="Arial"/>
          <w:sz w:val="18"/>
          <w:szCs w:val="18"/>
          <w:color w:val="auto"/>
        </w:rPr>
        <w:t>European Union, or EU, member states and other foreign jurisdictions, including Switzerland, the United Kingdom and Canada,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w:t>
      </w:r>
    </w:p>
    <w:p>
      <w:pPr>
        <w:spacing w:after="0" w:line="154"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color w:val="auto"/>
        </w:rPr>
        <w:t>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The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If we fail to comply with the data protection laws in any EU member country or other jurisdiction, the data protection authority of such country or other jurisdiction may, in addition to fines, impose sanctions on us, which may include a prohibition that prevents us from transferring and/or processing personal data of data subjects from such country or other jurisdiction for a duration determined by the sanctioning authority. Our inability to transfer and/or process personal data of data subjects could preclude us from conducting clinical trials of our products in the EU member country or other jurisdiction for the duration of the sanction. Our inability to conduct clinical trials in the EU member country or other jurisdiction for the duration of the sanction may delay and increase the cost of development of our products, with a material adverse effect on our business. In this regard, we expect that there will continue to be new proposed laws, regulations and industry standards relating to privacy and data protection in the U.S., the EU and other jurisdictions, and we cannot determine the impact such future laws, regulations and standards may have on our business.</w:t>
      </w:r>
    </w:p>
    <w:p>
      <w:pPr>
        <w:spacing w:after="0" w:line="149"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30"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There are numerous other laws and legislative and regulatory initiatives at the federal and state levels addressing privacy and security concerns, and some state privacy laws apply more broadly than the Health Insurance Portability and Accountability Act, or HIPAA, and associated regulations. For example, California recently enacted legislation, the California Consumer Privacy Act, or CCPA, which went into effect January 1, 2020, and was recently amended and expanded by the California Privacy Rights Act, or CPRA, which will take effect on January 1, 2023. The CCPA and CPRA, among other things, create new data privacy obligations for</w:t>
      </w:r>
    </w:p>
    <w:p>
      <w:pPr>
        <w:sectPr>
          <w:pgSz w:w="11900" w:h="16838" w:orient="portrait"/>
          <w:cols w:equalWidth="0" w:num="1">
            <w:col w:w="9900"/>
          </w:cols>
          <w:pgMar w:left="980" w:top="665" w:right="101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covered companies and provides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w:t>
      </w:r>
    </w:p>
    <w:p>
      <w:pPr>
        <w:spacing w:after="0" w:line="143"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Although the law includes limited exceptions, including for certain information collected as part of clinical trials as specified in the law, it may regulate or impact our processing of personal information depending on the context.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will need to grow the size and capabilities of our organization, and we may experience difficulties in managing this growth.</w:t>
      </w:r>
    </w:p>
    <w:p>
      <w:pPr>
        <w:spacing w:after="0" w:line="219" w:lineRule="exact"/>
        <w:rPr>
          <w:sz w:val="20"/>
          <w:szCs w:val="20"/>
          <w:color w:val="auto"/>
        </w:rPr>
      </w:pPr>
    </w:p>
    <w:p>
      <w:pPr>
        <w:ind w:right="100" w:firstLine="492"/>
        <w:spacing w:after="0" w:line="255" w:lineRule="auto"/>
        <w:rPr>
          <w:sz w:val="20"/>
          <w:szCs w:val="20"/>
          <w:color w:val="auto"/>
        </w:rPr>
      </w:pPr>
      <w:r>
        <w:rPr>
          <w:rFonts w:ascii="Arial" w:cs="Arial" w:eastAsia="Arial" w:hAnsi="Arial"/>
          <w:sz w:val="18"/>
          <w:szCs w:val="18"/>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w:t>
      </w:r>
    </w:p>
    <w:p>
      <w:pPr>
        <w:spacing w:after="0" w:line="152" w:lineRule="exact"/>
        <w:rPr>
          <w:sz w:val="20"/>
          <w:szCs w:val="20"/>
          <w:color w:val="auto"/>
        </w:rPr>
      </w:pPr>
    </w:p>
    <w:p>
      <w:pPr>
        <w:ind w:right="320" w:firstLine="492"/>
        <w:spacing w:after="0" w:line="259" w:lineRule="auto"/>
        <w:rPr>
          <w:sz w:val="20"/>
          <w:szCs w:val="20"/>
          <w:color w:val="auto"/>
        </w:rPr>
      </w:pPr>
      <w:r>
        <w:rPr>
          <w:rFonts w:ascii="Arial" w:cs="Arial" w:eastAsia="Arial" w:hAnsi="Arial"/>
          <w:sz w:val="18"/>
          <w:szCs w:val="18"/>
          <w:color w:val="auto"/>
        </w:rPr>
        <w:t>For example, we continue to recruit a new Chief Executive Officer.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60" w:lineRule="exact"/>
        <w:rPr>
          <w:sz w:val="20"/>
          <w:szCs w:val="20"/>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 w:lineRule="exact"/>
        <w:rPr>
          <w:rFonts w:ascii="Arial" w:cs="Arial" w:eastAsia="Arial" w:hAnsi="Arial"/>
          <w:sz w:val="18"/>
          <w:szCs w:val="18"/>
          <w:color w:val="auto"/>
        </w:rPr>
      </w:pPr>
    </w:p>
    <w:p>
      <w:pPr>
        <w:ind w:left="820" w:right="660" w:hanging="320"/>
        <w:spacing w:after="0" w:line="265" w:lineRule="auto"/>
        <w:tabs>
          <w:tab w:leader="none" w:pos="814"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product candidates, while complying with our contractual obligations to contractors and other third parties; and</w:t>
      </w: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70" w:lineRule="exact"/>
        <w:rPr>
          <w:sz w:val="20"/>
          <w:szCs w:val="20"/>
          <w:color w:val="auto"/>
        </w:rPr>
      </w:pPr>
    </w:p>
    <w:p>
      <w:pPr>
        <w:ind w:right="40" w:firstLine="492"/>
        <w:spacing w:after="0" w:line="286" w:lineRule="auto"/>
        <w:rPr>
          <w:sz w:val="20"/>
          <w:szCs w:val="20"/>
          <w:color w:val="auto"/>
        </w:rPr>
      </w:pPr>
      <w:r>
        <w:rPr>
          <w:rFonts w:ascii="Arial" w:cs="Arial" w:eastAsia="Arial" w:hAnsi="Arial"/>
          <w:sz w:val="17"/>
          <w:szCs w:val="17"/>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25"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65" w:lineRule="exact"/>
        <w:rPr>
          <w:sz w:val="20"/>
          <w:szCs w:val="20"/>
          <w:color w:val="auto"/>
        </w:rPr>
      </w:pPr>
    </w:p>
    <w:p>
      <w:pPr>
        <w:ind w:right="240" w:firstLine="492"/>
        <w:spacing w:after="0" w:line="311" w:lineRule="auto"/>
        <w:rPr>
          <w:sz w:val="20"/>
          <w:szCs w:val="20"/>
          <w:color w:val="auto"/>
        </w:rPr>
      </w:pPr>
      <w:r>
        <w:rPr>
          <w:rFonts w:ascii="Arial" w:cs="Arial" w:eastAsia="Arial" w:hAnsi="Arial"/>
          <w:sz w:val="16"/>
          <w:szCs w:val="16"/>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08" w:lineRule="exact"/>
        <w:rPr>
          <w:sz w:val="20"/>
          <w:szCs w:val="20"/>
          <w:color w:val="auto"/>
        </w:rPr>
      </w:pPr>
    </w:p>
    <w:p>
      <w:pPr>
        <w:ind w:right="920" w:firstLine="492"/>
        <w:spacing w:after="0" w:line="308" w:lineRule="auto"/>
        <w:rPr>
          <w:sz w:val="20"/>
          <w:szCs w:val="20"/>
          <w:color w:val="auto"/>
        </w:rPr>
      </w:pPr>
      <w:r>
        <w:rPr>
          <w:rFonts w:ascii="Arial" w:cs="Arial" w:eastAsia="Arial" w:hAnsi="Arial"/>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06"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57" w:lineRule="exact"/>
        <w:rPr>
          <w:sz w:val="20"/>
          <w:szCs w:val="20"/>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23" w:lineRule="exact"/>
        <w:rPr>
          <w:rFonts w:ascii="Arial" w:cs="Arial" w:eastAsia="Arial" w:hAnsi="Arial"/>
          <w:sz w:val="18"/>
          <w:szCs w:val="18"/>
          <w:color w:val="auto"/>
        </w:rPr>
      </w:pPr>
    </w:p>
    <w:p>
      <w:pPr>
        <w:ind w:left="820" w:right="560" w:hanging="320"/>
        <w:spacing w:after="0" w:line="250" w:lineRule="auto"/>
        <w:tabs>
          <w:tab w:leader="none" w:pos="8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or product, including difficulties associated with integrating new personnel;</w:t>
      </w:r>
    </w:p>
    <w:p>
      <w:pPr>
        <w:ind w:left="820" w:right="220" w:hanging="320"/>
        <w:spacing w:after="0" w:line="250" w:lineRule="auto"/>
        <w:tabs>
          <w:tab w:leader="none" w:pos="8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ind w:left="820" w:hanging="320"/>
        <w:spacing w:after="0"/>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retention of key employees, the loss of key personnel, and uncertainties in our ability to maintain key business relationships;</w:t>
      </w:r>
    </w:p>
    <w:p>
      <w:pPr>
        <w:spacing w:after="0" w:line="32" w:lineRule="exact"/>
        <w:rPr>
          <w:rFonts w:ascii="Arial" w:cs="Arial" w:eastAsia="Arial" w:hAnsi="Arial"/>
          <w:sz w:val="16"/>
          <w:szCs w:val="16"/>
          <w:color w:val="auto"/>
        </w:rPr>
      </w:pPr>
    </w:p>
    <w:p>
      <w:pPr>
        <w:ind w:left="820" w:right="340" w:hanging="320"/>
        <w:spacing w:after="0" w:line="250" w:lineRule="auto"/>
        <w:tabs>
          <w:tab w:leader="none" w:pos="8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ind w:left="820" w:right="220" w:hanging="320"/>
        <w:spacing w:after="0" w:line="260" w:lineRule="auto"/>
        <w:tabs>
          <w:tab w:leader="none" w:pos="8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45"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 In addition, even if we are able to pursue certain strategic acquisition opportunities, we cannot guarantee that such acquisitions may completed in a timely manner, if at all, or that all conditions necessary to consummate such transactions will be satisfied, including the receipt of all required regulatory approvals.</w:t>
      </w:r>
    </w:p>
    <w:p>
      <w:pPr>
        <w:spacing w:after="0" w:line="141"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b w:val="1"/>
          <w:bCs w:val="1"/>
          <w:i w:val="1"/>
          <w:iCs w:val="1"/>
          <w:color w:val="auto"/>
        </w:rPr>
        <w:t>We are currently operating in a period of economic uncertainty and capital markets disruption, which has been significantly impacted by geopolitical instability, ongoing military conflicts between Russia and Ukraine and Israel and Hamas and record inflation. Our business, financial condition and results of operations could be materially adversely affected by any negative impact on the global economy and capital markets resulting from the conflicts in Ukraine and the Middle East, geopolitical tensions or record inflation.</w:t>
      </w:r>
    </w:p>
    <w:p>
      <w:pPr>
        <w:spacing w:after="0" w:line="147"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which has led to record inflation globally. We are continuing to monitor inflation, the situation in Ukraine and global capital markets and assessing the potential impacts on our business.</w:t>
      </w:r>
    </w:p>
    <w:p>
      <w:pPr>
        <w:spacing w:after="0" w:line="152"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The global economy has been, and may continue to be, negatively impacted by Russia’s invasion of Ukraine. As a result of Russia’s invasion of Ukraine, the U.S., the European Union, the United Kingdom, and other G7 countries, among other countries, have imposed substantial financial and economic sanctions on certain industry sectors and parties in Russia. Broad restrictions on exports to Russia have also been imposed. These measures include: (i) comprehensive financial sanctions against major Russian banks; (ii) additional designations of Russian individuals with significant business interests and government connections; (iii) designations of individuals and entities involved in Russian military activities; and (iv) enhanced export controls and trade sanctions limiting Russia’s ability to import various goods. Russian military actions and the resulting sanctions could continue to adversely affect the global economy and financial markets and lead to instability and lack of liquidity in capital markets, potentially making it more difficult for us to obtain additional funds.</w:t>
      </w:r>
    </w:p>
    <w:p>
      <w:pPr>
        <w:spacing w:after="0" w:line="154"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In addition, on October 7, 2023, Hamas militants and members of other terrorist organizations infiltrated Israel’s southern border from the Gaza Strip and conducted a series of terror attacks on civilian and military targets. Thereafter, Hamas launched extensive rocket attacks on Israeli population and industrial centers located along the Israeli border with the Gaza Strip. Shortly following the attack, Israel’s security cabinet declared war against Hamas and launched an aerial bombardment of various targets within the Gaza Strip. The Israeli government subsequently called for the evacuation of over one million residents of the northern part of the Gaza Strip and began preparation for a potential ground invasion of the Gaza Strip. It is possible that other terrorist organizations will join the hostilities as well, including Hezbollah in Lebanon, and Palestinian military organizations in the West Bank, resulting in a widening of the conflict. The intensity and duration of Israel’s current war against Hamas is difficult to predict as are such war’s economic implications on the global economy.</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There are also current geopolitical tensions with China. Recently, the Biden administration has signed multiple executive orders regarding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Any additional executive orders or potential sanctions with China could materially impact our current manufacturing partners.</w:t>
      </w:r>
    </w:p>
    <w:p>
      <w:pPr>
        <w:spacing w:after="0" w:line="14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Although our business has not been materially impacted by the ongoing military conflicts between Russia and Ukraine or Israel and Hamas, geopolitical tensions, or record inflation to date, it is impossible to predict the extent to which our operations, or those of our suppliers and manufacturers, will be impacted in the short and long term, or the ways in which the conflict may impact our business. The extent and duration of the conflicts in Ukraine and the Middle East, geopolitical tensions, record inflation, sanctions and resulting market disruptions are impossible to predict, but could be substantial. Any such disruptions may also magnify the impact of other risks described herein.</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are exposed to fluctuations in currency exchange rates that could negatively impact our financial results and cash flows.*</w:t>
      </w:r>
    </w:p>
    <w:p>
      <w:pPr>
        <w:spacing w:after="0" w:line="219"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With the acquisition of Proleukin® in May 2023, a portion of our business will be conducted outside the United States. Furthermore, we are required to make certain future payments under the Proleukin® acquisition agreement that are denominated in non-US dollars, including a milestone payment to Clinigen upon the approval of lifileucel in melanoma as well as future deferred consideration and earnout payments based on Proleukin® sales. As such, we face exposure to adverse movements in foreign currency exchange rates, including movements in foreign currency for the future milestone payment. These exposures may change over time as business practices evolve, and they could have a material adverse impact on our results of operations, financial position and cash flows. Our primary exposure to movements in foreign currency exchange rates currently relates to non-U.S. dollar denominated sales in Europe, the United Kingdom and Asia, and non-U.S. dollar denominated operating expenses and certain assets and liabilities in our operating subsidiaries.</w:t>
      </w:r>
    </w:p>
    <w:p>
      <w:pPr>
        <w:spacing w:after="0" w:line="156" w:lineRule="exact"/>
        <w:rPr>
          <w:sz w:val="20"/>
          <w:szCs w:val="20"/>
          <w:color w:val="auto"/>
        </w:rPr>
      </w:pPr>
    </w:p>
    <w:p>
      <w:pPr>
        <w:ind w:right="80" w:firstLine="486"/>
        <w:spacing w:after="0" w:line="327" w:lineRule="auto"/>
        <w:rPr>
          <w:sz w:val="20"/>
          <w:szCs w:val="20"/>
          <w:color w:val="auto"/>
        </w:rPr>
      </w:pPr>
      <w:r>
        <w:rPr>
          <w:rFonts w:ascii="Arial" w:cs="Arial" w:eastAsia="Arial" w:hAnsi="Arial"/>
          <w:sz w:val="15"/>
          <w:szCs w:val="15"/>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11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51"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31"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16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Climate change or legal, regulatory or market measures to address climate change may negatively affect our business, results of operations, cash flows and prospects.</w:t>
      </w:r>
    </w:p>
    <w:p>
      <w:pPr>
        <w:spacing w:after="0" w:line="13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social and human effects (such as population dislocations and harm to health and well-being) associated with climate change. These risks can be either acute (short-term) or chronic (long-term).</w:t>
      </w:r>
    </w:p>
    <w:p>
      <w:pPr>
        <w:spacing w:after="0" w:line="13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supply chains, which may result in increased costs.</w:t>
      </w:r>
    </w:p>
    <w:p>
      <w:pPr>
        <w:spacing w:after="0" w:line="16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Environmental, social and governance matters may impact our business and reputation.</w:t>
      </w:r>
    </w:p>
    <w:p>
      <w:pPr>
        <w:spacing w:after="0" w:line="18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our ESG performance, we risk negative stockholder reaction, including from proxy advisory services, as well as damage to our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our investors, customers and other stakeholders, we could experience reduced demand for our products, loss of customers, and other negative impacts on our business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89" w:lineRule="exact"/>
        <w:rPr>
          <w:sz w:val="20"/>
          <w:szCs w:val="20"/>
          <w:color w:val="auto"/>
        </w:rPr>
      </w:pPr>
    </w:p>
    <w:p>
      <w:pPr>
        <w:ind w:right="60" w:firstLine="492"/>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30"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We completed our first submission of a rolling BLA to the FDA for lifileucel in March 2023. The FDA accepted our BLA for lifileucel for patients with advanced melanoma in May 2023 and granted lifileucel Priority Review. The FDA originally assigned November 25, 2023 as the target action date for a decision under PDUFA, however, the FDA recently reassigned February 24, 2024 as the revised target action date. A BLA must include extensive preclinical and clinical data and supporting information to establish the product candidate’s safety and effectiveness for each desired indication. Our BLA submission and current expected timelines for our lifileucel product candidate for the treatment of metastatic melanoma are based on our interpretation of communications received from the FDA to date regarding this product candidate and are subject to revision if additional communications are received from the FDA. As such, we may continue to experience delays with FDA approval of our BLA.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have announced our intention to conduct registrational trials for both advanced NSCLC and cervical cancer with our LN-145 and lifileucel products, respectively. These trials, which we refer to as IOV-LUN-202 Cohorts 1 and 2 in the case of advanced NSCLC and C-145-04 Cohort 2 in the case of cervical cancer, are currently underway and have been the subject of formal FDA meetings and communications. Our current beliefs regarding the registration pathway for the lifileucel and LN-145 product candidates in these indications are based on our interpretation of communications with the FDA to date and our efforts to address such communications, which may be incorrect. Our statements that the clinical trial may support a BLA submission also assume that our as-adjusted clinical trial has addressed the additional requests and feedback by the FDA. Further, enrollment in these clinical trials may need to be further adjusted based on future feedback from the FDA, changes in the competitive environment, or other regulatory agency input. Protocol revisions may have an adverse effect on the results reported to date. Changes to implement an independent review committee and assay validation and implementation, and the data within these clinical trials may not ultimately be supportive of product approval, all of which could result in significant delays to our currently anticipated timeline for development and approval of lifileucel and LN-145 product candidates or prevent their approval.</w:t>
      </w:r>
    </w:p>
    <w:p>
      <w:pPr>
        <w:spacing w:after="0" w:line="138"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A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We may also not be able to successfully utilize the BTD or RMAT designations we have received for metastatic cervical cancer and advanced melanoma, respectively, to successfully complete the development and commercialization of lifileucel. We may not be able to reach agreement with the FDA on an interpretation of outcomes from our meetings, including meetings we have held with the FDA in relation to our C-145-04 and C-144-01 clinical trials and future meetings. For example, on October 5, 2020, we reported the submission of additional potency assay data to the FDA, and at the same time, we also announced that we had reached agreement with the FDA on the minimum duration of follow up for Cohort 4 to support our BLA submission for lifileucel in the treatment of metastatic melanoma. In May 2021, we announced that we had received regulatory feedback from the FDA regarding our potency assays for lifileucel. Following the FDA feedback, we continued our work developing and validating our potency assays and engaged in discussions with the FDA during the second half of 2021 and the first quarter of 2022. Based on the FDA feedback we received from these discussions, we held a pre-BLA meeting in July 2022, and initiated a rolling BLA submission for lifileucel in metastatic melanoma in August 2022, which we completed in March 2023. In addition, as previously disclosed, Iovance began startup activities for a confirmatory Phase 3 clinical trial, TILVANCE-301, of lifileucel in combination with pembrolizumab in frontline metastatic melanoma in late 2022. The FDA previously granted Fast Track Designation for lifileucel in combination with pembrolizumab for the treatment of immune checkpoint inhibitor naïve metastatic melanoma. However, the regulatory approval pathway for our product candidates may be uncertain, complex, expensive and lengthy, and approval may not be obtained.</w:t>
      </w:r>
    </w:p>
    <w:p>
      <w:pPr>
        <w:spacing w:after="0" w:line="147" w:lineRule="exact"/>
        <w:rPr>
          <w:sz w:val="20"/>
          <w:szCs w:val="20"/>
          <w:color w:val="auto"/>
        </w:rPr>
      </w:pPr>
    </w:p>
    <w:p>
      <w:pPr>
        <w:ind w:right="380" w:firstLine="492"/>
        <w:spacing w:after="0" w:line="277" w:lineRule="auto"/>
        <w:rPr>
          <w:sz w:val="20"/>
          <w:szCs w:val="20"/>
          <w:color w:val="auto"/>
        </w:rPr>
      </w:pPr>
      <w:r>
        <w:rPr>
          <w:rFonts w:ascii="Arial" w:cs="Arial" w:eastAsia="Arial" w:hAnsi="Arial"/>
          <w:sz w:val="18"/>
          <w:szCs w:val="18"/>
          <w:color w:val="auto"/>
        </w:rPr>
        <w:t>We may also experience delays, including delays arising from the need to increase enrollment, in completing planned clinical trials for a variety of reasons, including delays related to:</w:t>
      </w:r>
    </w:p>
    <w:p>
      <w:pPr>
        <w:spacing w:after="0" w:line="130" w:lineRule="exact"/>
        <w:rPr>
          <w:sz w:val="20"/>
          <w:szCs w:val="20"/>
          <w:color w:val="auto"/>
        </w:rPr>
      </w:pPr>
    </w:p>
    <w:p>
      <w:pPr>
        <w:ind w:left="820" w:hanging="32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clinical trials;</w:t>
      </w:r>
    </w:p>
    <w:p>
      <w:pPr>
        <w:spacing w:after="0" w:line="23" w:lineRule="exact"/>
        <w:rPr>
          <w:rFonts w:ascii="Arial" w:cs="Arial" w:eastAsia="Arial" w:hAnsi="Arial"/>
          <w:sz w:val="18"/>
          <w:szCs w:val="18"/>
          <w:color w:val="auto"/>
        </w:rPr>
      </w:pPr>
    </w:p>
    <w:p>
      <w:pPr>
        <w:ind w:left="820" w:right="320" w:hanging="320"/>
        <w:spacing w:after="0" w:line="265" w:lineRule="auto"/>
        <w:tabs>
          <w:tab w:leader="none" w:pos="814"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reaching agreement on acceptable contract terms with prospective CROs and clinical trial sites, the terms of which can be subject to extensive negotiation and may vary significantly among different CROs and clinical trial sites;</w:t>
      </w:r>
    </w:p>
    <w:p>
      <w:pPr>
        <w:ind w:left="820" w:hanging="32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IRB, or central IRB;</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9" w:lineRule="exact"/>
        <w:rPr>
          <w:rFonts w:ascii="Arial" w:cs="Arial" w:eastAsia="Arial" w:hAnsi="Arial"/>
          <w:sz w:val="18"/>
          <w:szCs w:val="18"/>
          <w:color w:val="auto"/>
        </w:rPr>
      </w:pPr>
    </w:p>
    <w:p>
      <w:pPr>
        <w:ind w:left="820" w:right="180" w:hanging="320"/>
        <w:spacing w:after="0" w:line="250" w:lineRule="auto"/>
        <w:tabs>
          <w:tab w:leader="none" w:pos="8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subject-by-subject basis for use in clinical trials; or</w:t>
      </w:r>
    </w:p>
    <w:p>
      <w:pPr>
        <w:ind w:left="820" w:right="120" w:hanging="320"/>
        <w:spacing w:after="0" w:line="260" w:lineRule="auto"/>
        <w:tabs>
          <w:tab w:leader="none" w:pos="8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timely implementing or validating changes to our manufacturing or quality control processes and methods needed to address FDA feedback.</w:t>
      </w:r>
    </w:p>
    <w:p>
      <w:pPr>
        <w:spacing w:after="0" w:line="145" w:lineRule="exact"/>
        <w:rPr>
          <w:sz w:val="20"/>
          <w:szCs w:val="20"/>
          <w:color w:val="auto"/>
        </w:rPr>
      </w:pPr>
    </w:p>
    <w:p>
      <w:pPr>
        <w:ind w:right="20" w:firstLine="492"/>
        <w:spacing w:after="0" w:line="291" w:lineRule="auto"/>
        <w:rPr>
          <w:sz w:val="20"/>
          <w:szCs w:val="20"/>
          <w:color w:val="auto"/>
        </w:rPr>
      </w:pPr>
      <w:r>
        <w:rPr>
          <w:rFonts w:ascii="Arial" w:cs="Arial" w:eastAsia="Arial" w:hAnsi="Arial"/>
          <w:sz w:val="16"/>
          <w:szCs w:val="16"/>
          <w:color w:val="auto"/>
        </w:rPr>
        <w:t>We could also encounter delays if there are unresolved ethical issues associated with physicians enrolling patients in clinical trials of our product candidates in lieu of prescribing existing treatments that have established safety and efficacy profiles. Further, a clinical trial may be suspended or terminated by us, the IRBs for the institutions in which such clinical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clinical trial site by the FDA or other regulatory authorities resulting in the imposition of a clinical hold, including as a result of genetic editing methods, unforeseen safety issues or adverse side effects, failure to demonstrate a benefit from</w:t>
      </w:r>
    </w:p>
    <w:p>
      <w:pPr>
        <w:sectPr>
          <w:pgSz w:w="11900" w:h="16838" w:orient="portrait"/>
          <w:cols w:equalWidth="0" w:num="1">
            <w:col w:w="9900"/>
          </w:cols>
          <w:pgMar w:left="980" w:top="665" w:right="101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may be unable to successfully or sufficiently expand our manufacturing capacity to meet demand for our products.*</w:t>
      </w:r>
    </w:p>
    <w:p>
      <w:pPr>
        <w:spacing w:after="0" w:line="221"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As noted above, we have never manufactured our adoptive cell therapy product candidates on a commercial scale, nor have our partners. If we receive FDA approval of our BLA, we anticipate expanding manufacturing capacity at our iCTC facility and/or at our contract manufacturer, WuXi. Scale-up of manufacturing may require additional validation studies, including capacity demonstration and/or comparability studies, each of which are subject to FDA review, potential inspection, and approval. In addition, any expansion of our manufacturing capability will also require us to invest substantial additional funds to hire and retain the technical personnel who have the necessary manufacturing experience. As a result, we may not be able to successfully or sufficiently increase the manufacturing capacity for our product candidates or modify our manufacturing processes. If we are unable to successfully increase the manufacturing capacity for a product candidate (as a result of lack of approval from, or capacity limitations imposed by, the FDA, or otherwise), the resulting capacity limitations could have a material adverse effect on our results of operations and financial condition. In addition, if we are unable to successfully or sufficiently increase the manufacturing capacity at the iCTC facility to meet demand in a timely or economic manner, or at all, we may be dependent upon the performance and capacity of third-party manufacturers. Accordingly, we face risks of capacity limitations of, difficulties with, increased costs of, and interruptions in performance by third-party manufacturers, the occurrence of which could negatively impact the availability, launch, and/or sales of our products in the future, as well as on our results of operations and financial condition.</w:t>
      </w:r>
    </w:p>
    <w:p>
      <w:pPr>
        <w:spacing w:after="0" w:line="144" w:lineRule="exact"/>
        <w:rPr>
          <w:sz w:val="20"/>
          <w:szCs w:val="20"/>
          <w:color w:val="auto"/>
        </w:rPr>
      </w:pPr>
    </w:p>
    <w:p>
      <w:pPr>
        <w:ind w:right="300" w:firstLine="492"/>
        <w:spacing w:after="0" w:line="308"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06"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In order to market and sell our products outside the U.S., we or our third-party collaborators may be required to obtain or maintain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U.S. on a timely basis, if at all. The FDA or other regulatory agencies may also withdrawal approval for previously approved products.</w:t>
      </w:r>
    </w:p>
    <w:p>
      <w:pPr>
        <w:spacing w:after="0" w:line="157" w:lineRule="exact"/>
        <w:rPr>
          <w:sz w:val="20"/>
          <w:szCs w:val="20"/>
          <w:color w:val="auto"/>
        </w:rPr>
      </w:pPr>
    </w:p>
    <w:p>
      <w:pPr>
        <w:ind w:right="100" w:firstLine="492"/>
        <w:spacing w:after="0" w:line="273" w:lineRule="auto"/>
        <w:rPr>
          <w:sz w:val="20"/>
          <w:szCs w:val="20"/>
          <w:color w:val="auto"/>
        </w:rPr>
      </w:pPr>
      <w:r>
        <w:rPr>
          <w:rFonts w:ascii="Arial" w:cs="Arial" w:eastAsia="Arial" w:hAnsi="Arial"/>
          <w:sz w:val="17"/>
          <w:szCs w:val="17"/>
          <w:color w:val="auto"/>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37" w:lineRule="exact"/>
        <w:rPr>
          <w:sz w:val="20"/>
          <w:szCs w:val="20"/>
          <w:color w:val="auto"/>
        </w:rPr>
      </w:pPr>
    </w:p>
    <w:p>
      <w:pPr>
        <w:ind w:right="80" w:firstLine="492"/>
        <w:spacing w:after="0" w:line="311" w:lineRule="auto"/>
        <w:rPr>
          <w:sz w:val="20"/>
          <w:szCs w:val="20"/>
          <w:color w:val="auto"/>
        </w:rPr>
      </w:pPr>
      <w:r>
        <w:rPr>
          <w:rFonts w:ascii="Arial" w:cs="Arial" w:eastAsia="Arial" w:hAnsi="Arial"/>
          <w:sz w:val="16"/>
          <w:szCs w:val="16"/>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08" w:lineRule="exact"/>
        <w:rPr>
          <w:sz w:val="20"/>
          <w:szCs w:val="20"/>
          <w:color w:val="auto"/>
        </w:rPr>
      </w:pPr>
    </w:p>
    <w:p>
      <w:pPr>
        <w:ind w:right="240" w:firstLine="492"/>
        <w:spacing w:after="0" w:line="301" w:lineRule="auto"/>
        <w:rPr>
          <w:sz w:val="20"/>
          <w:szCs w:val="20"/>
          <w:color w:val="auto"/>
        </w:rPr>
      </w:pPr>
      <w:r>
        <w:rPr>
          <w:rFonts w:ascii="Arial" w:cs="Arial" w:eastAsia="Arial" w:hAnsi="Arial"/>
          <w:sz w:val="16"/>
          <w:szCs w:val="16"/>
          <w:color w:val="auto"/>
        </w:rPr>
        <w:t>Any regulatory approvals that we receive for our product candidates will require ongoing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36"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In addition, we, our contractors, and our collaborators are and will remain responsible for FDA compliance, including requirements related to product design, testing, clinical trials and preclinical studies approval, manufacturing processes and quality, labeling, packaging, distribution, adverse event and deviation reporting, storage, advertising, marketing, promotion, sale, import, export, submissions of safety and other post-marketing information and reports such as deviation reports, establishment registration, product listing, annual user fees, and recordkeeping for our product candidates.</w:t>
      </w:r>
    </w:p>
    <w:p>
      <w:pPr>
        <w:spacing w:after="0" w:line="161"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31" w:lineRule="exact"/>
        <w:rPr>
          <w:sz w:val="20"/>
          <w:szCs w:val="20"/>
          <w:color w:val="auto"/>
        </w:rPr>
      </w:pPr>
    </w:p>
    <w:p>
      <w:pPr>
        <w:ind w:right="60" w:firstLine="492"/>
        <w:spacing w:after="0" w:line="286"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25" w:lineRule="exact"/>
        <w:rPr>
          <w:sz w:val="20"/>
          <w:szCs w:val="20"/>
          <w:color w:val="auto"/>
        </w:rPr>
      </w:pPr>
    </w:p>
    <w:p>
      <w:pPr>
        <w:ind w:left="820" w:right="240" w:hanging="320"/>
        <w:spacing w:after="0" w:line="258" w:lineRule="auto"/>
        <w:tabs>
          <w:tab w:leader="none" w:pos="8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our product candidates, withdrawal of the product from the market, or voluntary or mandatory product recalls;</w:t>
      </w:r>
    </w:p>
    <w:p>
      <w:pPr>
        <w:spacing w:after="0" w:line="1" w:lineRule="exact"/>
        <w:rPr>
          <w:rFonts w:ascii="Arial" w:cs="Arial" w:eastAsia="Arial" w:hAnsi="Arial"/>
          <w:sz w:val="18"/>
          <w:szCs w:val="18"/>
          <w:color w:val="auto"/>
        </w:rPr>
      </w:pPr>
    </w:p>
    <w:p>
      <w:pPr>
        <w:ind w:left="820" w:right="260" w:hanging="320"/>
        <w:spacing w:after="0" w:line="250" w:lineRule="auto"/>
        <w:tabs>
          <w:tab w:leader="none" w:pos="8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labeling of our product candidates, including required additional warnings, such as black box warnings, contraindications, precautions, and restrictions on the approved indication or use;</w:t>
      </w: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or holds on or termination of clinical trials;</w:t>
      </w:r>
    </w:p>
    <w:p>
      <w:pPr>
        <w:spacing w:after="0" w:line="9"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9"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ind w:left="820" w:right="480" w:hanging="320"/>
        <w:spacing w:after="0" w:line="250" w:lineRule="auto"/>
        <w:tabs>
          <w:tab w:leader="none" w:pos="8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biologic;</w:t>
      </w:r>
    </w:p>
    <w:p>
      <w:pPr>
        <w:ind w:left="820" w:right="100" w:hanging="320"/>
        <w:spacing w:after="0" w:line="250" w:lineRule="auto"/>
        <w:tabs>
          <w:tab w:leader="none" w:pos="8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FDA restrictions on manufacturing or distribution if there is an inability to trace the source of a problem due to the nature of cell therapy;</w:t>
      </w: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regulatory approvals for the Proleukin® product;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184" w:lineRule="exact"/>
        <w:rPr>
          <w:sz w:val="20"/>
          <w:szCs w:val="20"/>
          <w:color w:val="auto"/>
        </w:rPr>
      </w:pPr>
    </w:p>
    <w:p>
      <w:pPr>
        <w:ind w:right="360" w:firstLine="492"/>
        <w:spacing w:after="0" w:line="342" w:lineRule="auto"/>
        <w:rPr>
          <w:sz w:val="20"/>
          <w:szCs w:val="20"/>
          <w:color w:val="auto"/>
        </w:rPr>
      </w:pPr>
      <w:r>
        <w:rPr>
          <w:rFonts w:ascii="Arial" w:cs="Arial" w:eastAsia="Arial" w:hAnsi="Arial"/>
          <w:sz w:val="16"/>
          <w:szCs w:val="16"/>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83" w:lineRule="exact"/>
        <w:rPr>
          <w:sz w:val="20"/>
          <w:szCs w:val="20"/>
          <w:color w:val="auto"/>
        </w:rPr>
      </w:pPr>
    </w:p>
    <w:p>
      <w:pPr>
        <w:ind w:right="300" w:firstLine="492"/>
        <w:spacing w:after="0" w:line="273"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520" w:firstLine="492"/>
        <w:spacing w:after="0" w:line="263" w:lineRule="auto"/>
        <w:rPr>
          <w:sz w:val="20"/>
          <w:szCs w:val="20"/>
          <w:color w:val="auto"/>
        </w:rPr>
      </w:pPr>
      <w:r>
        <w:rPr>
          <w:rFonts w:ascii="Arial" w:cs="Arial" w:eastAsia="Arial" w:hAnsi="Arial"/>
          <w:sz w:val="18"/>
          <w:szCs w:val="18"/>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43"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enforcement by both the federal government and the states in which we conduct our business.</w:t>
      </w:r>
    </w:p>
    <w:p>
      <w:pPr>
        <w:spacing w:after="0" w:line="138" w:lineRule="exact"/>
        <w:rPr>
          <w:sz w:val="20"/>
          <w:szCs w:val="20"/>
          <w:color w:val="auto"/>
        </w:rPr>
      </w:pPr>
    </w:p>
    <w:p>
      <w:pPr>
        <w:ind w:firstLine="492"/>
        <w:spacing w:after="0" w:line="279" w:lineRule="auto"/>
        <w:rPr>
          <w:sz w:val="20"/>
          <w:szCs w:val="20"/>
          <w:color w:val="auto"/>
        </w:rPr>
      </w:pPr>
      <w:r>
        <w:rPr>
          <w:rFonts w:ascii="Arial" w:cs="Arial" w:eastAsia="Arial" w:hAnsi="Arial"/>
          <w:sz w:val="17"/>
          <w:szCs w:val="17"/>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131" w:lineRule="exact"/>
        <w:rPr>
          <w:sz w:val="20"/>
          <w:szCs w:val="20"/>
          <w:color w:val="auto"/>
        </w:rPr>
      </w:pPr>
    </w:p>
    <w:p>
      <w:pPr>
        <w:ind w:right="160" w:firstLine="492"/>
        <w:spacing w:after="0" w:line="271"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38"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55" w:lineRule="exact"/>
        <w:rPr>
          <w:sz w:val="20"/>
          <w:szCs w:val="20"/>
          <w:color w:val="auto"/>
        </w:rPr>
      </w:pPr>
    </w:p>
    <w:p>
      <w:pPr>
        <w:ind w:right="40" w:firstLine="492"/>
        <w:spacing w:after="0" w:line="273" w:lineRule="auto"/>
        <w:rPr>
          <w:sz w:val="20"/>
          <w:szCs w:val="20"/>
          <w:color w:val="auto"/>
        </w:rPr>
      </w:pPr>
      <w:r>
        <w:rPr>
          <w:rFonts w:ascii="Arial" w:cs="Arial" w:eastAsia="Arial" w:hAnsi="Arial"/>
          <w:sz w:val="17"/>
          <w:szCs w:val="17"/>
          <w:color w:val="auto"/>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37"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24" w:lineRule="exact"/>
        <w:rPr>
          <w:sz w:val="20"/>
          <w:szCs w:val="20"/>
          <w:color w:val="auto"/>
        </w:rPr>
      </w:pPr>
    </w:p>
    <w:p>
      <w:pPr>
        <w:ind w:right="60" w:firstLine="492"/>
        <w:spacing w:after="0" w:line="342" w:lineRule="auto"/>
        <w:rPr>
          <w:sz w:val="20"/>
          <w:szCs w:val="20"/>
          <w:color w:val="auto"/>
        </w:rPr>
      </w:pPr>
      <w:r>
        <w:rPr>
          <w:rFonts w:ascii="Arial" w:cs="Arial" w:eastAsia="Arial" w:hAnsi="Arial"/>
          <w:sz w:val="16"/>
          <w:szCs w:val="16"/>
          <w:color w:val="auto"/>
        </w:rPr>
        <w:t>In the U.S., engaging in the impermissible promotion of our products, following approval, for off-label uses can also subject us to false claims and other litigation under federal and state statutes, including fraud and abuse and consumer protection laws, which can</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36"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44" w:lineRule="exact"/>
        <w:rPr>
          <w:sz w:val="20"/>
          <w:szCs w:val="20"/>
          <w:color w:val="auto"/>
        </w:rPr>
      </w:pPr>
    </w:p>
    <w:p>
      <w:pPr>
        <w:ind w:right="360" w:firstLine="492"/>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30" w:lineRule="exact"/>
        <w:rPr>
          <w:sz w:val="20"/>
          <w:szCs w:val="20"/>
          <w:color w:val="auto"/>
        </w:rPr>
      </w:pPr>
    </w:p>
    <w:p>
      <w:pPr>
        <w:ind w:right="20" w:firstLine="492"/>
        <w:spacing w:after="0" w:line="301" w:lineRule="auto"/>
        <w:rPr>
          <w:sz w:val="20"/>
          <w:szCs w:val="20"/>
          <w:color w:val="auto"/>
        </w:rPr>
      </w:pPr>
      <w:r>
        <w:rPr>
          <w:rFonts w:ascii="Arial" w:cs="Arial" w:eastAsia="Arial" w:hAnsi="Arial"/>
          <w:sz w:val="16"/>
          <w:szCs w:val="16"/>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17"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57"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40" w:lineRule="exact"/>
        <w:rPr>
          <w:sz w:val="20"/>
          <w:szCs w:val="20"/>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70" w:lineRule="exact"/>
        <w:rPr>
          <w:sz w:val="20"/>
          <w:szCs w:val="20"/>
          <w:color w:val="auto"/>
        </w:rPr>
      </w:pPr>
    </w:p>
    <w:p>
      <w:pPr>
        <w:ind w:right="60" w:firstLine="492"/>
        <w:spacing w:after="0" w:line="293" w:lineRule="auto"/>
        <w:rPr>
          <w:sz w:val="20"/>
          <w:szCs w:val="20"/>
          <w:color w:val="auto"/>
        </w:rPr>
      </w:pPr>
      <w:r>
        <w:rPr>
          <w:rFonts w:ascii="Arial" w:cs="Arial" w:eastAsia="Arial" w:hAnsi="Arial"/>
          <w:sz w:val="16"/>
          <w:szCs w:val="16"/>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w:t>
      </w:r>
    </w:p>
    <w:p>
      <w:pPr>
        <w:sectPr>
          <w:pgSz w:w="11900" w:h="16838" w:orient="portrait"/>
          <w:cols w:equalWidth="0" w:num="1">
            <w:col w:w="9900"/>
          </w:cols>
          <w:pgMar w:left="980" w:top="665"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pricing. Patients are unlikely to use our product candidates unless coverage is provided, and reimbursement is adequate to cover a significant portion of the cost of our product candidates.</w:t>
      </w:r>
    </w:p>
    <w:p>
      <w:pPr>
        <w:spacing w:after="0" w:line="130" w:lineRule="exact"/>
        <w:rPr>
          <w:sz w:val="20"/>
          <w:szCs w:val="20"/>
          <w:color w:val="auto"/>
        </w:rPr>
      </w:pPr>
    </w:p>
    <w:p>
      <w:pPr>
        <w:ind w:right="100" w:firstLine="492"/>
        <w:spacing w:after="0" w:line="279" w:lineRule="auto"/>
        <w:rPr>
          <w:sz w:val="20"/>
          <w:szCs w:val="20"/>
          <w:color w:val="auto"/>
        </w:rPr>
      </w:pPr>
      <w:r>
        <w:rPr>
          <w:rFonts w:ascii="Arial" w:cs="Arial" w:eastAsia="Arial" w:hAnsi="Arial"/>
          <w:sz w:val="17"/>
          <w:szCs w:val="17"/>
          <w:color w:val="auto"/>
        </w:rPr>
        <w:t>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44"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52" w:lineRule="exact"/>
        <w:rPr>
          <w:sz w:val="20"/>
          <w:szCs w:val="20"/>
          <w:color w:val="auto"/>
        </w:rPr>
      </w:pPr>
    </w:p>
    <w:p>
      <w:pPr>
        <w:ind w:right="60" w:firstLine="492"/>
        <w:spacing w:after="0" w:line="268" w:lineRule="auto"/>
        <w:rPr>
          <w:sz w:val="20"/>
          <w:szCs w:val="20"/>
          <w:color w:val="auto"/>
        </w:rPr>
      </w:pPr>
      <w:r>
        <w:rPr>
          <w:rFonts w:ascii="Arial" w:cs="Arial" w:eastAsia="Arial" w:hAnsi="Arial"/>
          <w:sz w:val="17"/>
          <w:szCs w:val="17"/>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46" w:lineRule="exact"/>
        <w:rPr>
          <w:sz w:val="20"/>
          <w:szCs w:val="20"/>
          <w:color w:val="auto"/>
        </w:rPr>
      </w:pPr>
    </w:p>
    <w:p>
      <w:pPr>
        <w:ind w:right="80" w:firstLine="492"/>
        <w:spacing w:after="0" w:line="290"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38"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40" w:lineRule="exact"/>
        <w:rPr>
          <w:sz w:val="20"/>
          <w:szCs w:val="20"/>
          <w:color w:val="auto"/>
        </w:rPr>
      </w:pPr>
    </w:p>
    <w:p>
      <w:pPr>
        <w:ind w:right="100" w:firstLine="492"/>
        <w:spacing w:after="0" w:line="279" w:lineRule="auto"/>
        <w:rPr>
          <w:sz w:val="20"/>
          <w:szCs w:val="20"/>
          <w:color w:val="auto"/>
        </w:rPr>
      </w:pPr>
      <w:r>
        <w:rPr>
          <w:rFonts w:ascii="Arial" w:cs="Arial" w:eastAsia="Arial" w:hAnsi="Arial"/>
          <w:sz w:val="17"/>
          <w:szCs w:val="17"/>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31" w:lineRule="exact"/>
        <w:rPr>
          <w:sz w:val="20"/>
          <w:szCs w:val="20"/>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ectPr>
          <w:pgSz w:w="11900" w:h="16838" w:orient="portrait"/>
          <w:cols w:equalWidth="0" w:num="1">
            <w:col w:w="9880"/>
          </w:cols>
          <w:pgMar w:left="980" w:top="665" w:right="10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70"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151" w:lineRule="exact"/>
        <w:rPr>
          <w:sz w:val="20"/>
          <w:szCs w:val="20"/>
          <w:color w:val="auto"/>
        </w:rPr>
      </w:pPr>
    </w:p>
    <w:p>
      <w:pPr>
        <w:ind w:right="68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8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the U.S.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52"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Since enactment of the Patient Protection and Affordable Care Act, as amended, or the ACA, in 2010, in both the U.S.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Trump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In June 2021, the Supreme Court issued its opinion in California v. Texas, upholding the constitutionality of the ACA.</w:t>
      </w:r>
    </w:p>
    <w:p>
      <w:pPr>
        <w:spacing w:after="0" w:line="161"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and with the change in administration it is possible that President Biden may issue Executive Orders with the potential to change a number of prior executive branch actions on drug pricing. We continue to monitor the potential impact of proposals and recently enacted legislation to lower prescription drug costs at the federal and state level. For example, the Inflation Reduction Act, or the IRA, was recently signed into law by President Biden, which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 We are evaluating what effect, if any, the IRA may have on our business.</w:t>
      </w:r>
    </w:p>
    <w:p>
      <w:pPr>
        <w:sectPr>
          <w:pgSz w:w="11900" w:h="16838" w:orient="portrait"/>
          <w:cols w:equalWidth="0" w:num="1">
            <w:col w:w="9900"/>
          </w:cols>
          <w:pgMar w:left="980" w:top="665" w:right="1019"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43"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34"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In addition, there have been a number of other policy, legislative and regulatory proposals aimed at changing the pharmaceutical industry. 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product candidates from coverage and limit payments for pharmaceuticals. Under the Biden administration’s Build Back Better Agenda, for example, Medicare negotiation of prescription drug costs with biopharmaceutical companies is proposed to lower prescription drug costs We continue to monitor the potential impact of these and other proposals to lower prescription drug costs at the federal and state level.</w:t>
      </w:r>
    </w:p>
    <w:p>
      <w:pPr>
        <w:spacing w:after="0" w:line="125" w:lineRule="exact"/>
        <w:rPr>
          <w:sz w:val="20"/>
          <w:szCs w:val="20"/>
          <w:color w:val="auto"/>
        </w:rPr>
      </w:pPr>
    </w:p>
    <w:p>
      <w:pPr>
        <w:ind w:right="220" w:firstLine="492"/>
        <w:spacing w:after="0" w:line="259"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6"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 or increase our costs could also have a material and adverse effect on our business, financial condition and results of operations.</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Governments outside the U.S. tend to impose strict price controls, which may adversely affect our revenues, if any.</w:t>
      </w:r>
    </w:p>
    <w:p>
      <w:pPr>
        <w:spacing w:after="0" w:line="196"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In international markets, reimbursement and health care payment systems vary significantly by country, and many countries have instituted price ceilings on specific products and therapies. In some countries, particularly the countries of the EU and the United Kingdom,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26"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43"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36"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ind w:right="540" w:firstLine="486"/>
        <w:spacing w:after="0" w:line="308"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06"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4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patent and other intellectual property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w:t>
      </w:r>
    </w:p>
    <w:p>
      <w:pPr>
        <w:spacing w:after="0" w:line="170" w:lineRule="exact"/>
        <w:rPr>
          <w:sz w:val="20"/>
          <w:szCs w:val="20"/>
          <w:color w:val="auto"/>
        </w:rPr>
      </w:pPr>
    </w:p>
    <w:p>
      <w:pPr>
        <w:jc w:val="both"/>
        <w:ind w:right="160" w:firstLine="486"/>
        <w:spacing w:after="0" w:line="286" w:lineRule="auto"/>
        <w:rPr>
          <w:sz w:val="20"/>
          <w:szCs w:val="20"/>
          <w:color w:val="auto"/>
        </w:rPr>
      </w:pPr>
      <w:r>
        <w:rPr>
          <w:rFonts w:ascii="Arial" w:cs="Arial" w:eastAsia="Arial" w:hAnsi="Arial"/>
          <w:sz w:val="17"/>
          <w:szCs w:val="17"/>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38"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Issued patents covering our product candidates could be found invalid or unenforceable if challenged in court or the USPTO.</w:t>
      </w:r>
    </w:p>
    <w:p>
      <w:pPr>
        <w:spacing w:after="0" w:line="233"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re-examination, post grant review, and equivalent proceedings in foreign jurisdictions (e.g., opposition proceedings). For example, on November 24, 2021, an opposition proceeding was initiated in the European Patent Office against our European Patent No. 3601533 B1. This opposition proceeding, or any similar proceedings that may arise in the U.S. or foreign jurisdictions,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or third party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If we are unable to protect our proprietary rights, we may not be able to compete effectively or operate profitably.</w:t>
      </w:r>
    </w:p>
    <w:p>
      <w:pPr>
        <w:spacing w:after="0" w:line="196"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3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issuance of a patent is not conclusive as to its validity or enforceability and it is uncertain how much protection, if any, will be given to the patents we have licensed from the NIH, Moffitt,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4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3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54"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185"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50"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have conducted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37"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3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is the case with other cell therapy and biopharmaceutical companies, our success is dependent on intellectual property, particularly patents. Obtaining and enforcing patents in the biopharmaceutical industry involves both technological and legal complexity, and is therefore costly, time-consuming and inherently uncertain. In addition, the U.S.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130"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spacing w:after="0" w:line="154"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5"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30"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costs and be a distraction to our management and employees.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89" w:lineRule="exact"/>
        <w:rPr>
          <w:sz w:val="20"/>
          <w:szCs w:val="20"/>
          <w:color w:val="auto"/>
        </w:rPr>
      </w:pPr>
    </w:p>
    <w:p>
      <w:pPr>
        <w:ind w:right="820" w:firstLine="492"/>
        <w:spacing w:after="0" w:line="277" w:lineRule="auto"/>
        <w:rPr>
          <w:sz w:val="20"/>
          <w:szCs w:val="20"/>
          <w:color w:val="auto"/>
        </w:rPr>
      </w:pPr>
      <w:r>
        <w:rPr>
          <w:rFonts w:ascii="Arial" w:cs="Arial" w:eastAsia="Arial" w:hAnsi="Arial"/>
          <w:sz w:val="18"/>
          <w:szCs w:val="18"/>
          <w:b w:val="1"/>
          <w:bCs w:val="1"/>
          <w:i w:val="1"/>
          <w:iCs w:val="1"/>
          <w:color w:val="auto"/>
        </w:rPr>
        <w:t>Our officers, directors and principal stockholders own a substantial percentage of our stock and will be able to exert significant control over matters subject to stockholder approval.</w:t>
      </w:r>
    </w:p>
    <w:p>
      <w:pPr>
        <w:spacing w:after="0" w:line="130"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Our officers, directors, and principal stockholders currently beneficially own a substantial portion of our outstanding voting stock. Therefore, these stockholders have the ability and may continue to have the ability to influence our corporate decision making. Given current ownership levels, these stockholders may be able to determine some or all matters requiring stockholder approval. For example, these stockholders, acting together, may be able to control or influence elections of directors, amendments to our certificate of incorporation or bylaws, or approval of any merger, sale of assets, or other major corporate transaction. This level of control may prevent or discourage unsolicited acquisition proposals or offers for our common stock that you may believe are in your best interest as one of our stockholders.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stock price may be volatile, and our stockholders’ investment in our stock could decline in value.</w:t>
      </w:r>
    </w:p>
    <w:p>
      <w:pPr>
        <w:spacing w:after="0" w:line="225" w:lineRule="exact"/>
        <w:rPr>
          <w:sz w:val="20"/>
          <w:szCs w:val="20"/>
          <w:color w:val="auto"/>
        </w:rPr>
      </w:pPr>
    </w:p>
    <w:p>
      <w:pPr>
        <w:ind w:right="240" w:firstLine="492"/>
        <w:spacing w:after="0" w:line="277" w:lineRule="auto"/>
        <w:rPr>
          <w:sz w:val="20"/>
          <w:szCs w:val="20"/>
          <w:color w:val="auto"/>
        </w:rPr>
      </w:pPr>
      <w:r>
        <w:rPr>
          <w:rFonts w:ascii="Arial" w:cs="Arial" w:eastAsia="Arial" w:hAnsi="Arial"/>
          <w:sz w:val="18"/>
          <w:szCs w:val="18"/>
          <w:color w:val="auto"/>
        </w:rPr>
        <w:t>The market price of our common stock is likely to be volatile and could fluctuate widely in response to many factors, including but not limited to:</w:t>
      </w:r>
    </w:p>
    <w:p>
      <w:pPr>
        <w:spacing w:after="0" w:line="170" w:lineRule="exact"/>
        <w:rPr>
          <w:sz w:val="20"/>
          <w:szCs w:val="20"/>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volatility and instability in the capital markets due to the COVID-19 pandemic;</w:t>
      </w:r>
    </w:p>
    <w:p>
      <w:pPr>
        <w:spacing w:after="0" w:line="23" w:lineRule="exact"/>
        <w:rPr>
          <w:rFonts w:ascii="Arial" w:cs="Arial" w:eastAsia="Arial" w:hAnsi="Arial"/>
          <w:sz w:val="18"/>
          <w:szCs w:val="18"/>
          <w:color w:val="auto"/>
        </w:rPr>
      </w:pPr>
    </w:p>
    <w:p>
      <w:pPr>
        <w:ind w:left="840" w:right="320" w:hanging="319"/>
        <w:spacing w:after="0" w:line="260"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the results of clinical trials by us, our collaborators, or our competitors, or negative developments with respect to similar products, including those being developed by our collaborators;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40" w:hanging="319"/>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23" w:lineRule="exact"/>
        <w:rPr>
          <w:rFonts w:ascii="Arial" w:cs="Arial" w:eastAsia="Arial" w:hAnsi="Arial"/>
          <w:sz w:val="18"/>
          <w:szCs w:val="18"/>
          <w:color w:val="auto"/>
        </w:rPr>
      </w:pPr>
    </w:p>
    <w:p>
      <w:pPr>
        <w:ind w:left="840" w:hanging="319"/>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actual or anticipated variations in our operating results due to the level of development expenses and other factors;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financial estimates by equities research analysts and whether our earnings meet or exceed such estimates;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occurrence of any of the risks described in this Quarterly Report on Form 10-Q.</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225"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We may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225"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57" w:lineRule="exact"/>
        <w:rPr>
          <w:sz w:val="20"/>
          <w:szCs w:val="20"/>
          <w:color w:val="auto"/>
        </w:rPr>
      </w:pPr>
    </w:p>
    <w:p>
      <w:pPr>
        <w:ind w:right="20" w:firstLine="492"/>
        <w:spacing w:after="0" w:line="253" w:lineRule="auto"/>
        <w:rPr>
          <w:sz w:val="20"/>
          <w:szCs w:val="20"/>
          <w:color w:val="auto"/>
        </w:rPr>
      </w:pPr>
      <w:r>
        <w:rPr>
          <w:rFonts w:ascii="Arial" w:cs="Arial" w:eastAsia="Arial" w:hAnsi="Arial"/>
          <w:sz w:val="18"/>
          <w:szCs w:val="18"/>
          <w:color w:val="auto"/>
        </w:rPr>
        <w:t>As of September 30, 2023, we had 255,833,679 shares of common stock outstanding. In addition, we had 26,227,174 shares of common stock equivalents that would increase the number of common stock outstanding if these instruments were exercised or converted to purchase common stock based on vesting requirements of stock options and common stock issuable through purchases of employee stock purchase plan, or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from 150,000,000 shares to 300,000,000 shares, which was approved by our stockholders on that date. On June 16, 2023, our certificate of incorporation was amended to increase the number of authorized shares of our common stock, from 300,000,000 shares to 500,000,000 shares, which was approved by our stockholders on June 6, 2023.</w:t>
      </w:r>
    </w:p>
    <w:p>
      <w:pPr>
        <w:spacing w:after="0" w:line="156"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For example, in July 2023, we issued 23,000,000 shares of common stock in connection with an underwritten public offering, and we may offer additional shares under our automatic shelf registration statement in the future. Future issuances may result in substantial dilution to our existing stockholders and could cause our stock price to decline.</w:t>
      </w:r>
    </w:p>
    <w:p>
      <w:pPr>
        <w:spacing w:after="0" w:line="188"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b w:val="1"/>
          <w:bCs w:val="1"/>
          <w:i w:val="1"/>
          <w:iCs w:val="1"/>
          <w:color w:val="auto"/>
        </w:rPr>
        <w:t>If equities or industry analysts do not publish research or reports about our company, or if they issue adverse or misleading opinions regarding us or our stock, our stock price and trading volume could decline.</w:t>
      </w:r>
    </w:p>
    <w:p>
      <w:pPr>
        <w:spacing w:after="0" w:line="170"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492"/>
        <w:spacing w:after="0" w:line="28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25"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5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We are, and in the future may be, subject to federal or state securities or related legal actions that could adversely affect our results of operations and our business.</w:t>
      </w:r>
    </w:p>
    <w:p>
      <w:pPr>
        <w:spacing w:after="0" w:line="130"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Federal and state securities and related legal actions may result in substantial costs and divert our management’s attention from other business concerns, which could seriously harm our business or affect our reputation. We may not be successful in defending future claims and cannot provide assurance that insurance proceeds will be sufficient to cover any costs or liability under such claims.</w:t>
      </w:r>
    </w:p>
    <w:p>
      <w:pPr>
        <w:spacing w:after="0" w:line="149" w:lineRule="exact"/>
        <w:rPr>
          <w:sz w:val="20"/>
          <w:szCs w:val="20"/>
          <w:color w:val="auto"/>
        </w:rPr>
      </w:pPr>
    </w:p>
    <w:p>
      <w:pPr>
        <w:ind w:right="140" w:firstLine="492"/>
        <w:spacing w:after="0" w:line="272" w:lineRule="auto"/>
        <w:rPr>
          <w:sz w:val="20"/>
          <w:szCs w:val="20"/>
          <w:color w:val="auto"/>
        </w:rPr>
      </w:pPr>
      <w:r>
        <w:rPr>
          <w:rFonts w:ascii="Arial" w:cs="Arial" w:eastAsia="Arial" w:hAnsi="Arial"/>
          <w:sz w:val="17"/>
          <w:szCs w:val="17"/>
          <w:color w:val="auto"/>
        </w:rPr>
        <w:t>For example, on December 11, 2020, a purported stockholder derivative complaint was filed by plaintiff Leo Shumacher against us, as nominal defendant, and then current directors, as defendants, in the Court of Chancery in the State of Delaware, or the Court. The complaint alleges breach of fiduciary duty and a claim for unjust enrichment in connection with alleged excessive compensation of certain of our non-executive directors and seeks unspecified damages on behalf of our company. The parties have agreed to a proposed settlement, which was submitted to the Court on June 15, 2022. The parties continue to work toward settlement after a hearing on November 17, 2022, where the Court required additional steps to be taken by the parties before it will determine whether final approval will be given to the settlement. The outcome of this and other future litigation is uncertain.</w:t>
      </w:r>
    </w:p>
    <w:p>
      <w:pPr>
        <w:spacing w:after="0" w:line="177" w:lineRule="exact"/>
        <w:rPr>
          <w:sz w:val="20"/>
          <w:szCs w:val="20"/>
          <w:color w:val="auto"/>
        </w:rPr>
      </w:pPr>
    </w:p>
    <w:p>
      <w:pPr>
        <w:ind w:right="420" w:firstLine="492"/>
        <w:spacing w:after="0" w:line="277" w:lineRule="auto"/>
        <w:rPr>
          <w:sz w:val="20"/>
          <w:szCs w:val="20"/>
          <w:color w:val="auto"/>
        </w:rPr>
      </w:pPr>
      <w:r>
        <w:rPr>
          <w:rFonts w:ascii="Arial" w:cs="Arial" w:eastAsia="Arial" w:hAnsi="Arial"/>
          <w:sz w:val="18"/>
          <w:szCs w:val="18"/>
          <w:b w:val="1"/>
          <w:bCs w:val="1"/>
          <w:i w:val="1"/>
          <w:iCs w:val="1"/>
          <w:color w:val="auto"/>
        </w:rPr>
        <w:t>Our Board of Directors could issue one or more additional series of preferred stock without stockholder approval with the effect of diluting existing stockholders and impairing their voting and other rights.</w:t>
      </w:r>
    </w:p>
    <w:p>
      <w:pPr>
        <w:spacing w:after="0" w:line="130" w:lineRule="exact"/>
        <w:rPr>
          <w:sz w:val="20"/>
          <w:szCs w:val="20"/>
          <w:color w:val="auto"/>
        </w:rPr>
      </w:pPr>
    </w:p>
    <w:p>
      <w:pPr>
        <w:ind w:right="140" w:firstLine="492"/>
        <w:spacing w:after="0" w:line="271" w:lineRule="auto"/>
        <w:rPr>
          <w:sz w:val="20"/>
          <w:szCs w:val="20"/>
          <w:color w:val="auto"/>
        </w:rPr>
      </w:pPr>
      <w:r>
        <w:rPr>
          <w:rFonts w:ascii="Arial" w:cs="Arial" w:eastAsia="Arial" w:hAnsi="Arial"/>
          <w:sz w:val="17"/>
          <w:szCs w:val="17"/>
          <w:color w:val="auto"/>
        </w:rPr>
        <w:t>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51"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30"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43" w:lineRule="exact"/>
        <w:rPr>
          <w:sz w:val="20"/>
          <w:szCs w:val="20"/>
          <w:color w:val="auto"/>
        </w:rPr>
      </w:pPr>
    </w:p>
    <w:p>
      <w:pPr>
        <w:jc w:val="both"/>
        <w:ind w:right="80" w:firstLine="492"/>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7" w:lineRule="exact"/>
        <w:rPr>
          <w:sz w:val="20"/>
          <w:szCs w:val="20"/>
          <w:color w:val="auto"/>
        </w:rPr>
      </w:pPr>
    </w:p>
    <w:p>
      <w:pPr>
        <w:ind w:right="140" w:firstLine="492"/>
        <w:spacing w:after="0" w:line="296" w:lineRule="auto"/>
        <w:rPr>
          <w:sz w:val="20"/>
          <w:szCs w:val="20"/>
          <w:color w:val="auto"/>
        </w:rPr>
      </w:pPr>
      <w:r>
        <w:rPr>
          <w:rFonts w:ascii="Arial" w:cs="Arial" w:eastAsia="Arial" w:hAnsi="Arial"/>
          <w:sz w:val="16"/>
          <w:szCs w:val="16"/>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 result, the market price of our common stock and the voting and other rights of our stockholders may be adversely affected. An issuance of shares of preferred stock may result in the loss of voting control to other stockholders.</w:t>
      </w:r>
    </w:p>
    <w:p>
      <w:pPr>
        <w:spacing w:after="0" w:line="130"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65" w:lineRule="exact"/>
        <w:rPr>
          <w:sz w:val="20"/>
          <w:szCs w:val="20"/>
          <w:color w:val="auto"/>
        </w:rPr>
      </w:pPr>
    </w:p>
    <w:p>
      <w:pPr>
        <w:ind w:right="560" w:firstLine="492"/>
        <w:spacing w:after="0" w:line="340" w:lineRule="auto"/>
        <w:rPr>
          <w:sz w:val="20"/>
          <w:szCs w:val="20"/>
          <w:color w:val="auto"/>
        </w:rPr>
      </w:pPr>
      <w:r>
        <w:rPr>
          <w:rFonts w:ascii="Arial" w:cs="Arial" w:eastAsia="Arial" w:hAnsi="Arial"/>
          <w:sz w:val="15"/>
          <w:szCs w:val="15"/>
          <w:b w:val="1"/>
          <w:bCs w:val="1"/>
          <w:i w:val="1"/>
          <w:iCs w:val="1"/>
          <w:color w:val="auto"/>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90"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Delaware General Corporation Law, our certificate of incorporation, as amended,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30"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65" w:lineRule="exact"/>
        <w:rPr>
          <w:sz w:val="20"/>
          <w:szCs w:val="20"/>
          <w:color w:val="auto"/>
        </w:rPr>
      </w:pPr>
    </w:p>
    <w:p>
      <w:pPr>
        <w:jc w:val="both"/>
        <w:ind w:right="100" w:firstLine="492"/>
        <w:spacing w:after="0" w:line="301" w:lineRule="auto"/>
        <w:rPr>
          <w:sz w:val="20"/>
          <w:szCs w:val="20"/>
          <w:color w:val="auto"/>
        </w:rPr>
      </w:pPr>
      <w:r>
        <w:rPr>
          <w:rFonts w:ascii="Arial" w:cs="Arial" w:eastAsia="Arial" w:hAnsi="Arial"/>
          <w:sz w:val="16"/>
          <w:szCs w:val="16"/>
          <w:color w:val="auto"/>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117"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bylaws could limit our stockholders’ ability to obtain a favorable judicial forum for disputes with us or our directors, officers or employees.</w:t>
      </w:r>
    </w:p>
    <w:p>
      <w:pPr>
        <w:spacing w:after="0" w:line="130" w:lineRule="exact"/>
        <w:rPr>
          <w:sz w:val="20"/>
          <w:szCs w:val="20"/>
          <w:color w:val="auto"/>
        </w:rPr>
      </w:pPr>
    </w:p>
    <w:p>
      <w:pPr>
        <w:ind w:right="40" w:firstLine="492"/>
        <w:spacing w:after="0" w:line="290"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federal district courts of the U.S. shall be the exclusive forum for the resolution of any complaint asserting a cause of action under the Securities Act. This provision limits the ability of our shareholders to bring claims under the Securities Act in any court other than the U.S. federal courts, which ultimately may disadvantage our shareholders or be cost prohibitive. Notwithstanding the foregoing, there is uncertainty as to whether a court (other than state courts in the State of Delaware, which have recently upheld the validity of such a provision) would enforce such a provision and whether investors can waive compliance with the federal securities laws and the rules and regulations thereunder. Furthermore, the exclusive forum provision only applies to claims brought under the Securities Act and does not apply to actions arising under the Exchange Act, which is already subject to federal courts as the exclusive forum.</w:t>
      </w:r>
    </w:p>
    <w:p>
      <w:pPr>
        <w:spacing w:after="0" w:line="138" w:lineRule="exact"/>
        <w:rPr>
          <w:sz w:val="20"/>
          <w:szCs w:val="20"/>
          <w:color w:val="auto"/>
        </w:rPr>
      </w:pPr>
    </w:p>
    <w:p>
      <w:pPr>
        <w:ind w:right="100" w:firstLine="492"/>
        <w:spacing w:after="0" w:line="342" w:lineRule="auto"/>
        <w:rPr>
          <w:sz w:val="20"/>
          <w:szCs w:val="20"/>
          <w:color w:val="auto"/>
        </w:rPr>
      </w:pPr>
      <w:r>
        <w:rPr>
          <w:rFonts w:ascii="Arial" w:cs="Arial" w:eastAsia="Arial" w:hAnsi="Arial"/>
          <w:sz w:val="16"/>
          <w:szCs w:val="16"/>
          <w:color w:val="auto"/>
        </w:rPr>
        <w:t>If a court were to find these provisions of our amended and restated bylaws inapplicable to, or unenforceable in respect of, one or more of the specified types of actions or proceedings, we may incur additional costs associated with resolving such matters in other</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29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Use of Proceeds, and Issuer Purchases of Equity Securities.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89"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During the third quarter of 2023, none of our directors or executive officers adopted or terminated a Rule 10b5-1 trading arrangement (as defined in Item 408(a)(1)(i) of Regulation S-K) or adopted or terminated a non-Rule 10b5-1 trading arrangement (as defined in Item 408(c) of Regulation S-K) for the purchase or sale of securities of the Company, whether or not intended to satisfy the affirmative defense conditions of Rule 10b5-1(c) of the Exchange Act.</w:t>
      </w:r>
    </w:p>
    <w:p>
      <w:pPr>
        <w:spacing w:after="0" w:line="187" w:lineRule="exact"/>
        <w:rPr>
          <w:sz w:val="20"/>
          <w:szCs w:val="20"/>
          <w:color w:val="auto"/>
        </w:rPr>
      </w:pPr>
    </w:p>
    <w:p>
      <w:pPr>
        <w:jc w:val="both"/>
        <w:ind w:firstLine="492"/>
        <w:spacing w:after="0" w:line="263" w:lineRule="auto"/>
        <w:rPr>
          <w:sz w:val="20"/>
          <w:szCs w:val="20"/>
          <w:color w:val="auto"/>
        </w:rPr>
      </w:pPr>
      <w:r>
        <w:rPr>
          <w:rFonts w:ascii="Arial" w:cs="Arial" w:eastAsia="Arial" w:hAnsi="Arial"/>
          <w:sz w:val="18"/>
          <w:szCs w:val="18"/>
          <w:color w:val="auto"/>
        </w:rPr>
        <w:t>During the third quarter of 2023, the Company did not adopt or terminate a Rule 10b5-1 trading arrangement (as defined in Item 408(a)(1)(i) of Regulation S-K) for the purchase or sale of securities of the Company, whether or not intended to satisfy the affirmative defense conditions of Rule 10b5-1(c) of the Exchange Act.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980" w:top="665" w:right="117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8980" w:type="dxa"/>
            <w:vAlign w:val="bottom"/>
            <w:gridSpan w:val="9"/>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391"/>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40" w:type="dxa"/>
            <w:vAlign w:val="bottom"/>
            <w:gridSpan w:val="8"/>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662"/>
        </w:trPr>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4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gridSpan w:val="8"/>
          </w:tcPr>
          <w:p>
            <w:pPr>
              <w:ind w:left="4000"/>
              <w:spacing w:after="0"/>
              <w:rPr>
                <w:sz w:val="20"/>
                <w:szCs w:val="20"/>
                <w:color w:val="auto"/>
              </w:rPr>
            </w:pPr>
            <w:r>
              <w:rPr>
                <w:rFonts w:ascii="Arial" w:cs="Arial" w:eastAsia="Arial" w:hAnsi="Arial"/>
                <w:sz w:val="18"/>
                <w:szCs w:val="18"/>
                <w:color w:val="auto"/>
              </w:rPr>
              <w:t>Description</w:t>
            </w:r>
          </w:p>
        </w:tc>
      </w:tr>
      <w:tr>
        <w:trPr>
          <w:trHeight w:val="169"/>
        </w:trPr>
        <w:tc>
          <w:tcPr>
            <w:tcW w:w="20" w:type="dxa"/>
            <w:vAlign w:val="bottom"/>
          </w:tcPr>
          <w:p>
            <w:pPr>
              <w:spacing w:after="0"/>
              <w:rPr>
                <w:sz w:val="14"/>
                <w:szCs w:val="14"/>
                <w:color w:val="auto"/>
              </w:rPr>
            </w:pPr>
          </w:p>
        </w:tc>
        <w:tc>
          <w:tcPr>
            <w:tcW w:w="920" w:type="dxa"/>
            <w:vAlign w:val="bottom"/>
          </w:tcPr>
          <w:p>
            <w:pPr>
              <w:spacing w:after="0" w:line="169"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4"/>
                <w:szCs w:val="14"/>
                <w:color w:val="auto"/>
              </w:rPr>
            </w:pPr>
          </w:p>
        </w:tc>
        <w:tc>
          <w:tcPr>
            <w:tcW w:w="8520" w:type="dxa"/>
            <w:vAlign w:val="bottom"/>
            <w:tcBorders>
              <w:bottom w:val="single" w:sz="8" w:color="0000EE"/>
            </w:tcBorders>
            <w:gridSpan w:val="7"/>
          </w:tcPr>
          <w:p>
            <w:pPr>
              <w:spacing w:after="0" w:line="169"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Certificate of Incorporation, as amended, of Registrant (incorporated herein by reference to Exhibit 3.1 to Registrant’s</w:t>
              </w:r>
            </w:hyperlink>
          </w:p>
        </w:tc>
        <w:tc>
          <w:tcPr>
            <w:tcW w:w="3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40" w:type="dxa"/>
            <w:vAlign w:val="bottom"/>
            <w:gridSpan w:val="8"/>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Current Report on Form 8-K filed with the Commission on July 10, 2023).</w:t>
              </w:r>
            </w:hyperlink>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7"/>
                <w:szCs w:val="17"/>
                <w:color w:val="auto"/>
              </w:rPr>
            </w:pPr>
          </w:p>
        </w:tc>
        <w:tc>
          <w:tcPr>
            <w:tcW w:w="538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5"/>
              </w:rPr>
              <w:t>Iovance Biotherapeutics, Inc. 2018 Equity Incentive Plan, as amended.</w:t>
            </w:r>
          </w:p>
        </w:tc>
        <w:tc>
          <w:tcPr>
            <w:tcW w:w="3460" w:type="dxa"/>
            <w:vAlign w:val="bottom"/>
            <w:gridSpan w:val="4"/>
          </w:tcPr>
          <w:p>
            <w:pPr>
              <w:spacing w:after="0"/>
              <w:rPr>
                <w:sz w:val="17"/>
                <w:szCs w:val="17"/>
                <w:color w:val="auto"/>
              </w:rPr>
            </w:pPr>
          </w:p>
        </w:tc>
      </w:tr>
      <w:tr>
        <w:trPr>
          <w:trHeight w:val="20"/>
        </w:trPr>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58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Iovance Biotherapeutics, Inc. 2020 Employee Stock Purchase Plan, as amended.</w:t>
            </w:r>
          </w:p>
        </w:tc>
        <w:tc>
          <w:tcPr>
            <w:tcW w:w="3040" w:type="dxa"/>
            <w:vAlign w:val="bottom"/>
            <w:gridSpan w:val="2"/>
          </w:tcPr>
          <w:p>
            <w:pPr>
              <w:spacing w:after="0"/>
              <w:rPr>
                <w:sz w:val="17"/>
                <w:szCs w:val="17"/>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7"/>
                <w:szCs w:val="17"/>
                <w:color w:val="auto"/>
              </w:rPr>
            </w:pPr>
          </w:p>
        </w:tc>
        <w:tc>
          <w:tcPr>
            <w:tcW w:w="8840" w:type="dxa"/>
            <w:vAlign w:val="bottom"/>
            <w:gridSpan w:val="8"/>
          </w:tcPr>
          <w:p>
            <w:pPr>
              <w:spacing w:after="0" w:line="196" w:lineRule="exact"/>
              <w:rPr>
                <w:sz w:val="20"/>
                <w:szCs w:val="20"/>
                <w:color w:val="auto"/>
              </w:rPr>
            </w:pPr>
            <w:r>
              <w:rPr>
                <w:rFonts w:ascii="Arial" w:cs="Arial" w:eastAsia="Arial" w:hAnsi="Arial"/>
                <w:sz w:val="18"/>
                <w:szCs w:val="18"/>
                <w:color w:val="0000EE"/>
              </w:rPr>
              <w:t>Rule 13a-14(a)/15d-14(a) Certification of Chief Executive Officer.</w:t>
            </w: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7"/>
                <w:szCs w:val="17"/>
                <w:color w:val="auto"/>
              </w:rPr>
            </w:pPr>
          </w:p>
        </w:tc>
        <w:tc>
          <w:tcPr>
            <w:tcW w:w="47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2"/>
              </w:rPr>
              <w:t>Rule 13a-14(a)/15d-14(a) Certification of Chief Financial Officer.</w:t>
            </w:r>
          </w:p>
        </w:tc>
        <w:tc>
          <w:tcPr>
            <w:tcW w:w="40" w:type="dxa"/>
            <w:vAlign w:val="bottom"/>
            <w:tcBorders>
              <w:top w:val="single" w:sz="8" w:color="0000EE"/>
            </w:tcBorders>
          </w:tcPr>
          <w:p>
            <w:pPr>
              <w:spacing w:after="0"/>
              <w:rPr>
                <w:sz w:val="17"/>
                <w:szCs w:val="17"/>
                <w:color w:val="auto"/>
              </w:rPr>
            </w:pPr>
          </w:p>
        </w:tc>
        <w:tc>
          <w:tcPr>
            <w:tcW w:w="4040" w:type="dxa"/>
            <w:vAlign w:val="bottom"/>
            <w:gridSpan w:val="6"/>
          </w:tcPr>
          <w:p>
            <w:pPr>
              <w:spacing w:after="0"/>
              <w:rPr>
                <w:sz w:val="17"/>
                <w:szCs w:val="17"/>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140" w:type="dxa"/>
            <w:vAlign w:val="bottom"/>
          </w:tcPr>
          <w:p>
            <w:pPr>
              <w:spacing w:after="0"/>
              <w:rPr>
                <w:sz w:val="17"/>
                <w:szCs w:val="17"/>
                <w:color w:val="auto"/>
              </w:rPr>
            </w:pPr>
          </w:p>
        </w:tc>
        <w:tc>
          <w:tcPr>
            <w:tcW w:w="54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3"/>
              </w:rPr>
              <w:t>Section 1350 Certification of Chief Executive Officer (furnished herewith).</w:t>
            </w:r>
          </w:p>
        </w:tc>
        <w:tc>
          <w:tcPr>
            <w:tcW w:w="3400" w:type="dxa"/>
            <w:vAlign w:val="bottom"/>
            <w:gridSpan w:val="3"/>
          </w:tcPr>
          <w:p>
            <w:pPr>
              <w:spacing w:after="0"/>
              <w:rPr>
                <w:sz w:val="17"/>
                <w:szCs w:val="17"/>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32.2++</w:t>
            </w:r>
          </w:p>
        </w:tc>
        <w:tc>
          <w:tcPr>
            <w:tcW w:w="140" w:type="dxa"/>
            <w:vAlign w:val="bottom"/>
          </w:tcPr>
          <w:p>
            <w:pPr>
              <w:spacing w:after="0"/>
              <w:rPr>
                <w:sz w:val="17"/>
                <w:szCs w:val="17"/>
                <w:color w:val="auto"/>
              </w:rPr>
            </w:pPr>
          </w:p>
        </w:tc>
        <w:tc>
          <w:tcPr>
            <w:tcW w:w="8840" w:type="dxa"/>
            <w:vAlign w:val="bottom"/>
            <w:gridSpan w:val="8"/>
          </w:tcPr>
          <w:p>
            <w:pPr>
              <w:spacing w:after="0" w:line="196" w:lineRule="exact"/>
              <w:rPr>
                <w:sz w:val="20"/>
                <w:szCs w:val="20"/>
                <w:color w:val="auto"/>
              </w:rPr>
            </w:pPr>
            <w:r>
              <w:rPr>
                <w:rFonts w:ascii="Arial" w:cs="Arial" w:eastAsia="Arial" w:hAnsi="Arial"/>
                <w:sz w:val="18"/>
                <w:szCs w:val="18"/>
                <w:color w:val="0000EE"/>
              </w:rPr>
              <w:t>Section 1350 Certification of Chief Financial Officer (furnished herewith).</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80" w:type="dxa"/>
            <w:vAlign w:val="bottom"/>
            <w:gridSpan w:val="4"/>
            <w:shd w:val="clear" w:color="auto" w:fill="0000EE"/>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9"/>
                <w:szCs w:val="19"/>
                <w:color w:val="auto"/>
              </w:rPr>
            </w:pPr>
          </w:p>
        </w:tc>
        <w:tc>
          <w:tcPr>
            <w:tcW w:w="8840" w:type="dxa"/>
            <w:vAlign w:val="bottom"/>
            <w:gridSpan w:val="8"/>
          </w:tcPr>
          <w:p>
            <w:pPr>
              <w:spacing w:after="0"/>
              <w:rPr>
                <w:sz w:val="20"/>
                <w:szCs w:val="20"/>
                <w:color w:val="auto"/>
              </w:rPr>
            </w:pPr>
            <w:r>
              <w:rPr>
                <w:rFonts w:ascii="Arial" w:cs="Arial" w:eastAsia="Arial" w:hAnsi="Arial"/>
                <w:sz w:val="18"/>
                <w:szCs w:val="18"/>
                <w:color w:val="auto"/>
                <w:w w:val="93"/>
              </w:rPr>
              <w:t>Inline XBRL Instance Document (the instance document does not appear in the Interactive Data File because its XBRL</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40" w:type="dxa"/>
            <w:vAlign w:val="bottom"/>
            <w:gridSpan w:val="8"/>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5"/>
              </w:rPr>
              <w:t>101.SCH++</w:t>
            </w:r>
          </w:p>
        </w:tc>
        <w:tc>
          <w:tcPr>
            <w:tcW w:w="140" w:type="dxa"/>
            <w:vAlign w:val="bottom"/>
          </w:tcPr>
          <w:p>
            <w:pPr>
              <w:spacing w:after="0"/>
              <w:rPr>
                <w:sz w:val="18"/>
                <w:szCs w:val="18"/>
                <w:color w:val="auto"/>
              </w:rPr>
            </w:pPr>
          </w:p>
        </w:tc>
        <w:tc>
          <w:tcPr>
            <w:tcW w:w="8840" w:type="dxa"/>
            <w:vAlign w:val="bottom"/>
            <w:gridSpan w:val="8"/>
          </w:tcPr>
          <w:p>
            <w:pPr>
              <w:spacing w:after="0"/>
              <w:rPr>
                <w:sz w:val="20"/>
                <w:szCs w:val="20"/>
                <w:color w:val="auto"/>
              </w:rPr>
            </w:pPr>
            <w:r>
              <w:rPr>
                <w:rFonts w:ascii="Arial" w:cs="Arial" w:eastAsia="Arial" w:hAnsi="Arial"/>
                <w:sz w:val="18"/>
                <w:szCs w:val="18"/>
                <w:color w:val="auto"/>
              </w:rPr>
              <w:t>Inline XBRL Taxonomy Schema Linkbase Document.</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8"/>
              </w:rPr>
              <w:t>101.CAL++</w:t>
            </w:r>
          </w:p>
        </w:tc>
        <w:tc>
          <w:tcPr>
            <w:tcW w:w="140" w:type="dxa"/>
            <w:vAlign w:val="bottom"/>
          </w:tcPr>
          <w:p>
            <w:pPr>
              <w:spacing w:after="0"/>
              <w:rPr>
                <w:sz w:val="18"/>
                <w:szCs w:val="18"/>
                <w:color w:val="auto"/>
              </w:rPr>
            </w:pPr>
          </w:p>
        </w:tc>
        <w:tc>
          <w:tcPr>
            <w:tcW w:w="8840" w:type="dxa"/>
            <w:vAlign w:val="bottom"/>
            <w:gridSpan w:val="8"/>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7"/>
              </w:rPr>
              <w:t>101.DEF++</w:t>
            </w:r>
          </w:p>
        </w:tc>
        <w:tc>
          <w:tcPr>
            <w:tcW w:w="140" w:type="dxa"/>
            <w:vAlign w:val="bottom"/>
          </w:tcPr>
          <w:p>
            <w:pPr>
              <w:spacing w:after="0"/>
              <w:rPr>
                <w:sz w:val="18"/>
                <w:szCs w:val="18"/>
                <w:color w:val="auto"/>
              </w:rPr>
            </w:pPr>
          </w:p>
        </w:tc>
        <w:tc>
          <w:tcPr>
            <w:tcW w:w="8840" w:type="dxa"/>
            <w:vAlign w:val="bottom"/>
            <w:gridSpan w:val="8"/>
          </w:tcPr>
          <w:p>
            <w:pPr>
              <w:spacing w:after="0"/>
              <w:rPr>
                <w:sz w:val="20"/>
                <w:szCs w:val="20"/>
                <w:color w:val="auto"/>
              </w:rPr>
            </w:pPr>
            <w:r>
              <w:rPr>
                <w:rFonts w:ascii="Arial" w:cs="Arial" w:eastAsia="Arial" w:hAnsi="Arial"/>
                <w:sz w:val="18"/>
                <w:szCs w:val="18"/>
                <w:color w:val="auto"/>
              </w:rPr>
              <w:t>Inline XBRL Taxonomy Definition Linkbase Document.</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9"/>
              </w:rPr>
              <w:t>101.LAB++</w:t>
            </w:r>
          </w:p>
        </w:tc>
        <w:tc>
          <w:tcPr>
            <w:tcW w:w="140" w:type="dxa"/>
            <w:vAlign w:val="bottom"/>
          </w:tcPr>
          <w:p>
            <w:pPr>
              <w:spacing w:after="0"/>
              <w:rPr>
                <w:sz w:val="18"/>
                <w:szCs w:val="18"/>
                <w:color w:val="auto"/>
              </w:rPr>
            </w:pPr>
          </w:p>
        </w:tc>
        <w:tc>
          <w:tcPr>
            <w:tcW w:w="8840" w:type="dxa"/>
            <w:vAlign w:val="bottom"/>
            <w:gridSpan w:val="8"/>
          </w:tcPr>
          <w:p>
            <w:pPr>
              <w:spacing w:after="0"/>
              <w:rPr>
                <w:sz w:val="20"/>
                <w:szCs w:val="20"/>
                <w:color w:val="auto"/>
              </w:rPr>
            </w:pPr>
            <w:r>
              <w:rPr>
                <w:rFonts w:ascii="Arial" w:cs="Arial" w:eastAsia="Arial" w:hAnsi="Arial"/>
                <w:sz w:val="18"/>
                <w:szCs w:val="18"/>
                <w:color w:val="auto"/>
              </w:rPr>
              <w:t>Inline XBRL Taxonomy Labels Linkbase Document.</w:t>
            </w: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6"/>
              </w:rPr>
              <w:t>101.PRE++</w:t>
            </w:r>
          </w:p>
        </w:tc>
        <w:tc>
          <w:tcPr>
            <w:tcW w:w="140" w:type="dxa"/>
            <w:vAlign w:val="bottom"/>
          </w:tcPr>
          <w:p>
            <w:pPr>
              <w:spacing w:after="0"/>
              <w:rPr>
                <w:sz w:val="20"/>
                <w:szCs w:val="20"/>
                <w:color w:val="auto"/>
              </w:rPr>
            </w:pPr>
          </w:p>
        </w:tc>
        <w:tc>
          <w:tcPr>
            <w:tcW w:w="8840" w:type="dxa"/>
            <w:vAlign w:val="bottom"/>
            <w:gridSpan w:val="8"/>
          </w:tcPr>
          <w:p>
            <w:pPr>
              <w:spacing w:after="0"/>
              <w:rPr>
                <w:sz w:val="20"/>
                <w:szCs w:val="20"/>
                <w:color w:val="auto"/>
              </w:rPr>
            </w:pPr>
            <w:r>
              <w:rPr>
                <w:rFonts w:ascii="Arial" w:cs="Arial" w:eastAsia="Arial" w:hAnsi="Arial"/>
                <w:sz w:val="18"/>
                <w:szCs w:val="18"/>
                <w:color w:val="auto"/>
              </w:rPr>
              <w:t>Inline XBRL Taxonomy Presentation Linkbase Document.</w:t>
            </w:r>
          </w:p>
        </w:tc>
      </w:tr>
    </w:tbl>
    <w:p>
      <w:pPr>
        <w:ind w:left="1080" w:right="120" w:hanging="1071"/>
        <w:spacing w:after="0" w:line="260" w:lineRule="auto"/>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Cover Page Interactive Data File (the cover page interactive date file does not appear in the Interactive Date File because its XBRL tags are embedded within the Inline XBRL document).</w:t>
      </w:r>
    </w:p>
    <w:p>
      <w:pPr>
        <w:spacing w:after="0" w:line="198" w:lineRule="exact"/>
        <w:rPr>
          <w:rFonts w:ascii="Arial" w:cs="Arial" w:eastAsia="Arial" w:hAnsi="Arial"/>
          <w:sz w:val="18"/>
          <w:szCs w:val="18"/>
          <w:color w:val="auto"/>
        </w:rPr>
      </w:pPr>
    </w:p>
    <w:p>
      <w:pPr>
        <w:ind w:left="840" w:hanging="83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 (unless otherwise noted as being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Iovance Biotherapeutics, Inc.</w:t>
            </w:r>
          </w:p>
        </w:tc>
      </w:tr>
      <w:tr>
        <w:trPr>
          <w:trHeight w:val="20"/>
        </w:trPr>
        <w:tc>
          <w:tcPr>
            <w:tcW w:w="3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53"/>
        </w:trPr>
        <w:tc>
          <w:tcPr>
            <w:tcW w:w="3120" w:type="dxa"/>
            <w:vAlign w:val="bottom"/>
          </w:tcPr>
          <w:p>
            <w:pPr>
              <w:spacing w:after="0"/>
              <w:rPr>
                <w:sz w:val="20"/>
                <w:szCs w:val="20"/>
                <w:color w:val="auto"/>
              </w:rPr>
            </w:pPr>
            <w:r>
              <w:rPr>
                <w:rFonts w:ascii="Arial" w:cs="Arial" w:eastAsia="Arial" w:hAnsi="Arial"/>
                <w:sz w:val="18"/>
                <w:szCs w:val="18"/>
                <w:color w:val="auto"/>
              </w:rPr>
              <w:t>November 7, 2023</w:t>
            </w:r>
          </w:p>
        </w:tc>
        <w:tc>
          <w:tcPr>
            <w:tcW w:w="184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By: /s/ Frederick G. Vogt, Ph.D., J.D.</w:t>
            </w:r>
          </w:p>
        </w:tc>
      </w:tr>
      <w:tr>
        <w:trPr>
          <w:trHeight w:val="195"/>
        </w:trPr>
        <w:tc>
          <w:tcPr>
            <w:tcW w:w="3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Frederick G. Vogt, Ph.D., J.D.</w:t>
            </w:r>
          </w:p>
        </w:tc>
      </w:tr>
      <w:tr>
        <w:trPr>
          <w:trHeight w:val="216"/>
        </w:trPr>
        <w:tc>
          <w:tcPr>
            <w:tcW w:w="3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9"/>
              </w:rPr>
              <w:t>Interim Chief Executive Officer and President, and General</w:t>
            </w:r>
          </w:p>
        </w:tc>
      </w:tr>
      <w:tr>
        <w:trPr>
          <w:trHeight w:val="230"/>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Counsel (Principal Executive Officer)</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November 7, 2023</w:t>
            </w:r>
          </w:p>
        </w:tc>
        <w:tc>
          <w:tcPr>
            <w:tcW w:w="184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By: /s/ Jean-Marc Bellemin</w:t>
            </w:r>
          </w:p>
        </w:tc>
      </w:tr>
      <w:tr>
        <w:trPr>
          <w:trHeight w:val="195"/>
        </w:trPr>
        <w:tc>
          <w:tcPr>
            <w:tcW w:w="3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Jean-Marc Bellemin</w:t>
            </w:r>
          </w:p>
        </w:tc>
      </w:tr>
      <w:tr>
        <w:trPr>
          <w:trHeight w:val="216"/>
        </w:trPr>
        <w:tc>
          <w:tcPr>
            <w:tcW w:w="3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5"/>
              </w:rPr>
              <w:t>Chief Financial Officer and Treasurer (Principal Financial and</w:t>
            </w:r>
          </w:p>
        </w:tc>
      </w:tr>
      <w:tr>
        <w:trPr>
          <w:trHeight w:val="230"/>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Accounting Officer)</w:t>
            </w:r>
          </w:p>
        </w:tc>
      </w:tr>
      <w:tr>
        <w:trPr>
          <w:trHeight w:val="878"/>
        </w:trPr>
        <w:tc>
          <w:tcPr>
            <w:tcW w:w="3120" w:type="dxa"/>
            <w:vAlign w:val="bottom"/>
          </w:tcPr>
          <w:p>
            <w:pPr>
              <w:spacing w:after="0"/>
              <w:rPr>
                <w:sz w:val="24"/>
                <w:szCs w:val="24"/>
                <w:color w:val="auto"/>
              </w:rPr>
            </w:pPr>
          </w:p>
        </w:tc>
        <w:tc>
          <w:tcPr>
            <w:tcW w:w="2140" w:type="dxa"/>
            <w:vAlign w:val="bottom"/>
            <w:gridSpan w:val="2"/>
          </w:tcPr>
          <w:p>
            <w:pPr>
              <w:jc w:val="right"/>
              <w:ind w:right="110"/>
              <w:spacing w:after="0"/>
              <w:rPr>
                <w:sz w:val="20"/>
                <w:szCs w:val="20"/>
                <w:color w:val="auto"/>
              </w:rPr>
            </w:pPr>
            <w:r>
              <w:rPr>
                <w:rFonts w:ascii="Arial" w:cs="Arial" w:eastAsia="Arial" w:hAnsi="Arial"/>
                <w:sz w:val="18"/>
                <w:szCs w:val="18"/>
                <w:color w:val="auto"/>
              </w:rPr>
              <w:t>97</w:t>
            </w:r>
          </w:p>
        </w:tc>
        <w:tc>
          <w:tcPr>
            <w:tcW w:w="19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61"/>
        </w:trPr>
        <w:tc>
          <w:tcPr>
            <w:tcW w:w="3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98" w:name="page99"/>
    <w:bookmarkEnd w:id="98"/>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220" w:lineRule="exact"/>
        <w:rPr>
          <w:sz w:val="20"/>
          <w:szCs w:val="20"/>
          <w:color w:val="auto"/>
        </w:rPr>
      </w:pPr>
    </w:p>
    <w:p>
      <w:pPr>
        <w:ind w:left="2660"/>
        <w:spacing w:after="0"/>
        <w:rPr>
          <w:sz w:val="20"/>
          <w:szCs w:val="20"/>
          <w:color w:val="auto"/>
        </w:rPr>
      </w:pPr>
      <w:r>
        <w:rPr>
          <w:rFonts w:ascii="Arial" w:cs="Arial" w:eastAsia="Arial" w:hAnsi="Arial"/>
          <w:sz w:val="22"/>
          <w:szCs w:val="22"/>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2018 EQUITY INCENTIVE PLAN AS AMENDED</w:t>
      </w:r>
    </w:p>
    <w:p>
      <w:pPr>
        <w:spacing w:after="0" w:line="202" w:lineRule="exact"/>
        <w:rPr>
          <w:sz w:val="20"/>
          <w:szCs w:val="20"/>
          <w:color w:val="auto"/>
        </w:rPr>
      </w:pPr>
    </w:p>
    <w:p>
      <w:pPr>
        <w:ind w:left="200" w:right="239" w:firstLine="657"/>
        <w:spacing w:after="0" w:line="294" w:lineRule="auto"/>
        <w:tabs>
          <w:tab w:leader="none" w:pos="1496"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Purpose</w:t>
      </w:r>
      <w:r>
        <w:rPr>
          <w:rFonts w:ascii="Arial" w:cs="Arial" w:eastAsia="Arial" w:hAnsi="Arial"/>
          <w:sz w:val="19"/>
          <w:szCs w:val="19"/>
          <w:color w:val="auto"/>
        </w:rPr>
        <w:t>. The Iovance Biotherapeutics, Inc. 2018 Equity Incentive Plan (as amended from time to time, the “</w:t>
      </w:r>
      <w:r>
        <w:rPr>
          <w:rFonts w:ascii="Arial" w:cs="Arial" w:eastAsia="Arial" w:hAnsi="Arial"/>
          <w:sz w:val="19"/>
          <w:szCs w:val="19"/>
          <w:b w:val="1"/>
          <w:bCs w:val="1"/>
          <w:color w:val="auto"/>
        </w:rPr>
        <w:t>Plan</w:t>
      </w:r>
      <w:r>
        <w:rPr>
          <w:rFonts w:ascii="Arial" w:cs="Arial" w:eastAsia="Arial" w:hAnsi="Arial"/>
          <w:sz w:val="19"/>
          <w:szCs w:val="19"/>
          <w:color w:val="auto"/>
        </w:rPr>
        <w:t>”) is intended to help Iovance Biotherapeutics, Inc., a Delaware corporation (including any successor thereto, the “</w:t>
      </w:r>
      <w:r>
        <w:rPr>
          <w:rFonts w:ascii="Arial" w:cs="Arial" w:eastAsia="Arial" w:hAnsi="Arial"/>
          <w:sz w:val="19"/>
          <w:szCs w:val="19"/>
          <w:b w:val="1"/>
          <w:bCs w:val="1"/>
          <w:color w:val="auto"/>
        </w:rPr>
        <w:t>Company</w:t>
      </w:r>
      <w:r>
        <w:rPr>
          <w:rFonts w:ascii="Arial" w:cs="Arial" w:eastAsia="Arial" w:hAnsi="Arial"/>
          <w:sz w:val="19"/>
          <w:szCs w:val="19"/>
          <w:color w:val="auto"/>
        </w:rPr>
        <w:t>”), and its Affiliates attract and retain key personnel by providing them the opportunity to acquire an equity interest in the Company or other incentive compensation measured by reference to the value of Common Stock and to align the interests of key personnel with those of the Company’s stockholders.</w:t>
      </w:r>
    </w:p>
    <w:p>
      <w:pPr>
        <w:spacing w:after="0" w:line="149" w:lineRule="exact"/>
        <w:rPr>
          <w:rFonts w:ascii="Arial" w:cs="Arial" w:eastAsia="Arial" w:hAnsi="Arial"/>
          <w:sz w:val="19"/>
          <w:szCs w:val="19"/>
          <w:color w:val="auto"/>
        </w:rPr>
      </w:pPr>
    </w:p>
    <w:p>
      <w:pPr>
        <w:ind w:left="200" w:right="339" w:firstLine="657"/>
        <w:spacing w:after="0" w:line="297" w:lineRule="auto"/>
        <w:tabs>
          <w:tab w:leader="none" w:pos="1496"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Effective Date; Duration</w:t>
      </w:r>
      <w:r>
        <w:rPr>
          <w:rFonts w:ascii="Arial" w:cs="Arial" w:eastAsia="Arial" w:hAnsi="Arial"/>
          <w:sz w:val="19"/>
          <w:szCs w:val="19"/>
          <w:color w:val="auto"/>
        </w:rPr>
        <w:t>. The Plan will become effective, if at all, upon the date (the “</w:t>
      </w:r>
      <w:r>
        <w:rPr>
          <w:rFonts w:ascii="Arial" w:cs="Arial" w:eastAsia="Arial" w:hAnsi="Arial"/>
          <w:sz w:val="19"/>
          <w:szCs w:val="19"/>
          <w:b w:val="1"/>
          <w:bCs w:val="1"/>
          <w:color w:val="auto"/>
        </w:rPr>
        <w:t>Effective Date</w:t>
      </w:r>
      <w:r>
        <w:rPr>
          <w:rFonts w:ascii="Arial" w:cs="Arial" w:eastAsia="Arial" w:hAnsi="Arial"/>
          <w:sz w:val="19"/>
          <w:szCs w:val="19"/>
          <w:color w:val="auto"/>
        </w:rPr>
        <w:t>”) that the Plan is approved by the stockholders of the Company. The expiration date of the Plan, on and after which date no Awards may be granted, shall be the tenth anniversary of the Effective Date; provided, however, that such expiration shall not affect Awards then outstanding, and the terms and conditions of the Plan shall continue to apply to such Awards.</w:t>
      </w:r>
    </w:p>
    <w:p>
      <w:pPr>
        <w:spacing w:after="0" w:line="146" w:lineRule="exact"/>
        <w:rPr>
          <w:rFonts w:ascii="Arial" w:cs="Arial" w:eastAsia="Arial" w:hAnsi="Arial"/>
          <w:sz w:val="19"/>
          <w:szCs w:val="19"/>
          <w:color w:val="auto"/>
        </w:rPr>
      </w:pPr>
    </w:p>
    <w:p>
      <w:pPr>
        <w:jc w:val="both"/>
        <w:ind w:left="200" w:right="839" w:firstLine="657"/>
        <w:spacing w:after="0" w:line="259" w:lineRule="auto"/>
        <w:tabs>
          <w:tab w:leader="none" w:pos="1496"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When used herein, the following capitalized terms shall have the meanings indicated, and their plural forms shall have the pluralized forms of their meanings indicated:</w:t>
      </w:r>
    </w:p>
    <w:p>
      <w:pPr>
        <w:spacing w:after="0" w:line="174" w:lineRule="exact"/>
        <w:rPr>
          <w:rFonts w:ascii="Arial" w:cs="Arial" w:eastAsia="Arial" w:hAnsi="Arial"/>
          <w:sz w:val="22"/>
          <w:szCs w:val="22"/>
          <w:color w:val="auto"/>
        </w:rPr>
      </w:pPr>
    </w:p>
    <w:p>
      <w:pPr>
        <w:ind w:left="860" w:right="219" w:firstLine="645"/>
        <w:spacing w:after="0" w:line="247" w:lineRule="auto"/>
        <w:tabs>
          <w:tab w:leader="none" w:pos="2156" w:val="left"/>
        </w:tabs>
        <w:numPr>
          <w:ilvl w:val="1"/>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any person or entity that directly or indirectly controls, is controlled by, or is under common control with, the Company.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189" w:lineRule="exact"/>
        <w:rPr>
          <w:rFonts w:ascii="Arial" w:cs="Arial" w:eastAsia="Arial" w:hAnsi="Arial"/>
          <w:sz w:val="22"/>
          <w:szCs w:val="22"/>
          <w:color w:val="auto"/>
        </w:rPr>
      </w:pPr>
    </w:p>
    <w:p>
      <w:pPr>
        <w:jc w:val="both"/>
        <w:ind w:left="860" w:right="479" w:firstLine="645"/>
        <w:spacing w:after="0" w:line="256" w:lineRule="auto"/>
        <w:tabs>
          <w:tab w:leader="none" w:pos="2156" w:val="left"/>
        </w:tabs>
        <w:numPr>
          <w:ilvl w:val="1"/>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w:t>
      </w:r>
      <w:r>
        <w:rPr>
          <w:rFonts w:ascii="Arial" w:cs="Arial" w:eastAsia="Arial" w:hAnsi="Arial"/>
          <w:sz w:val="22"/>
          <w:szCs w:val="22"/>
          <w:color w:val="auto"/>
        </w:rPr>
        <w:t>” means any Incentive Stock Option, Nonqualified Stock Option, Stock Appreciation Right, Restricted Stock, Restricted Stock Unit, or Other Stock-Based Award granted under the Plan.</w:t>
      </w:r>
    </w:p>
    <w:p>
      <w:pPr>
        <w:spacing w:after="0" w:line="176" w:lineRule="exact"/>
        <w:rPr>
          <w:rFonts w:ascii="Arial" w:cs="Arial" w:eastAsia="Arial" w:hAnsi="Arial"/>
          <w:sz w:val="22"/>
          <w:szCs w:val="22"/>
          <w:color w:val="auto"/>
        </w:rPr>
      </w:pPr>
    </w:p>
    <w:p>
      <w:pPr>
        <w:ind w:left="860" w:right="259" w:firstLine="645"/>
        <w:spacing w:after="0" w:line="349" w:lineRule="auto"/>
        <w:tabs>
          <w:tab w:leader="none" w:pos="2156" w:val="left"/>
        </w:tabs>
        <w:numPr>
          <w:ilvl w:val="1"/>
          <w:numId w:val="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Award Agreement</w:t>
      </w:r>
      <w:r>
        <w:rPr>
          <w:rFonts w:ascii="Arial" w:cs="Arial" w:eastAsia="Arial" w:hAnsi="Arial"/>
          <w:sz w:val="19"/>
          <w:szCs w:val="19"/>
          <w:color w:val="auto"/>
        </w:rPr>
        <w:t>” means the agreement (whether in written or electronic form) or other instrument or document evidencing any Award granted under the Plan.</w:t>
      </w:r>
    </w:p>
    <w:p>
      <w:pPr>
        <w:spacing w:after="0" w:line="93" w:lineRule="exact"/>
        <w:rPr>
          <w:rFonts w:ascii="Arial" w:cs="Arial" w:eastAsia="Arial" w:hAnsi="Arial"/>
          <w:sz w:val="19"/>
          <w:szCs w:val="19"/>
          <w:color w:val="auto"/>
        </w:rPr>
      </w:pPr>
    </w:p>
    <w:p>
      <w:pPr>
        <w:ind w:left="860" w:right="1219" w:firstLine="645"/>
        <w:spacing w:after="0" w:line="269" w:lineRule="auto"/>
        <w:tabs>
          <w:tab w:leader="none" w:pos="2156" w:val="left"/>
        </w:tabs>
        <w:numPr>
          <w:ilvl w:val="1"/>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Ownership</w:t>
      </w:r>
      <w:r>
        <w:rPr>
          <w:rFonts w:ascii="Arial" w:cs="Arial" w:eastAsia="Arial" w:hAnsi="Arial"/>
          <w:sz w:val="22"/>
          <w:szCs w:val="22"/>
          <w:color w:val="auto"/>
        </w:rPr>
        <w:t>” has the meaning set forth in Rule 13d-3 promulgated under Section 13 of the Exchange Act.</w:t>
      </w:r>
    </w:p>
    <w:p>
      <w:pPr>
        <w:spacing w:after="0" w:line="161" w:lineRule="exact"/>
        <w:rPr>
          <w:rFonts w:ascii="Arial" w:cs="Arial" w:eastAsia="Arial" w:hAnsi="Arial"/>
          <w:sz w:val="22"/>
          <w:szCs w:val="22"/>
          <w:color w:val="auto"/>
        </w:rPr>
      </w:pPr>
    </w:p>
    <w:p>
      <w:pPr>
        <w:ind w:left="2160" w:hanging="655"/>
        <w:spacing w:after="0"/>
        <w:tabs>
          <w:tab w:leader="none" w:pos="2160" w:val="left"/>
        </w:tabs>
        <w:numPr>
          <w:ilvl w:val="1"/>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p>
      <w:pPr>
        <w:spacing w:after="0" w:line="219" w:lineRule="exact"/>
        <w:rPr>
          <w:rFonts w:ascii="Arial" w:cs="Arial" w:eastAsia="Arial" w:hAnsi="Arial"/>
          <w:sz w:val="22"/>
          <w:szCs w:val="22"/>
          <w:color w:val="auto"/>
        </w:rPr>
      </w:pPr>
    </w:p>
    <w:p>
      <w:pPr>
        <w:ind w:left="860" w:right="339" w:firstLine="645"/>
        <w:spacing w:after="0" w:line="304" w:lineRule="auto"/>
        <w:tabs>
          <w:tab w:leader="none" w:pos="2156" w:val="left"/>
        </w:tabs>
        <w:numPr>
          <w:ilvl w:val="1"/>
          <w:numId w:val="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in the case of a particular Award, unless the applicable Award Agreement states otherwise, (i) shall have the meaning given such term (or term of similar import) in any employment, consulting, change-in-control, severance or any other agreement between the Participant and the Company or any of its Affiliates, or severance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99" w:name="page100"/>
    <w:bookmarkEnd w:id="99"/>
    <w:p>
      <w:pPr>
        <w:ind w:left="860" w:right="239"/>
        <w:spacing w:after="0" w:line="283" w:lineRule="auto"/>
        <w:rPr>
          <w:sz w:val="20"/>
          <w:szCs w:val="20"/>
          <w:color w:val="auto"/>
        </w:rPr>
      </w:pPr>
      <w:r>
        <w:rPr>
          <w:rFonts w:ascii="Arial" w:cs="Arial" w:eastAsia="Arial" w:hAnsi="Arial"/>
          <w:sz w:val="19"/>
          <w:szCs w:val="19"/>
          <w:color w:val="auto"/>
        </w:rPr>
        <w:t>plan in which the Participant is eligible to participate, in either case in effect at the time of the Participant’s termination of employment or service with the Company and its Affiliates, or (ii) if “cause” (or term of similar import) is not defined in, or in the absence of, any such employment, consulting, change-in-control, severance or any other agreement between the Participant and the Company or any of its Affiliates, or severance plan in which the Participant is eligible to participate, means: (A) the Participant’s conviction of, or entry of a plea of no contest to (x) a felony or (y) a misdemeanor involving moral turpitude, (B) the Participant’s gross negligence or willful misconduct, or a willful failure to attempt in good faith to substantially perform his or her duties (other than due to physical illness or incapacity), (C) the Participant’s material breach of a material provision of any employment agreement, consulting agreement, directorship agreement or similar services agreement or offer letter between the Participant and the Company or any of its Affiliates, or any non-competition, non-disclosure or non-solicitation agreement with the Company or any of its Affiliates, (D) the Participant’s material violation of any written policies adopted by the Company or any of its Affiliates governing the conduct of persons performing services on behalf of the Company or any of its Affiliates, (E) the Participant’s obtaining any material improper personal benefit as result of breach by the Participant of any covenant or agreement (including a breach by the Participant of the Company’s code of ethics or a material breach by the Participant of other written policies furnished to the Participant relating to personal investment transactions) of which the Participant was or should have been aware, (F) the Participant’s fraud or misappropriation, embezzlement or material misuse of funds or property belonging to the Company or any of its Affiliates, (G) the Participant’s use of alcohol or drugs that materially interferes with the performance of his or her duties, or (H) willful or reckless misconduct in respect of the Participant’s obligations to the Company or its Affiliates or other acts of misconduct by the Participant occurring during the course of the Participant’s employment or service that in either case results in or could reasonably be expected to result in material damage to the property, business or reputation of the Company or its Affiliates. Notwithstanding anything to the contrary herein, and except where provided otherwise by an applicable agreement, if, within six (6) months following a Participant’s termination of employment or service for any reason other than by the Company for Cause, the Company determines that such Participant’s termination of employment or service could have been for Cause, such Participant’s termination of employment or service will be deemed to have been for Cause for all purposes, and such Participant will be required to disgorge to the Company all amounts received under this Plan, any Award Agreement or otherwise that would not have been payable to such Participant had such termination of employment or service been by the Company for Cause. The determination of whether Cause exists shall be made by the Committee in its sole discretion.</w:t>
      </w:r>
    </w:p>
    <w:p>
      <w:pPr>
        <w:spacing w:after="0" w:line="200" w:lineRule="exact"/>
        <w:rPr>
          <w:sz w:val="20"/>
          <w:szCs w:val="20"/>
          <w:color w:val="auto"/>
        </w:rPr>
      </w:pPr>
    </w:p>
    <w:p>
      <w:pPr>
        <w:spacing w:after="0" w:line="238" w:lineRule="exact"/>
        <w:rPr>
          <w:sz w:val="20"/>
          <w:szCs w:val="20"/>
          <w:color w:val="auto"/>
        </w:rPr>
      </w:pPr>
    </w:p>
    <w:p>
      <w:pPr>
        <w:ind w:left="860" w:right="219" w:firstLine="645"/>
        <w:spacing w:after="0" w:line="267" w:lineRule="auto"/>
        <w:tabs>
          <w:tab w:leader="none" w:pos="2156" w:val="left"/>
        </w:tabs>
        <w:numPr>
          <w:ilvl w:val="0"/>
          <w:numId w:val="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in Control</w:t>
      </w:r>
      <w:r>
        <w:rPr>
          <w:rFonts w:ascii="Arial" w:cs="Arial" w:eastAsia="Arial" w:hAnsi="Arial"/>
          <w:sz w:val="21"/>
          <w:szCs w:val="21"/>
          <w:color w:val="auto"/>
        </w:rPr>
        <w:t>” means, in the case of a particular Award, unless the applicable Award Agreement (or any employment, consulting, change-in-control, severance or other agreement between the Participant and the Company or any of its Affiliates) states otherwise, the first to occur of any of the following events:</w:t>
      </w:r>
    </w:p>
    <w:p>
      <w:pPr>
        <w:spacing w:after="0" w:line="173" w:lineRule="exact"/>
        <w:rPr>
          <w:rFonts w:ascii="Arial" w:cs="Arial" w:eastAsia="Arial" w:hAnsi="Arial"/>
          <w:sz w:val="21"/>
          <w:szCs w:val="21"/>
          <w:color w:val="auto"/>
        </w:rPr>
      </w:pPr>
    </w:p>
    <w:p>
      <w:pPr>
        <w:ind w:left="1500" w:right="639" w:firstLine="653"/>
        <w:spacing w:after="0" w:line="343" w:lineRule="auto"/>
        <w:tabs>
          <w:tab w:leader="none" w:pos="2796"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acquisition by any Person or related “group” (as such term is used in Section 13(d) and Section 14(d) of the Exchange Act) of Persons, or</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00" w:name="page101"/>
    <w:bookmarkEnd w:id="100"/>
    <w:p>
      <w:pPr>
        <w:ind w:left="1500" w:right="279"/>
        <w:spacing w:after="0" w:line="288" w:lineRule="auto"/>
        <w:rPr>
          <w:sz w:val="20"/>
          <w:szCs w:val="20"/>
          <w:color w:val="auto"/>
        </w:rPr>
      </w:pPr>
      <w:r>
        <w:rPr>
          <w:rFonts w:ascii="Arial" w:cs="Arial" w:eastAsia="Arial" w:hAnsi="Arial"/>
          <w:sz w:val="19"/>
          <w:szCs w:val="19"/>
          <w:color w:val="auto"/>
        </w:rPr>
        <w:t>Persons acting jointly or in concert, of Beneficial Ownership (including control or direction) of 50% or more (on a fully diluted basis) of either (A) the then-outstanding shares of Common Stock, including Common Stock issuable upon the exercise of options or warrants, the conversion of convertible stock or debt, and the exercise of any similar right to acquire such Common Stock (the “</w:t>
      </w:r>
      <w:r>
        <w:rPr>
          <w:rFonts w:ascii="Arial" w:cs="Arial" w:eastAsia="Arial" w:hAnsi="Arial"/>
          <w:sz w:val="19"/>
          <w:szCs w:val="19"/>
          <w:b w:val="1"/>
          <w:bCs w:val="1"/>
          <w:color w:val="auto"/>
        </w:rPr>
        <w:t>Outstanding</w:t>
      </w:r>
      <w:r>
        <w:rPr>
          <w:rFonts w:ascii="Arial" w:cs="Arial" w:eastAsia="Arial" w:hAnsi="Arial"/>
          <w:sz w:val="19"/>
          <w:szCs w:val="19"/>
          <w:color w:val="auto"/>
        </w:rPr>
        <w:t xml:space="preserve"> </w:t>
      </w:r>
      <w:r>
        <w:rPr>
          <w:rFonts w:ascii="Arial" w:cs="Arial" w:eastAsia="Arial" w:hAnsi="Arial"/>
          <w:sz w:val="19"/>
          <w:szCs w:val="19"/>
          <w:b w:val="1"/>
          <w:bCs w:val="1"/>
          <w:color w:val="auto"/>
        </w:rPr>
        <w:t>Company Common Stock</w:t>
      </w:r>
      <w:r>
        <w:rPr>
          <w:rFonts w:ascii="Arial" w:cs="Arial" w:eastAsia="Arial" w:hAnsi="Arial"/>
          <w:sz w:val="19"/>
          <w:szCs w:val="19"/>
          <w:color w:val="auto"/>
        </w:rPr>
        <w:t>”), or (B) the combined voting power of the then-outstanding voting securities of the Company entitled to vote in the election of directors (the “</w:t>
      </w:r>
      <w:r>
        <w:rPr>
          <w:rFonts w:ascii="Arial" w:cs="Arial" w:eastAsia="Arial" w:hAnsi="Arial"/>
          <w:sz w:val="19"/>
          <w:szCs w:val="19"/>
          <w:b w:val="1"/>
          <w:bCs w:val="1"/>
          <w:color w:val="auto"/>
        </w:rPr>
        <w:t>Outstanding Company Voting Securities</w:t>
      </w:r>
      <w:r>
        <w:rPr>
          <w:rFonts w:ascii="Arial" w:cs="Arial" w:eastAsia="Arial" w:hAnsi="Arial"/>
          <w:sz w:val="19"/>
          <w:szCs w:val="19"/>
          <w:color w:val="auto"/>
        </w:rPr>
        <w:t>”), but excluding any acquisition by the Company or any of its Affiliates or by any employee benefit plan sponsored or maintained by the Company or any of its Affiliates;</w:t>
      </w:r>
    </w:p>
    <w:p>
      <w:pPr>
        <w:spacing w:after="0" w:line="159" w:lineRule="exact"/>
        <w:rPr>
          <w:sz w:val="20"/>
          <w:szCs w:val="20"/>
          <w:color w:val="auto"/>
        </w:rPr>
      </w:pPr>
    </w:p>
    <w:p>
      <w:pPr>
        <w:ind w:left="1500" w:right="279" w:firstLine="653"/>
        <w:spacing w:after="0" w:line="290" w:lineRule="auto"/>
        <w:tabs>
          <w:tab w:leader="none" w:pos="2796" w:val="left"/>
        </w:tabs>
        <w:numPr>
          <w:ilvl w:val="1"/>
          <w:numId w:val="40"/>
        </w:numPr>
        <w:rPr>
          <w:rFonts w:ascii="Arial" w:cs="Arial" w:eastAsia="Arial" w:hAnsi="Arial"/>
          <w:sz w:val="19"/>
          <w:szCs w:val="19"/>
          <w:color w:val="auto"/>
        </w:rPr>
      </w:pPr>
      <w:r>
        <w:rPr>
          <w:rFonts w:ascii="Arial" w:cs="Arial" w:eastAsia="Arial" w:hAnsi="Arial"/>
          <w:sz w:val="19"/>
          <w:szCs w:val="19"/>
          <w:color w:val="auto"/>
        </w:rPr>
        <w:t>a change in the composition of the Board such that members of the Board during any consecutive 12-month period (the “</w:t>
      </w:r>
      <w:r>
        <w:rPr>
          <w:rFonts w:ascii="Arial" w:cs="Arial" w:eastAsia="Arial" w:hAnsi="Arial"/>
          <w:sz w:val="19"/>
          <w:szCs w:val="19"/>
          <w:b w:val="1"/>
          <w:bCs w:val="1"/>
          <w:color w:val="auto"/>
        </w:rPr>
        <w:t>Incumbent Directors</w:t>
      </w:r>
      <w:r>
        <w:rPr>
          <w:rFonts w:ascii="Arial" w:cs="Arial" w:eastAsia="Arial" w:hAnsi="Arial"/>
          <w:sz w:val="19"/>
          <w:szCs w:val="19"/>
          <w:color w:val="auto"/>
        </w:rPr>
        <w:t>”) cease to constitute a majority of the Board. Any person becoming a director through election or nomination for election approved by a valid vote of at least two thirds of the Incumbent Directors shall be deemed an Incumbent Director; provided, however, that no individual becoming a director as a result of an actual or threatened election contest, as such terms are used in Rule 14a-12 of Regulation 14A promulgated under the Exchange Act, or as a result of any other actual or threatened solicitation of proxies or consents by or on behalf of any person other than the Board, shall be deemed an Incumbent Director;</w:t>
      </w:r>
    </w:p>
    <w:p>
      <w:pPr>
        <w:spacing w:after="0" w:line="154" w:lineRule="exact"/>
        <w:rPr>
          <w:rFonts w:ascii="Arial" w:cs="Arial" w:eastAsia="Arial" w:hAnsi="Arial"/>
          <w:sz w:val="19"/>
          <w:szCs w:val="19"/>
          <w:color w:val="auto"/>
        </w:rPr>
      </w:pPr>
    </w:p>
    <w:p>
      <w:pPr>
        <w:ind w:left="1500" w:right="919" w:firstLine="653"/>
        <w:spacing w:after="0" w:line="263" w:lineRule="auto"/>
        <w:tabs>
          <w:tab w:leader="none" w:pos="2796"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approval by the stockholders of the Company of a plan of complete dissolution or liquidation of the Company; and</w:t>
      </w:r>
    </w:p>
    <w:p>
      <w:pPr>
        <w:spacing w:after="0" w:line="174" w:lineRule="exact"/>
        <w:rPr>
          <w:rFonts w:ascii="Arial" w:cs="Arial" w:eastAsia="Arial" w:hAnsi="Arial"/>
          <w:sz w:val="22"/>
          <w:szCs w:val="22"/>
          <w:color w:val="auto"/>
        </w:rPr>
      </w:pPr>
    </w:p>
    <w:p>
      <w:pPr>
        <w:ind w:left="1500" w:right="219" w:firstLine="653"/>
        <w:spacing w:after="0" w:line="282" w:lineRule="auto"/>
        <w:tabs>
          <w:tab w:leader="none" w:pos="2796"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consummation of a reorganization, recapitalization, merger, amalgamation, consolidation, statutory share exchange or similar form of corporate transaction involving the Company (a “</w:t>
      </w:r>
      <w:r>
        <w:rPr>
          <w:rFonts w:ascii="Arial" w:cs="Arial" w:eastAsia="Arial" w:hAnsi="Arial"/>
          <w:sz w:val="19"/>
          <w:szCs w:val="19"/>
          <w:b w:val="1"/>
          <w:bCs w:val="1"/>
          <w:color w:val="auto"/>
        </w:rPr>
        <w:t>Business Combination</w:t>
      </w:r>
      <w:r>
        <w:rPr>
          <w:rFonts w:ascii="Arial" w:cs="Arial" w:eastAsia="Arial" w:hAnsi="Arial"/>
          <w:sz w:val="19"/>
          <w:szCs w:val="19"/>
          <w:color w:val="auto"/>
        </w:rPr>
        <w:t>”), or sale, transfer or other disposition of all or substantially all of the business or assets of the Company to an entity that is not an Affiliate of the Company (a “</w:t>
      </w:r>
      <w:r>
        <w:rPr>
          <w:rFonts w:ascii="Arial" w:cs="Arial" w:eastAsia="Arial" w:hAnsi="Arial"/>
          <w:sz w:val="19"/>
          <w:szCs w:val="19"/>
          <w:b w:val="1"/>
          <w:bCs w:val="1"/>
          <w:color w:val="auto"/>
        </w:rPr>
        <w:t>Sale</w:t>
      </w:r>
      <w:r>
        <w:rPr>
          <w:rFonts w:ascii="Arial" w:cs="Arial" w:eastAsia="Arial" w:hAnsi="Arial"/>
          <w:sz w:val="19"/>
          <w:szCs w:val="19"/>
          <w:color w:val="auto"/>
        </w:rPr>
        <w:t>”), unless immediately following such Business Combination or Sale: (A) more than 50% of the total voting power of the entity resulting from such Business Combination or the entity that acquired all or substantially all of the business or assets of the Company in such Sale (in either case, the “</w:t>
      </w:r>
      <w:r>
        <w:rPr>
          <w:rFonts w:ascii="Arial" w:cs="Arial" w:eastAsia="Arial" w:hAnsi="Arial"/>
          <w:sz w:val="19"/>
          <w:szCs w:val="19"/>
          <w:b w:val="1"/>
          <w:bCs w:val="1"/>
          <w:color w:val="auto"/>
        </w:rPr>
        <w:t>Surviving Company</w:t>
      </w:r>
      <w:r>
        <w:rPr>
          <w:rFonts w:ascii="Arial" w:cs="Arial" w:eastAsia="Arial" w:hAnsi="Arial"/>
          <w:sz w:val="19"/>
          <w:szCs w:val="19"/>
          <w:color w:val="auto"/>
        </w:rPr>
        <w:t>”), or the ultimate parent entity that has Beneficial Ownership of sufficient voting power to elect a majority of the board of directors (or analogous governing body) of the Surviving Company (the “</w:t>
      </w:r>
      <w:r>
        <w:rPr>
          <w:rFonts w:ascii="Arial" w:cs="Arial" w:eastAsia="Arial" w:hAnsi="Arial"/>
          <w:sz w:val="19"/>
          <w:szCs w:val="19"/>
          <w:b w:val="1"/>
          <w:bCs w:val="1"/>
          <w:color w:val="auto"/>
        </w:rPr>
        <w:t>Parent Company</w:t>
      </w:r>
      <w:r>
        <w:rPr>
          <w:rFonts w:ascii="Arial" w:cs="Arial" w:eastAsia="Arial" w:hAnsi="Arial"/>
          <w:sz w:val="19"/>
          <w:szCs w:val="19"/>
          <w:color w:val="auto"/>
        </w:rPr>
        <w:t>”), is represented by the Outstanding Company Voting Securities that were outstanding immediately prior to such Business Combination or Sale (or, if applicable, is represented by shares into which the Outstanding Company Voting Securities were converted pursuant to such Business Combination or Sale), and such voting power among the holders thereof is in substantially the same proportion as the voting power of the Outstanding Company Voting Securities among the holders thereof immediately prior to the Business Combination or Sale,</w:t>
      </w:r>
    </w:p>
    <w:p>
      <w:pPr>
        <w:spacing w:after="0" w:line="13" w:lineRule="exact"/>
        <w:rPr>
          <w:rFonts w:ascii="Arial" w:cs="Arial" w:eastAsia="Arial" w:hAnsi="Arial"/>
          <w:sz w:val="19"/>
          <w:szCs w:val="19"/>
          <w:color w:val="auto"/>
        </w:rPr>
      </w:pPr>
    </w:p>
    <w:p>
      <w:pPr>
        <w:ind w:left="1500" w:right="219" w:firstLine="5"/>
        <w:spacing w:after="0" w:line="245" w:lineRule="auto"/>
        <w:tabs>
          <w:tab w:leader="none" w:pos="1842" w:val="left"/>
        </w:tabs>
        <w:numPr>
          <w:ilvl w:val="0"/>
          <w:numId w:val="41"/>
        </w:numPr>
        <w:rPr>
          <w:rFonts w:ascii="Arial" w:cs="Arial" w:eastAsia="Arial" w:hAnsi="Arial"/>
          <w:sz w:val="22"/>
          <w:szCs w:val="22"/>
          <w:color w:val="auto"/>
        </w:rPr>
      </w:pPr>
      <w:r>
        <w:rPr>
          <w:rFonts w:ascii="Arial" w:cs="Arial" w:eastAsia="Arial" w:hAnsi="Arial"/>
          <w:sz w:val="22"/>
          <w:szCs w:val="22"/>
          <w:color w:val="auto"/>
        </w:rPr>
        <w:t>no Person (other than any employee benefit plan sponsored or maintained by the Surviving Company or the Parent Company) is or becomes the beneficial owner, directly or indirectly, of</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01" w:name="page102"/>
    <w:bookmarkEnd w:id="101"/>
    <w:p>
      <w:pPr>
        <w:jc w:val="both"/>
        <w:ind w:left="1500" w:right="299"/>
        <w:spacing w:after="0" w:line="288" w:lineRule="auto"/>
        <w:rPr>
          <w:sz w:val="20"/>
          <w:szCs w:val="20"/>
          <w:color w:val="auto"/>
        </w:rPr>
      </w:pPr>
      <w:r>
        <w:rPr>
          <w:rFonts w:ascii="Arial" w:cs="Arial" w:eastAsia="Arial" w:hAnsi="Arial"/>
          <w:sz w:val="19"/>
          <w:szCs w:val="19"/>
          <w:color w:val="auto"/>
        </w:rPr>
        <w:t>50% or more of the total voting power of the outstanding voting securities eligible to elect members of the board of directors (or the analogous governing body) of the Parent Company (or, if there is no Parent Company, the Surviving Company), and</w:t>
      </w:r>
    </w:p>
    <w:p>
      <w:pPr>
        <w:spacing w:after="0" w:line="1" w:lineRule="exact"/>
        <w:rPr>
          <w:sz w:val="20"/>
          <w:szCs w:val="20"/>
          <w:color w:val="auto"/>
        </w:rPr>
      </w:pPr>
    </w:p>
    <w:p>
      <w:pPr>
        <w:ind w:left="1500" w:right="359" w:firstLine="5"/>
        <w:spacing w:after="0" w:line="292" w:lineRule="auto"/>
        <w:tabs>
          <w:tab w:leader="none" w:pos="1842" w:val="left"/>
        </w:tabs>
        <w:numPr>
          <w:ilvl w:val="0"/>
          <w:numId w:val="42"/>
        </w:numPr>
        <w:rPr>
          <w:rFonts w:ascii="Arial" w:cs="Arial" w:eastAsia="Arial" w:hAnsi="Arial"/>
          <w:sz w:val="19"/>
          <w:szCs w:val="19"/>
          <w:color w:val="auto"/>
        </w:rPr>
      </w:pPr>
      <w:r>
        <w:rPr>
          <w:rFonts w:ascii="Arial" w:cs="Arial" w:eastAsia="Arial" w:hAnsi="Arial"/>
          <w:sz w:val="19"/>
          <w:szCs w:val="19"/>
          <w:color w:val="auto"/>
        </w:rPr>
        <w:t>at least a majority of the members of the board of directors (or the analogous governing body) of the Parent Company (or, if there is no Parent Company, the Surviving Company) following the consummation of the Business Combination or Sale were Board members at the time of the Board’s approval of the execution of the initial agreement providing for such Business Combination or Sale.</w:t>
      </w:r>
    </w:p>
    <w:p>
      <w:pPr>
        <w:spacing w:after="0" w:line="145" w:lineRule="exact"/>
        <w:rPr>
          <w:sz w:val="20"/>
          <w:szCs w:val="20"/>
          <w:color w:val="auto"/>
        </w:rPr>
      </w:pPr>
    </w:p>
    <w:p>
      <w:pPr>
        <w:jc w:val="both"/>
        <w:ind w:left="860" w:right="239" w:firstLine="645"/>
        <w:spacing w:after="0" w:line="252" w:lineRule="auto"/>
        <w:tabs>
          <w:tab w:leader="none" w:pos="2156"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U.S. Internal Revenue Code of 1986, as amended, and any successor thereto. References to any section of the Code shall be deemed to include any regulations or other interpretative guidance under such section, and any amendments or successors thereto.</w:t>
      </w:r>
    </w:p>
    <w:p>
      <w:pPr>
        <w:spacing w:after="0" w:line="179" w:lineRule="exact"/>
        <w:rPr>
          <w:rFonts w:ascii="Arial" w:cs="Arial" w:eastAsia="Arial" w:hAnsi="Arial"/>
          <w:sz w:val="22"/>
          <w:szCs w:val="22"/>
          <w:color w:val="auto"/>
        </w:rPr>
      </w:pPr>
    </w:p>
    <w:p>
      <w:pPr>
        <w:ind w:left="860" w:right="219" w:firstLine="645"/>
        <w:spacing w:after="0" w:line="253" w:lineRule="auto"/>
        <w:tabs>
          <w:tab w:leader="none" w:pos="2156"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means the Compensation Committee of the Board or a subcommittee thereof if required with respect to actions taken to comply with Rule 16b-3 promulgated under the Exchange Act in respect of Awards or, if no such Compensation Committee or subcommittee thereof exists, or if the Board otherwise takes action hereunder on behalf of the Committee, the Board.</w:t>
      </w:r>
    </w:p>
    <w:p>
      <w:pPr>
        <w:spacing w:after="0" w:line="178" w:lineRule="exact"/>
        <w:rPr>
          <w:rFonts w:ascii="Arial" w:cs="Arial" w:eastAsia="Arial" w:hAnsi="Arial"/>
          <w:sz w:val="22"/>
          <w:szCs w:val="22"/>
          <w:color w:val="auto"/>
        </w:rPr>
      </w:pPr>
    </w:p>
    <w:p>
      <w:pPr>
        <w:ind w:left="2160" w:hanging="655"/>
        <w:spacing w:after="0"/>
        <w:tabs>
          <w:tab w:leader="none" w:pos="21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Common Stock</w:t>
      </w:r>
      <w:r>
        <w:rPr>
          <w:rFonts w:ascii="Arial" w:cs="Arial" w:eastAsia="Arial" w:hAnsi="Arial"/>
          <w:sz w:val="19"/>
          <w:szCs w:val="19"/>
          <w:color w:val="auto"/>
        </w:rPr>
        <w:t>” means the common stock of the Company, par value</w:t>
      </w:r>
    </w:p>
    <w:p>
      <w:pPr>
        <w:spacing w:after="0" w:line="62" w:lineRule="exact"/>
        <w:rPr>
          <w:sz w:val="20"/>
          <w:szCs w:val="20"/>
          <w:color w:val="auto"/>
        </w:rPr>
      </w:pPr>
    </w:p>
    <w:p>
      <w:pPr>
        <w:ind w:left="860" w:right="419"/>
        <w:spacing w:after="0" w:line="246" w:lineRule="auto"/>
        <w:rPr>
          <w:sz w:val="20"/>
          <w:szCs w:val="20"/>
          <w:color w:val="auto"/>
        </w:rPr>
      </w:pPr>
      <w:r>
        <w:rPr>
          <w:rFonts w:ascii="Arial" w:cs="Arial" w:eastAsia="Arial" w:hAnsi="Arial"/>
          <w:sz w:val="22"/>
          <w:szCs w:val="22"/>
          <w:color w:val="auto"/>
        </w:rPr>
        <w:t>$0.000041666 per share (and any stock or other securities into which such common stock may be converted or into which it may be exchanged).</w:t>
      </w:r>
    </w:p>
    <w:p>
      <w:pPr>
        <w:spacing w:after="0" w:line="186" w:lineRule="exact"/>
        <w:rPr>
          <w:sz w:val="20"/>
          <w:szCs w:val="20"/>
          <w:color w:val="auto"/>
        </w:rPr>
      </w:pPr>
    </w:p>
    <w:p>
      <w:pPr>
        <w:ind w:left="860" w:right="239" w:firstLine="645"/>
        <w:spacing w:after="0" w:line="304" w:lineRule="auto"/>
        <w:tabs>
          <w:tab w:leader="none" w:pos="2156" w:val="left"/>
        </w:tabs>
        <w:numPr>
          <w:ilvl w:val="1"/>
          <w:numId w:val="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 cause for termination of the Participant’s employment or service due to a determination that the Participant is disabled in accordance with a long-term disability insurance program maintained by the Company or a determination by the U.S. Social Security Administration that the Participant is totally disabled.</w:t>
      </w:r>
    </w:p>
    <w:p>
      <w:pPr>
        <w:spacing w:after="0" w:line="135" w:lineRule="exact"/>
        <w:rPr>
          <w:rFonts w:ascii="Arial" w:cs="Arial" w:eastAsia="Arial" w:hAnsi="Arial"/>
          <w:sz w:val="19"/>
          <w:szCs w:val="19"/>
          <w:color w:val="auto"/>
        </w:rPr>
      </w:pPr>
    </w:p>
    <w:p>
      <w:pPr>
        <w:ind w:left="2160" w:hanging="655"/>
        <w:spacing w:after="0"/>
        <w:tabs>
          <w:tab w:leader="none" w:pos="2160" w:val="left"/>
        </w:tabs>
        <w:numPr>
          <w:ilvl w:val="1"/>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shall refer to the United States dollars.</w:t>
      </w:r>
    </w:p>
    <w:p>
      <w:pPr>
        <w:spacing w:after="0" w:line="219" w:lineRule="exact"/>
        <w:rPr>
          <w:rFonts w:ascii="Arial" w:cs="Arial" w:eastAsia="Arial" w:hAnsi="Arial"/>
          <w:sz w:val="22"/>
          <w:szCs w:val="22"/>
          <w:color w:val="auto"/>
        </w:rPr>
      </w:pPr>
    </w:p>
    <w:p>
      <w:pPr>
        <w:ind w:left="860" w:right="439" w:firstLine="645"/>
        <w:spacing w:after="0" w:line="269" w:lineRule="auto"/>
        <w:tabs>
          <w:tab w:leader="none" w:pos="2156" w:val="left"/>
        </w:tabs>
        <w:numPr>
          <w:ilvl w:val="1"/>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Eligible Director</w:t>
      </w:r>
      <w:r>
        <w:rPr>
          <w:rFonts w:ascii="Arial" w:cs="Arial" w:eastAsia="Arial" w:hAnsi="Arial"/>
          <w:sz w:val="22"/>
          <w:szCs w:val="22"/>
          <w:color w:val="auto"/>
        </w:rPr>
        <w:t>” means a director who satisfies the conditions set forth in Section 4(a) of the Plan.</w:t>
      </w:r>
    </w:p>
    <w:p>
      <w:pPr>
        <w:spacing w:after="0" w:line="161" w:lineRule="exact"/>
        <w:rPr>
          <w:rFonts w:ascii="Arial" w:cs="Arial" w:eastAsia="Arial" w:hAnsi="Arial"/>
          <w:sz w:val="22"/>
          <w:szCs w:val="22"/>
          <w:color w:val="auto"/>
        </w:rPr>
      </w:pPr>
    </w:p>
    <w:p>
      <w:pPr>
        <w:ind w:left="860" w:right="319" w:firstLine="645"/>
        <w:spacing w:after="0" w:line="285" w:lineRule="auto"/>
        <w:tabs>
          <w:tab w:leader="none" w:pos="2156" w:val="left"/>
        </w:tabs>
        <w:numPr>
          <w:ilvl w:val="1"/>
          <w:numId w:val="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Eligible Person</w:t>
      </w:r>
      <w:r>
        <w:rPr>
          <w:rFonts w:ascii="Arial" w:cs="Arial" w:eastAsia="Arial" w:hAnsi="Arial"/>
          <w:sz w:val="19"/>
          <w:szCs w:val="19"/>
          <w:color w:val="auto"/>
        </w:rPr>
        <w:t>” means any (i) individual employed by the Company or a Subsidiary; provided, however, that no such employee covered by a collective bargaining agreement shall be an Eligible Person, (ii) director or officer of the Company or a Subsidiary, (iii) consultant or advisor to the Company or an Affiliate who may be offered securities registrable on Form S-8 under the Securities Act, or (iv) prospective employee, director, officer, consultant or advisor who has accepted an offer of employment or service from the Company or its Subsidiaries (and would satisfy the provisions of clause (i), (ii) or</w:t>
      </w:r>
    </w:p>
    <w:p>
      <w:pPr>
        <w:spacing w:after="0" w:line="3" w:lineRule="exact"/>
        <w:rPr>
          <w:rFonts w:ascii="Arial" w:cs="Arial" w:eastAsia="Arial" w:hAnsi="Arial"/>
          <w:sz w:val="19"/>
          <w:szCs w:val="19"/>
          <w:color w:val="auto"/>
        </w:rPr>
      </w:pPr>
    </w:p>
    <w:p>
      <w:pPr>
        <w:ind w:left="860" w:right="819" w:hanging="3"/>
        <w:spacing w:after="0" w:line="246" w:lineRule="auto"/>
        <w:tabs>
          <w:tab w:leader="none" w:pos="1238" w:val="left"/>
        </w:tabs>
        <w:numPr>
          <w:ilvl w:val="0"/>
          <w:numId w:val="45"/>
        </w:numPr>
        <w:rPr>
          <w:rFonts w:ascii="Arial" w:cs="Arial" w:eastAsia="Arial" w:hAnsi="Arial"/>
          <w:sz w:val="22"/>
          <w:szCs w:val="22"/>
          <w:color w:val="auto"/>
        </w:rPr>
      </w:pPr>
      <w:r>
        <w:rPr>
          <w:rFonts w:ascii="Arial" w:cs="Arial" w:eastAsia="Arial" w:hAnsi="Arial"/>
          <w:sz w:val="22"/>
          <w:szCs w:val="22"/>
          <w:color w:val="auto"/>
        </w:rPr>
        <w:t>above once such individual begins employment with or providing services to the Company or a Subsidiary).</w:t>
      </w:r>
    </w:p>
    <w:p>
      <w:pPr>
        <w:spacing w:after="0" w:line="186" w:lineRule="exact"/>
        <w:rPr>
          <w:rFonts w:ascii="Arial" w:cs="Arial" w:eastAsia="Arial" w:hAnsi="Arial"/>
          <w:sz w:val="22"/>
          <w:szCs w:val="22"/>
          <w:color w:val="auto"/>
        </w:rPr>
      </w:pPr>
    </w:p>
    <w:p>
      <w:pPr>
        <w:ind w:left="860" w:right="659" w:firstLine="645"/>
        <w:spacing w:after="0" w:line="315" w:lineRule="auto"/>
        <w:tabs>
          <w:tab w:leader="none" w:pos="2156" w:val="left"/>
        </w:tabs>
        <w:numPr>
          <w:ilvl w:val="1"/>
          <w:numId w:val="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 means the U.S. Securities Exchange Act of 1934, as amended, and any successor thereto. References to any section of (or rule promulgated under) the Exchange Act shall be deemed to include any rules, regulations or other</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02" w:name="page103"/>
    <w:bookmarkEnd w:id="102"/>
    <w:p>
      <w:pPr>
        <w:ind w:left="860" w:right="759"/>
        <w:spacing w:after="0" w:line="263" w:lineRule="auto"/>
        <w:rPr>
          <w:sz w:val="20"/>
          <w:szCs w:val="20"/>
          <w:color w:val="auto"/>
        </w:rPr>
      </w:pPr>
      <w:r>
        <w:rPr>
          <w:rFonts w:ascii="Arial" w:cs="Arial" w:eastAsia="Arial" w:hAnsi="Arial"/>
          <w:sz w:val="22"/>
          <w:szCs w:val="22"/>
          <w:color w:val="auto"/>
        </w:rPr>
        <w:t>interpretative guidance under such section or rule, and any amendments or successors thereto.</w:t>
      </w:r>
    </w:p>
    <w:p>
      <w:pPr>
        <w:spacing w:after="0" w:line="169" w:lineRule="exact"/>
        <w:rPr>
          <w:sz w:val="20"/>
          <w:szCs w:val="20"/>
          <w:color w:val="auto"/>
        </w:rPr>
      </w:pPr>
    </w:p>
    <w:p>
      <w:pPr>
        <w:ind w:left="2160" w:hanging="655"/>
        <w:spacing w:after="0"/>
        <w:tabs>
          <w:tab w:leader="none" w:pos="2160" w:val="left"/>
        </w:tabs>
        <w:numPr>
          <w:ilvl w:val="1"/>
          <w:numId w:val="4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Exercise Price</w:t>
      </w:r>
      <w:r>
        <w:rPr>
          <w:rFonts w:ascii="Arial" w:cs="Arial" w:eastAsia="Arial" w:hAnsi="Arial"/>
          <w:sz w:val="21"/>
          <w:szCs w:val="21"/>
          <w:color w:val="auto"/>
        </w:rPr>
        <w:t>” has the meaning set forth in Section 7(b) of the Plan.</w:t>
      </w:r>
    </w:p>
    <w:p>
      <w:pPr>
        <w:spacing w:after="0" w:line="231" w:lineRule="exact"/>
        <w:rPr>
          <w:rFonts w:ascii="Arial" w:cs="Arial" w:eastAsia="Arial" w:hAnsi="Arial"/>
          <w:sz w:val="21"/>
          <w:szCs w:val="21"/>
          <w:color w:val="auto"/>
        </w:rPr>
      </w:pPr>
    </w:p>
    <w:p>
      <w:pPr>
        <w:jc w:val="both"/>
        <w:ind w:left="860" w:right="279" w:firstLine="645"/>
        <w:spacing w:after="0" w:line="288" w:lineRule="auto"/>
        <w:tabs>
          <w:tab w:leader="none" w:pos="2156" w:val="left"/>
        </w:tabs>
        <w:numPr>
          <w:ilvl w:val="1"/>
          <w:numId w:val="4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Fair Market Value</w:t>
      </w:r>
      <w:r>
        <w:rPr>
          <w:rFonts w:ascii="Arial" w:cs="Arial" w:eastAsia="Arial" w:hAnsi="Arial"/>
          <w:sz w:val="19"/>
          <w:szCs w:val="19"/>
          <w:color w:val="auto"/>
        </w:rPr>
        <w:t>” means, (i) with respect to Common Stock on a given date, (x) if the Common Stock is listed on a national securities exchange, the closing sales price of a share of Common Stock reported on such exchange on such date, or if there is no such sale on that date, then on the last preceding date on which such a sale was reported, or</w:t>
      </w:r>
    </w:p>
    <w:p>
      <w:pPr>
        <w:spacing w:after="0" w:line="1" w:lineRule="exact"/>
        <w:rPr>
          <w:rFonts w:ascii="Arial" w:cs="Arial" w:eastAsia="Arial" w:hAnsi="Arial"/>
          <w:sz w:val="19"/>
          <w:szCs w:val="19"/>
          <w:color w:val="auto"/>
        </w:rPr>
      </w:pPr>
    </w:p>
    <w:p>
      <w:pPr>
        <w:ind w:left="860" w:right="239" w:hanging="3"/>
        <w:spacing w:after="0" w:line="244" w:lineRule="auto"/>
        <w:tabs>
          <w:tab w:leader="none" w:pos="1166"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the Common Stock is not listed on any national securities exchange, the amount determined by the Committee in good faith to be the fair market value of the Common Stock, or (ii) with respect to any other property on any given date, the amount determined by the Committee in good faith to be the fair market value of such other property as of such date.</w:t>
      </w:r>
    </w:p>
    <w:p>
      <w:pPr>
        <w:spacing w:after="0" w:line="188" w:lineRule="exact"/>
        <w:rPr>
          <w:rFonts w:ascii="Arial" w:cs="Arial" w:eastAsia="Arial" w:hAnsi="Arial"/>
          <w:sz w:val="22"/>
          <w:szCs w:val="22"/>
          <w:color w:val="auto"/>
        </w:rPr>
      </w:pPr>
    </w:p>
    <w:p>
      <w:pPr>
        <w:jc w:val="both"/>
        <w:ind w:left="860" w:right="899" w:firstLine="645"/>
        <w:spacing w:after="0" w:line="274" w:lineRule="auto"/>
        <w:tabs>
          <w:tab w:leader="none" w:pos="2156" w:val="left"/>
        </w:tabs>
        <w:numPr>
          <w:ilvl w:val="1"/>
          <w:numId w:val="4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Incentive Stock Option</w:t>
      </w:r>
      <w:r>
        <w:rPr>
          <w:rFonts w:ascii="Arial" w:cs="Arial" w:eastAsia="Arial" w:hAnsi="Arial"/>
          <w:sz w:val="21"/>
          <w:szCs w:val="21"/>
          <w:color w:val="auto"/>
        </w:rPr>
        <w:t>” means an Option that is designated by the Committee as an incentive stock option as described in Section 422 of the Code and otherwise meets the requirements set forth in the Plan.</w:t>
      </w:r>
    </w:p>
    <w:p>
      <w:pPr>
        <w:spacing w:after="0" w:line="171" w:lineRule="exact"/>
        <w:rPr>
          <w:rFonts w:ascii="Arial" w:cs="Arial" w:eastAsia="Arial" w:hAnsi="Arial"/>
          <w:sz w:val="21"/>
          <w:szCs w:val="21"/>
          <w:color w:val="auto"/>
        </w:rPr>
      </w:pPr>
    </w:p>
    <w:p>
      <w:pPr>
        <w:ind w:left="2160" w:hanging="655"/>
        <w:spacing w:after="0"/>
        <w:tabs>
          <w:tab w:leader="none" w:pos="2160" w:val="left"/>
        </w:tabs>
        <w:numPr>
          <w:ilvl w:val="1"/>
          <w:numId w:val="4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Immediate Family Members</w:t>
      </w:r>
      <w:r>
        <w:rPr>
          <w:rFonts w:ascii="Arial" w:cs="Arial" w:eastAsia="Arial" w:hAnsi="Arial"/>
          <w:sz w:val="19"/>
          <w:szCs w:val="19"/>
          <w:color w:val="auto"/>
        </w:rPr>
        <w:t>” has the meaning set forth in Section 14(b)</w:t>
      </w:r>
    </w:p>
    <w:p>
      <w:pPr>
        <w:spacing w:after="0" w:line="61" w:lineRule="exact"/>
        <w:rPr>
          <w:rFonts w:ascii="Arial" w:cs="Arial" w:eastAsia="Arial" w:hAnsi="Arial"/>
          <w:sz w:val="19"/>
          <w:szCs w:val="19"/>
          <w:color w:val="auto"/>
        </w:rPr>
      </w:pPr>
    </w:p>
    <w:p>
      <w:pPr>
        <w:ind w:left="1180" w:hanging="323"/>
        <w:spacing w:after="0"/>
        <w:tabs>
          <w:tab w:leader="none" w:pos="11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of the Plan.</w:t>
      </w:r>
    </w:p>
    <w:p>
      <w:pPr>
        <w:spacing w:after="0" w:line="195" w:lineRule="exact"/>
        <w:rPr>
          <w:rFonts w:ascii="Arial" w:cs="Arial" w:eastAsia="Arial" w:hAnsi="Arial"/>
          <w:sz w:val="22"/>
          <w:szCs w:val="22"/>
          <w:color w:val="auto"/>
        </w:rPr>
      </w:pPr>
    </w:p>
    <w:p>
      <w:pPr>
        <w:ind w:left="2160" w:hanging="655"/>
        <w:spacing w:after="0"/>
        <w:tabs>
          <w:tab w:leader="none" w:pos="2160" w:val="left"/>
        </w:tabs>
        <w:numPr>
          <w:ilvl w:val="1"/>
          <w:numId w:val="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Indemnifiable Person</w:t>
      </w:r>
      <w:r>
        <w:rPr>
          <w:rFonts w:ascii="Arial" w:cs="Arial" w:eastAsia="Arial" w:hAnsi="Arial"/>
          <w:sz w:val="19"/>
          <w:szCs w:val="19"/>
          <w:color w:val="auto"/>
        </w:rPr>
        <w:t>” has the meaning set forth in Section 4(e) of the</w:t>
      </w:r>
    </w:p>
    <w:p>
      <w:pPr>
        <w:spacing w:after="0" w:line="61" w:lineRule="exact"/>
        <w:rPr>
          <w:rFonts w:ascii="Arial" w:cs="Arial" w:eastAsia="Arial" w:hAnsi="Arial"/>
          <w:sz w:val="19"/>
          <w:szCs w:val="19"/>
          <w:color w:val="auto"/>
        </w:rPr>
      </w:pPr>
    </w:p>
    <w:p>
      <w:pPr>
        <w:ind w:left="860"/>
        <w:spacing w:after="0"/>
        <w:rPr>
          <w:rFonts w:ascii="Arial" w:cs="Arial" w:eastAsia="Arial" w:hAnsi="Arial"/>
          <w:sz w:val="19"/>
          <w:szCs w:val="19"/>
          <w:color w:val="auto"/>
        </w:rPr>
      </w:pPr>
      <w:r>
        <w:rPr>
          <w:rFonts w:ascii="Arial" w:cs="Arial" w:eastAsia="Arial" w:hAnsi="Arial"/>
          <w:sz w:val="22"/>
          <w:szCs w:val="22"/>
          <w:color w:val="auto"/>
        </w:rPr>
        <w:t>Plan.</w:t>
      </w:r>
    </w:p>
    <w:p>
      <w:pPr>
        <w:spacing w:after="0" w:line="195" w:lineRule="exact"/>
        <w:rPr>
          <w:rFonts w:ascii="Arial" w:cs="Arial" w:eastAsia="Arial" w:hAnsi="Arial"/>
          <w:sz w:val="19"/>
          <w:szCs w:val="19"/>
          <w:color w:val="auto"/>
        </w:rPr>
      </w:pPr>
    </w:p>
    <w:p>
      <w:pPr>
        <w:ind w:left="2160" w:hanging="655"/>
        <w:spacing w:after="0"/>
        <w:tabs>
          <w:tab w:leader="none" w:pos="2160" w:val="left"/>
        </w:tabs>
        <w:numPr>
          <w:ilvl w:val="1"/>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NASDAQ</w:t>
      </w:r>
      <w:r>
        <w:rPr>
          <w:rFonts w:ascii="Arial" w:cs="Arial" w:eastAsia="Arial" w:hAnsi="Arial"/>
          <w:sz w:val="22"/>
          <w:szCs w:val="22"/>
          <w:color w:val="auto"/>
        </w:rPr>
        <w:t>” means The NASDAQ Stock Market.</w:t>
      </w:r>
    </w:p>
    <w:p>
      <w:pPr>
        <w:spacing w:after="0" w:line="219" w:lineRule="exact"/>
        <w:rPr>
          <w:rFonts w:ascii="Arial" w:cs="Arial" w:eastAsia="Arial" w:hAnsi="Arial"/>
          <w:sz w:val="22"/>
          <w:szCs w:val="22"/>
          <w:color w:val="auto"/>
        </w:rPr>
      </w:pPr>
    </w:p>
    <w:p>
      <w:pPr>
        <w:ind w:left="860" w:right="539" w:firstLine="645"/>
        <w:spacing w:after="0" w:line="269" w:lineRule="auto"/>
        <w:tabs>
          <w:tab w:leader="none" w:pos="2156" w:val="left"/>
        </w:tabs>
        <w:numPr>
          <w:ilvl w:val="1"/>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Nonqualified Stock Option</w:t>
      </w:r>
      <w:r>
        <w:rPr>
          <w:rFonts w:ascii="Arial" w:cs="Arial" w:eastAsia="Arial" w:hAnsi="Arial"/>
          <w:sz w:val="22"/>
          <w:szCs w:val="22"/>
          <w:color w:val="auto"/>
        </w:rPr>
        <w:t>” means an Option that is not designated by the Committee as an Incentive Stock Option.</w:t>
      </w:r>
    </w:p>
    <w:p>
      <w:pPr>
        <w:spacing w:after="0" w:line="161" w:lineRule="exact"/>
        <w:rPr>
          <w:rFonts w:ascii="Arial" w:cs="Arial" w:eastAsia="Arial" w:hAnsi="Arial"/>
          <w:sz w:val="22"/>
          <w:szCs w:val="22"/>
          <w:color w:val="auto"/>
        </w:rPr>
      </w:pPr>
    </w:p>
    <w:p>
      <w:pPr>
        <w:ind w:left="2160" w:hanging="655"/>
        <w:spacing w:after="0"/>
        <w:tabs>
          <w:tab w:leader="none" w:pos="2160" w:val="left"/>
        </w:tabs>
        <w:numPr>
          <w:ilvl w:val="1"/>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w:t>
      </w:r>
      <w:r>
        <w:rPr>
          <w:rFonts w:ascii="Arial" w:cs="Arial" w:eastAsia="Arial" w:hAnsi="Arial"/>
          <w:sz w:val="22"/>
          <w:szCs w:val="22"/>
          <w:color w:val="auto"/>
        </w:rPr>
        <w:t>” means an Award granted under Section 7 of the Plan.</w:t>
      </w:r>
    </w:p>
    <w:p>
      <w:pPr>
        <w:spacing w:after="0" w:line="219" w:lineRule="exact"/>
        <w:rPr>
          <w:rFonts w:ascii="Arial" w:cs="Arial" w:eastAsia="Arial" w:hAnsi="Arial"/>
          <w:sz w:val="22"/>
          <w:szCs w:val="22"/>
          <w:color w:val="auto"/>
        </w:rPr>
      </w:pPr>
    </w:p>
    <w:p>
      <w:pPr>
        <w:ind w:left="2160" w:hanging="655"/>
        <w:spacing w:after="0"/>
        <w:tabs>
          <w:tab w:leader="none" w:pos="2160" w:val="left"/>
        </w:tabs>
        <w:numPr>
          <w:ilvl w:val="1"/>
          <w:numId w:val="4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Option Period</w:t>
      </w:r>
      <w:r>
        <w:rPr>
          <w:rFonts w:ascii="Arial" w:cs="Arial" w:eastAsia="Arial" w:hAnsi="Arial"/>
          <w:sz w:val="21"/>
          <w:szCs w:val="21"/>
          <w:color w:val="auto"/>
        </w:rPr>
        <w:t>” has the meaning set forth in Section 7(c) of the Plan.</w:t>
      </w:r>
    </w:p>
    <w:p>
      <w:pPr>
        <w:spacing w:after="0" w:line="231" w:lineRule="exact"/>
        <w:rPr>
          <w:rFonts w:ascii="Arial" w:cs="Arial" w:eastAsia="Arial" w:hAnsi="Arial"/>
          <w:sz w:val="21"/>
          <w:szCs w:val="21"/>
          <w:color w:val="auto"/>
        </w:rPr>
      </w:pPr>
    </w:p>
    <w:p>
      <w:pPr>
        <w:ind w:left="2160" w:hanging="655"/>
        <w:spacing w:after="0"/>
        <w:tabs>
          <w:tab w:leader="none" w:pos="2160" w:val="left"/>
        </w:tabs>
        <w:numPr>
          <w:ilvl w:val="1"/>
          <w:numId w:val="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Stock-Based Award</w:t>
      </w:r>
      <w:r>
        <w:rPr>
          <w:rFonts w:ascii="Arial" w:cs="Arial" w:eastAsia="Arial" w:hAnsi="Arial"/>
          <w:sz w:val="19"/>
          <w:szCs w:val="19"/>
          <w:color w:val="auto"/>
        </w:rPr>
        <w:t>” means an Award granted under Section 10 of</w:t>
      </w:r>
    </w:p>
    <w:p>
      <w:pPr>
        <w:spacing w:after="0" w:line="61" w:lineRule="exact"/>
        <w:rPr>
          <w:rFonts w:ascii="Arial" w:cs="Arial" w:eastAsia="Arial" w:hAnsi="Arial"/>
          <w:sz w:val="19"/>
          <w:szCs w:val="19"/>
          <w:color w:val="auto"/>
        </w:rPr>
      </w:pPr>
    </w:p>
    <w:p>
      <w:pPr>
        <w:ind w:left="860"/>
        <w:spacing w:after="0"/>
        <w:rPr>
          <w:rFonts w:ascii="Arial" w:cs="Arial" w:eastAsia="Arial" w:hAnsi="Arial"/>
          <w:sz w:val="19"/>
          <w:szCs w:val="19"/>
          <w:color w:val="auto"/>
        </w:rPr>
      </w:pPr>
      <w:r>
        <w:rPr>
          <w:rFonts w:ascii="Arial" w:cs="Arial" w:eastAsia="Arial" w:hAnsi="Arial"/>
          <w:sz w:val="22"/>
          <w:szCs w:val="22"/>
          <w:color w:val="auto"/>
        </w:rPr>
        <w:t>the Plan.</w:t>
      </w:r>
    </w:p>
    <w:p>
      <w:pPr>
        <w:spacing w:after="0" w:line="195" w:lineRule="exact"/>
        <w:rPr>
          <w:rFonts w:ascii="Arial" w:cs="Arial" w:eastAsia="Arial" w:hAnsi="Arial"/>
          <w:sz w:val="19"/>
          <w:szCs w:val="19"/>
          <w:color w:val="auto"/>
        </w:rPr>
      </w:pPr>
    </w:p>
    <w:p>
      <w:pPr>
        <w:ind w:left="2160" w:hanging="655"/>
        <w:spacing w:after="0"/>
        <w:tabs>
          <w:tab w:leader="none" w:pos="2160" w:val="left"/>
        </w:tabs>
        <w:numPr>
          <w:ilvl w:val="1"/>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has the meaning set forth in Section 6 of the Plan.</w:t>
      </w:r>
    </w:p>
    <w:p>
      <w:pPr>
        <w:spacing w:after="0" w:line="220" w:lineRule="exact"/>
        <w:rPr>
          <w:sz w:val="20"/>
          <w:szCs w:val="20"/>
          <w:color w:val="auto"/>
        </w:rPr>
      </w:pPr>
    </w:p>
    <w:p>
      <w:pPr>
        <w:ind w:left="2160" w:hanging="655"/>
        <w:spacing w:after="0"/>
        <w:tabs>
          <w:tab w:leader="none" w:pos="21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Transferee</w:t>
      </w:r>
      <w:r>
        <w:rPr>
          <w:rFonts w:ascii="Arial" w:cs="Arial" w:eastAsia="Arial" w:hAnsi="Arial"/>
          <w:sz w:val="19"/>
          <w:szCs w:val="19"/>
          <w:color w:val="auto"/>
        </w:rPr>
        <w:t>” has the meaning set forth in Section 14(b)(ii) of the</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Plan.</w:t>
      </w:r>
    </w:p>
    <w:p>
      <w:pPr>
        <w:spacing w:after="0" w:line="196" w:lineRule="exact"/>
        <w:rPr>
          <w:sz w:val="20"/>
          <w:szCs w:val="20"/>
          <w:color w:val="auto"/>
        </w:rPr>
      </w:pPr>
    </w:p>
    <w:p>
      <w:pPr>
        <w:ind w:left="860" w:right="359" w:firstLine="645"/>
        <w:spacing w:after="0" w:line="298" w:lineRule="auto"/>
        <w:tabs>
          <w:tab w:leader="none" w:pos="2156" w:val="left"/>
        </w:tabs>
        <w:numPr>
          <w:ilvl w:val="0"/>
          <w:numId w:val="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has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03" w:name="page104"/>
    <w:bookmarkEnd w:id="103"/>
    <w:p>
      <w:pPr>
        <w:ind w:left="860" w:right="439" w:hanging="3"/>
        <w:spacing w:after="0" w:line="343" w:lineRule="auto"/>
        <w:tabs>
          <w:tab w:leader="none" w:pos="1226" w:val="left"/>
        </w:tabs>
        <w:numPr>
          <w:ilvl w:val="0"/>
          <w:numId w:val="51"/>
        </w:numPr>
        <w:rPr>
          <w:rFonts w:ascii="Arial" w:cs="Arial" w:eastAsia="Arial" w:hAnsi="Arial"/>
          <w:sz w:val="19"/>
          <w:szCs w:val="19"/>
          <w:color w:val="auto"/>
        </w:rPr>
      </w:pPr>
      <w:r>
        <w:rPr>
          <w:rFonts w:ascii="Arial" w:cs="Arial" w:eastAsia="Arial" w:hAnsi="Arial"/>
          <w:sz w:val="19"/>
          <w:szCs w:val="19"/>
          <w:color w:val="auto"/>
        </w:rPr>
        <w:t>a corporation owned, directly or indirectly, by the stockholders of the Company in substantially the same proportions as their ownership of Common Stock of the Company.</w:t>
      </w:r>
    </w:p>
    <w:p>
      <w:pPr>
        <w:spacing w:after="0" w:line="98" w:lineRule="exact"/>
        <w:rPr>
          <w:rFonts w:ascii="Arial" w:cs="Arial" w:eastAsia="Arial" w:hAnsi="Arial"/>
          <w:sz w:val="19"/>
          <w:szCs w:val="19"/>
          <w:color w:val="auto"/>
        </w:rPr>
      </w:pPr>
    </w:p>
    <w:p>
      <w:pPr>
        <w:ind w:left="2160" w:hanging="655"/>
        <w:spacing w:after="0"/>
        <w:tabs>
          <w:tab w:leader="none" w:pos="2160" w:val="left"/>
        </w:tabs>
        <w:numPr>
          <w:ilvl w:val="1"/>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Released Unit</w:t>
      </w:r>
      <w:r>
        <w:rPr>
          <w:rFonts w:ascii="Arial" w:cs="Arial" w:eastAsia="Arial" w:hAnsi="Arial"/>
          <w:sz w:val="19"/>
          <w:szCs w:val="19"/>
          <w:color w:val="auto"/>
        </w:rPr>
        <w:t>” has the meaning set forth in Section 9(d)(ii) of the Plan.</w:t>
      </w:r>
    </w:p>
    <w:p>
      <w:pPr>
        <w:spacing w:after="0" w:line="254" w:lineRule="exact"/>
        <w:rPr>
          <w:rFonts w:ascii="Arial" w:cs="Arial" w:eastAsia="Arial" w:hAnsi="Arial"/>
          <w:sz w:val="19"/>
          <w:szCs w:val="19"/>
          <w:color w:val="auto"/>
        </w:rPr>
      </w:pPr>
    </w:p>
    <w:p>
      <w:pPr>
        <w:ind w:left="2160" w:hanging="655"/>
        <w:spacing w:after="0"/>
        <w:tabs>
          <w:tab w:leader="none" w:pos="2160" w:val="left"/>
        </w:tabs>
        <w:numPr>
          <w:ilvl w:val="1"/>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Period</w:t>
      </w:r>
      <w:r>
        <w:rPr>
          <w:rFonts w:ascii="Arial" w:cs="Arial" w:eastAsia="Arial" w:hAnsi="Arial"/>
          <w:sz w:val="19"/>
          <w:szCs w:val="19"/>
          <w:color w:val="auto"/>
        </w:rPr>
        <w:t>” has the meaning set forth in Section 9(a) of the Plan.</w:t>
      </w:r>
    </w:p>
    <w:p>
      <w:pPr>
        <w:spacing w:after="0" w:line="254" w:lineRule="exact"/>
        <w:rPr>
          <w:rFonts w:ascii="Arial" w:cs="Arial" w:eastAsia="Arial" w:hAnsi="Arial"/>
          <w:sz w:val="19"/>
          <w:szCs w:val="19"/>
          <w:color w:val="auto"/>
        </w:rPr>
      </w:pPr>
    </w:p>
    <w:p>
      <w:pPr>
        <w:ind w:left="860" w:right="459" w:firstLine="645"/>
        <w:spacing w:after="0" w:line="269" w:lineRule="auto"/>
        <w:tabs>
          <w:tab w:leader="none" w:pos="2156" w:val="left"/>
        </w:tabs>
        <w:numPr>
          <w:ilvl w:val="1"/>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Stock</w:t>
      </w:r>
      <w:r>
        <w:rPr>
          <w:rFonts w:ascii="Arial" w:cs="Arial" w:eastAsia="Arial" w:hAnsi="Arial"/>
          <w:sz w:val="22"/>
          <w:szCs w:val="22"/>
          <w:color w:val="auto"/>
        </w:rPr>
        <w:t>” means an Award of Common Stock, subject to certain specified restrictions, granted under Section 9 of the Plan.</w:t>
      </w:r>
    </w:p>
    <w:p>
      <w:pPr>
        <w:spacing w:after="0" w:line="161" w:lineRule="exact"/>
        <w:rPr>
          <w:rFonts w:ascii="Arial" w:cs="Arial" w:eastAsia="Arial" w:hAnsi="Arial"/>
          <w:sz w:val="22"/>
          <w:szCs w:val="22"/>
          <w:color w:val="auto"/>
        </w:rPr>
      </w:pPr>
    </w:p>
    <w:p>
      <w:pPr>
        <w:ind w:left="860" w:right="219" w:firstLine="645"/>
        <w:spacing w:after="0" w:line="315" w:lineRule="auto"/>
        <w:tabs>
          <w:tab w:leader="none" w:pos="2156" w:val="left"/>
        </w:tabs>
        <w:numPr>
          <w:ilvl w:val="1"/>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Stock Unit</w:t>
      </w:r>
      <w:r>
        <w:rPr>
          <w:rFonts w:ascii="Arial" w:cs="Arial" w:eastAsia="Arial" w:hAnsi="Arial"/>
          <w:sz w:val="19"/>
          <w:szCs w:val="19"/>
          <w:color w:val="auto"/>
        </w:rPr>
        <w:t>” means an Award of an unfunded and unsecured promise to deliver shares of Common Stock, cash, other securities or other property, subject to certain specified restrictions, granted under Section 9 of the Plan.</w:t>
      </w:r>
    </w:p>
    <w:p>
      <w:pPr>
        <w:spacing w:after="0" w:line="125" w:lineRule="exact"/>
        <w:rPr>
          <w:rFonts w:ascii="Arial" w:cs="Arial" w:eastAsia="Arial" w:hAnsi="Arial"/>
          <w:sz w:val="19"/>
          <w:szCs w:val="19"/>
          <w:color w:val="auto"/>
        </w:rPr>
      </w:pPr>
    </w:p>
    <w:p>
      <w:pPr>
        <w:ind w:left="2160" w:hanging="655"/>
        <w:spacing w:after="0"/>
        <w:tabs>
          <w:tab w:leader="none" w:pos="2160" w:val="left"/>
        </w:tabs>
        <w:numPr>
          <w:ilvl w:val="1"/>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SAR Period</w:t>
      </w:r>
      <w:r>
        <w:rPr>
          <w:rFonts w:ascii="Arial" w:cs="Arial" w:eastAsia="Arial" w:hAnsi="Arial"/>
          <w:sz w:val="22"/>
          <w:szCs w:val="22"/>
          <w:color w:val="auto"/>
        </w:rPr>
        <w:t>” has the meaning set forth in Section 8(c) of the Plan.</w:t>
      </w:r>
    </w:p>
    <w:p>
      <w:pPr>
        <w:spacing w:after="0" w:line="219" w:lineRule="exact"/>
        <w:rPr>
          <w:rFonts w:ascii="Arial" w:cs="Arial" w:eastAsia="Arial" w:hAnsi="Arial"/>
          <w:sz w:val="22"/>
          <w:szCs w:val="22"/>
          <w:color w:val="auto"/>
        </w:rPr>
      </w:pPr>
    </w:p>
    <w:p>
      <w:pPr>
        <w:ind w:left="860" w:right="399" w:firstLine="645"/>
        <w:spacing w:after="0" w:line="298" w:lineRule="auto"/>
        <w:tabs>
          <w:tab w:leader="none" w:pos="2156" w:val="left"/>
        </w:tabs>
        <w:numPr>
          <w:ilvl w:val="1"/>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Securities Act</w:t>
      </w:r>
      <w:r>
        <w:rPr>
          <w:rFonts w:ascii="Arial" w:cs="Arial" w:eastAsia="Arial" w:hAnsi="Arial"/>
          <w:sz w:val="19"/>
          <w:szCs w:val="19"/>
          <w:color w:val="auto"/>
        </w:rPr>
        <w:t>” means the U.S.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other interpretive guidance.</w:t>
      </w:r>
    </w:p>
    <w:p>
      <w:pPr>
        <w:spacing w:after="0" w:line="155" w:lineRule="exact"/>
        <w:rPr>
          <w:rFonts w:ascii="Arial" w:cs="Arial" w:eastAsia="Arial" w:hAnsi="Arial"/>
          <w:sz w:val="19"/>
          <w:szCs w:val="19"/>
          <w:color w:val="auto"/>
        </w:rPr>
      </w:pPr>
    </w:p>
    <w:p>
      <w:pPr>
        <w:ind w:left="2160" w:hanging="655"/>
        <w:spacing w:after="0"/>
        <w:tabs>
          <w:tab w:leader="none" w:pos="2160" w:val="left"/>
        </w:tabs>
        <w:numPr>
          <w:ilvl w:val="1"/>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Strike Price</w:t>
      </w:r>
      <w:r>
        <w:rPr>
          <w:rFonts w:ascii="Arial" w:cs="Arial" w:eastAsia="Arial" w:hAnsi="Arial"/>
          <w:sz w:val="22"/>
          <w:szCs w:val="22"/>
          <w:color w:val="auto"/>
        </w:rPr>
        <w:t>” has the meaning set forth in Section 8(b) of the Plan.</w:t>
      </w:r>
    </w:p>
    <w:p>
      <w:pPr>
        <w:spacing w:after="0" w:line="219" w:lineRule="exact"/>
        <w:rPr>
          <w:rFonts w:ascii="Arial" w:cs="Arial" w:eastAsia="Arial" w:hAnsi="Arial"/>
          <w:sz w:val="22"/>
          <w:szCs w:val="22"/>
          <w:color w:val="auto"/>
        </w:rPr>
      </w:pPr>
    </w:p>
    <w:p>
      <w:pPr>
        <w:ind w:left="860" w:right="699" w:firstLine="645"/>
        <w:spacing w:after="0" w:line="269" w:lineRule="auto"/>
        <w:tabs>
          <w:tab w:leader="none" w:pos="2156" w:val="left"/>
        </w:tabs>
        <w:numPr>
          <w:ilvl w:val="1"/>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 Appreciation Right</w:t>
      </w:r>
      <w:r>
        <w:rPr>
          <w:rFonts w:ascii="Arial" w:cs="Arial" w:eastAsia="Arial" w:hAnsi="Arial"/>
          <w:sz w:val="22"/>
          <w:szCs w:val="22"/>
          <w:color w:val="auto"/>
        </w:rPr>
        <w:t>” or “</w:t>
      </w:r>
      <w:r>
        <w:rPr>
          <w:rFonts w:ascii="Arial" w:cs="Arial" w:eastAsia="Arial" w:hAnsi="Arial"/>
          <w:sz w:val="22"/>
          <w:szCs w:val="22"/>
          <w:u w:val="single" w:color="auto"/>
          <w:color w:val="auto"/>
        </w:rPr>
        <w:t>SAR</w:t>
      </w:r>
      <w:r>
        <w:rPr>
          <w:rFonts w:ascii="Arial" w:cs="Arial" w:eastAsia="Arial" w:hAnsi="Arial"/>
          <w:sz w:val="22"/>
          <w:szCs w:val="22"/>
          <w:color w:val="auto"/>
        </w:rPr>
        <w:t>” means an Award granted under Section 8 of the Plan.</w:t>
      </w:r>
    </w:p>
    <w:p>
      <w:pPr>
        <w:spacing w:after="0" w:line="161" w:lineRule="exact"/>
        <w:rPr>
          <w:rFonts w:ascii="Arial" w:cs="Arial" w:eastAsia="Arial" w:hAnsi="Arial"/>
          <w:sz w:val="22"/>
          <w:szCs w:val="22"/>
          <w:color w:val="auto"/>
        </w:rPr>
      </w:pPr>
    </w:p>
    <w:p>
      <w:pPr>
        <w:ind w:left="860" w:right="279" w:firstLine="645"/>
        <w:spacing w:after="0" w:line="256" w:lineRule="auto"/>
        <w:tabs>
          <w:tab w:leader="none" w:pos="2156" w:val="left"/>
        </w:tabs>
        <w:numPr>
          <w:ilvl w:val="1"/>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means any corporation or other entity a majority of whose outstanding voting stock or voting power is beneficially owned directly or indirectly by the Company.</w:t>
      </w:r>
    </w:p>
    <w:p>
      <w:pPr>
        <w:spacing w:after="0" w:line="176" w:lineRule="exact"/>
        <w:rPr>
          <w:rFonts w:ascii="Arial" w:cs="Arial" w:eastAsia="Arial" w:hAnsi="Arial"/>
          <w:sz w:val="22"/>
          <w:szCs w:val="22"/>
          <w:color w:val="auto"/>
        </w:rPr>
      </w:pPr>
    </w:p>
    <w:p>
      <w:pPr>
        <w:ind w:left="2160" w:hanging="655"/>
        <w:spacing w:after="0"/>
        <w:tabs>
          <w:tab w:leader="none" w:pos="2160" w:val="left"/>
        </w:tabs>
        <w:numPr>
          <w:ilvl w:val="1"/>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Substitute Awards</w:t>
      </w:r>
      <w:r>
        <w:rPr>
          <w:rFonts w:ascii="Arial" w:cs="Arial" w:eastAsia="Arial" w:hAnsi="Arial"/>
          <w:sz w:val="19"/>
          <w:szCs w:val="19"/>
          <w:color w:val="auto"/>
        </w:rPr>
        <w:t>” has the meaning set forth in Section 5(e) of the Plan.</w:t>
      </w:r>
    </w:p>
    <w:p>
      <w:pPr>
        <w:spacing w:after="0" w:line="260" w:lineRule="exact"/>
        <w:rPr>
          <w:sz w:val="20"/>
          <w:szCs w:val="20"/>
          <w:color w:val="auto"/>
        </w:rPr>
      </w:pPr>
    </w:p>
    <w:p>
      <w:pPr>
        <w:ind w:left="1500" w:hanging="643"/>
        <w:spacing w:after="0"/>
        <w:tabs>
          <w:tab w:leader="none" w:pos="150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860" w:right="239" w:firstLine="645"/>
        <w:spacing w:after="0" w:line="287" w:lineRule="auto"/>
        <w:tabs>
          <w:tab w:leader="none" w:pos="2156"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Plan shall be administered by the Committee or, in the Board’s sole discretion, by the Board. Subject to the terms of the Plan, the Committee (or the Board) shall have the sole and plenary authority to (i) designate Participants, (ii) determine the type, size, and terms and conditions of Awards to be granted and to grant such Awards, (iii) determine the method by which an Award may be settled, exercised, canceled, forfeited, suspended, or repurchased by the Company, (iv) determine the circumstances under which the delivery of cash, property or other amounts payable with respect to an Award may be deferred, either automatically or at the Participant’s or Committee’s election, (v) interpret, administer, reconcile any inconsistency in, correct any defect in and supply any omission in the Plan and any Award granted under the Plan, (vi) establish, amend, suspend, or waive any rules and regulations and appoint such agents as the Committee shall deem appropriate for the proper administration of the Plan, (vii)</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04" w:name="page105"/>
    <w:bookmarkEnd w:id="104"/>
    <w:p>
      <w:pPr>
        <w:ind w:left="860" w:right="219"/>
        <w:spacing w:after="0" w:line="283" w:lineRule="auto"/>
        <w:rPr>
          <w:sz w:val="20"/>
          <w:szCs w:val="20"/>
          <w:color w:val="auto"/>
        </w:rPr>
      </w:pPr>
      <w:r>
        <w:rPr>
          <w:rFonts w:ascii="Arial" w:cs="Arial" w:eastAsia="Arial" w:hAnsi="Arial"/>
          <w:sz w:val="19"/>
          <w:szCs w:val="19"/>
          <w:color w:val="auto"/>
        </w:rPr>
        <w:t>accelerate the vesting, delivery or exercisability of, or payment for or lapse of restrictions on, or waive any condition in respect of, Awards, and (viii) make any other determination and take any other action that the Committee deems necessary or desirable for the administration of the Plan or to comply with any applicable law. To the extent required to comply with the provisions of Rule 16b-3 promulgated under the Exchange Act (if applicable and if the Board is not acting as the Committee under the Plan), or any exception or exemption under applicable securities laws or the applicable NASDAQ rules or the rules of any other securities exchange or inter-dealer quotation service on which the Common Stock is listed or quoted, as applicable, it is intended that each member of the Committee shall, at the time such member takes any action with respect to an Award under the Plan, be</w:t>
      </w:r>
    </w:p>
    <w:p>
      <w:pPr>
        <w:spacing w:after="0" w:line="7" w:lineRule="exact"/>
        <w:rPr>
          <w:sz w:val="20"/>
          <w:szCs w:val="20"/>
          <w:color w:val="auto"/>
        </w:rPr>
      </w:pPr>
    </w:p>
    <w:p>
      <w:pPr>
        <w:ind w:left="860" w:right="239" w:hanging="3"/>
        <w:spacing w:after="0" w:line="291" w:lineRule="auto"/>
        <w:tabs>
          <w:tab w:leader="none" w:pos="1166" w:val="left"/>
        </w:tabs>
        <w:numPr>
          <w:ilvl w:val="0"/>
          <w:numId w:val="53"/>
        </w:numPr>
        <w:rPr>
          <w:rFonts w:ascii="Arial" w:cs="Arial" w:eastAsia="Arial" w:hAnsi="Arial"/>
          <w:sz w:val="19"/>
          <w:szCs w:val="19"/>
          <w:color w:val="auto"/>
        </w:rPr>
      </w:pPr>
      <w:r>
        <w:rPr>
          <w:rFonts w:ascii="Arial" w:cs="Arial" w:eastAsia="Arial" w:hAnsi="Arial"/>
          <w:sz w:val="19"/>
          <w:szCs w:val="19"/>
          <w:color w:val="auto"/>
        </w:rPr>
        <w:t>a “non- employee director” within the meaning of Rule 16b-3 promulgated under the Exchange Act or (2) an “independent director” under NASDAQ rules or the rules of any other securities exchange or inter- dealer quotation service on which the Common Stock is listed or quoted, or a person meeting any similar requirement under any successor rule or regulation (“</w:t>
      </w:r>
      <w:r>
        <w:rPr>
          <w:rFonts w:ascii="Arial" w:cs="Arial" w:eastAsia="Arial" w:hAnsi="Arial"/>
          <w:sz w:val="19"/>
          <w:szCs w:val="19"/>
          <w:b w:val="1"/>
          <w:bCs w:val="1"/>
          <w:color w:val="auto"/>
        </w:rPr>
        <w:t>Eligible Director</w:t>
      </w:r>
      <w:r>
        <w:rPr>
          <w:rFonts w:ascii="Arial" w:cs="Arial" w:eastAsia="Arial" w:hAnsi="Arial"/>
          <w:sz w:val="19"/>
          <w:szCs w:val="19"/>
          <w:color w:val="auto"/>
        </w:rPr>
        <w:t>”). However, the fact that a Committee member shall fail to qualify as an Eligible Director shall not invalidate any Award granted or action taken by the Committee that is otherwise validly granted or taken under the Plan.</w:t>
      </w:r>
    </w:p>
    <w:p>
      <w:pPr>
        <w:spacing w:after="0" w:line="152" w:lineRule="exact"/>
        <w:rPr>
          <w:rFonts w:ascii="Arial" w:cs="Arial" w:eastAsia="Arial" w:hAnsi="Arial"/>
          <w:sz w:val="19"/>
          <w:szCs w:val="19"/>
          <w:color w:val="auto"/>
        </w:rPr>
      </w:pPr>
    </w:p>
    <w:p>
      <w:pPr>
        <w:ind w:left="860" w:right="419" w:firstLine="645"/>
        <w:spacing w:after="0" w:line="302" w:lineRule="auto"/>
        <w:tabs>
          <w:tab w:leader="none" w:pos="2156"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Committee may delegate all or any portion of its responsibilities and powers to any persons selected by it, except for grants of Awards to persons who are non-employee members of the Board or are otherwise subject to Section 16 of the Exchange Act. Any such delegation may be revoked by the Committee at any time.</w:t>
      </w:r>
    </w:p>
    <w:p>
      <w:pPr>
        <w:spacing w:after="0" w:line="142" w:lineRule="exact"/>
        <w:rPr>
          <w:rFonts w:ascii="Arial" w:cs="Arial" w:eastAsia="Arial" w:hAnsi="Arial"/>
          <w:sz w:val="19"/>
          <w:szCs w:val="19"/>
          <w:color w:val="auto"/>
        </w:rPr>
      </w:pPr>
    </w:p>
    <w:p>
      <w:pPr>
        <w:ind w:left="860" w:right="359" w:firstLine="645"/>
        <w:spacing w:after="0" w:line="290" w:lineRule="auto"/>
        <w:tabs>
          <w:tab w:leader="none" w:pos="2156" w:val="left"/>
        </w:tabs>
        <w:numPr>
          <w:ilvl w:val="1"/>
          <w:numId w:val="53"/>
        </w:numPr>
        <w:rPr>
          <w:rFonts w:ascii="Arial" w:cs="Arial" w:eastAsia="Arial" w:hAnsi="Arial"/>
          <w:sz w:val="19"/>
          <w:szCs w:val="19"/>
          <w:color w:val="auto"/>
        </w:rPr>
      </w:pPr>
      <w:r>
        <w:rPr>
          <w:rFonts w:ascii="Arial" w:cs="Arial" w:eastAsia="Arial" w:hAnsi="Arial"/>
          <w:sz w:val="19"/>
          <w:szCs w:val="19"/>
          <w:color w:val="auto"/>
        </w:rPr>
        <w:t>As further set forth in Section 14(f) of the Plan, the Committee shall have the authority to amend the Plan and Awards to the extent necessary to permit participation in the Plan by Eligible Persons who are located outside of the United States on terms and conditions comparable to those afforded to Eligible Persons located within the United States; provided, however, that no such action shall be taken without stockholder approval if such approval is required by applicable securities laws or regulation or NASDAQ rules or the rules of any other securities exchange or inter-dealer quotation service on which the Common Stock is listed or quoted.</w:t>
      </w:r>
    </w:p>
    <w:p>
      <w:pPr>
        <w:spacing w:after="0" w:line="155" w:lineRule="exact"/>
        <w:rPr>
          <w:rFonts w:ascii="Arial" w:cs="Arial" w:eastAsia="Arial" w:hAnsi="Arial"/>
          <w:sz w:val="19"/>
          <w:szCs w:val="19"/>
          <w:color w:val="auto"/>
        </w:rPr>
      </w:pPr>
    </w:p>
    <w:p>
      <w:pPr>
        <w:ind w:left="860" w:right="279" w:firstLine="645"/>
        <w:spacing w:after="0" w:line="246" w:lineRule="auto"/>
        <w:tabs>
          <w:tab w:leader="none" w:pos="2156" w:val="left"/>
        </w:tabs>
        <w:numPr>
          <w:ilvl w:val="1"/>
          <w:numId w:val="53"/>
        </w:numPr>
        <w:rPr>
          <w:rFonts w:ascii="Arial" w:cs="Arial" w:eastAsia="Arial" w:hAnsi="Arial"/>
          <w:sz w:val="22"/>
          <w:szCs w:val="22"/>
          <w:color w:val="auto"/>
        </w:rPr>
      </w:pPr>
      <w:r>
        <w:rPr>
          <w:rFonts w:ascii="Arial" w:cs="Arial" w:eastAsia="Arial" w:hAnsi="Arial"/>
          <w:sz w:val="22"/>
          <w:szCs w:val="22"/>
          <w:color w:val="auto"/>
        </w:rPr>
        <w:t>Unless otherwise expressly provided in the Plan, all designations, determinations, interpretations, and other decisions regarding the Plan or any Award or any documents evidencing Awards granted pursuant to the Plan shall be within the sole discretion of the Committee, may be made at any time and shall be final, conclusive and binding upon all persons and entities, including, without limitation, the Company, any Affiliate, any Participant, any holder or beneficiary of any Award, and any stockholder of the Company.</w:t>
      </w:r>
    </w:p>
    <w:p>
      <w:pPr>
        <w:spacing w:after="0" w:line="196" w:lineRule="exact"/>
        <w:rPr>
          <w:rFonts w:ascii="Arial" w:cs="Arial" w:eastAsia="Arial" w:hAnsi="Arial"/>
          <w:sz w:val="22"/>
          <w:szCs w:val="22"/>
          <w:color w:val="auto"/>
        </w:rPr>
      </w:pPr>
    </w:p>
    <w:p>
      <w:pPr>
        <w:ind w:left="860" w:right="219" w:firstLine="645"/>
        <w:spacing w:after="0" w:line="294" w:lineRule="auto"/>
        <w:tabs>
          <w:tab w:leader="none" w:pos="2156" w:val="left"/>
        </w:tabs>
        <w:numPr>
          <w:ilvl w:val="1"/>
          <w:numId w:val="53"/>
        </w:numPr>
        <w:rPr>
          <w:rFonts w:ascii="Arial" w:cs="Arial" w:eastAsia="Arial" w:hAnsi="Arial"/>
          <w:sz w:val="19"/>
          <w:szCs w:val="19"/>
          <w:color w:val="auto"/>
        </w:rPr>
      </w:pPr>
      <w:r>
        <w:rPr>
          <w:rFonts w:ascii="Arial" w:cs="Arial" w:eastAsia="Arial" w:hAnsi="Arial"/>
          <w:sz w:val="19"/>
          <w:szCs w:val="19"/>
          <w:color w:val="auto"/>
        </w:rPr>
        <w:t>No member of the Board or the Committee, nor any employee or agent of the Company (each such person, an “</w:t>
      </w:r>
      <w:r>
        <w:rPr>
          <w:rFonts w:ascii="Arial" w:cs="Arial" w:eastAsia="Arial" w:hAnsi="Arial"/>
          <w:sz w:val="19"/>
          <w:szCs w:val="19"/>
          <w:b w:val="1"/>
          <w:bCs w:val="1"/>
          <w:color w:val="auto"/>
        </w:rPr>
        <w:t>Indemnifiable Person</w:t>
      </w:r>
      <w:r>
        <w:rPr>
          <w:rFonts w:ascii="Arial" w:cs="Arial" w:eastAsia="Arial" w:hAnsi="Arial"/>
          <w:sz w:val="19"/>
          <w:szCs w:val="19"/>
          <w:color w:val="auto"/>
        </w:rPr>
        <w:t>”), shall be liable for any action taken or omitted to be taken or any determination made with respect to the Plan or any Award hereunder (unless constituting fraud or a willful criminal act or willful criminal omission). Each Indemnifiable Person shall be indemnified and held harmless by the Company against and from any loss, cost, liability, or expense (including attorneys’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05" w:name="page106"/>
    <w:bookmarkEnd w:id="105"/>
    <w:p>
      <w:pPr>
        <w:ind w:left="860" w:right="259"/>
        <w:spacing w:after="0" w:line="284" w:lineRule="auto"/>
        <w:rPr>
          <w:sz w:val="20"/>
          <w:szCs w:val="20"/>
          <w:color w:val="auto"/>
        </w:rPr>
      </w:pPr>
      <w:r>
        <w:rPr>
          <w:rFonts w:ascii="Arial" w:cs="Arial" w:eastAsia="Arial" w:hAnsi="Arial"/>
          <w:sz w:val="19"/>
          <w:szCs w:val="19"/>
          <w:color w:val="auto"/>
        </w:rPr>
        <w:t>fees) that may be imposed upon or incurred by such Indemnifiable Person in connection with or resulting from any action, suit or proceeding to which such Indemnifiable Person may be involved as a party, witness or otherwise by reason of any action taken or omitted to be taken or determination made under the Plan or any Award Agreement and against and from any and all amounts paid by such Indemnifiable Person with the Company’s approval (not to be unreasonably withheld),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provided, that the Company shall have the right, at its own expense, to assume and defend any such action, suit or proceeding, and once the Company gives notice of its intent to assume the defense, the Company shall have sole control over such defense with counsel of recognized standing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or determinations of such Indemnifiable Person giving rise to the indemnification claim resulted from such Indemnifiable Person’s fraud or willful criminal act or willful criminal omission or that such right of indemnification is otherwise prohibited by law or by the Company’s certificate of incorporation or by-laws. The foregoing right of indemnification shall not be exclusive of or otherwise supersede any other rights of indemnification to which such Indemnifiable Persons may be entitled under the Company’s certificate of incorporation or by-laws, as a matter of law, individual indemnification agreement or contract or otherwise, or any other power that the Company may have to indemnify such Indemnifiable Persons or hold them harmless.</w:t>
      </w:r>
    </w:p>
    <w:p>
      <w:pPr>
        <w:spacing w:after="0" w:line="200" w:lineRule="exact"/>
        <w:rPr>
          <w:sz w:val="20"/>
          <w:szCs w:val="20"/>
          <w:color w:val="auto"/>
        </w:rPr>
      </w:pPr>
    </w:p>
    <w:p>
      <w:pPr>
        <w:spacing w:after="0" w:line="233" w:lineRule="exact"/>
        <w:rPr>
          <w:sz w:val="20"/>
          <w:szCs w:val="20"/>
          <w:color w:val="auto"/>
        </w:rPr>
      </w:pPr>
    </w:p>
    <w:p>
      <w:pPr>
        <w:ind w:left="860" w:right="339" w:firstLine="645"/>
        <w:spacing w:after="0" w:line="253" w:lineRule="auto"/>
        <w:tabs>
          <w:tab w:leader="none" w:pos="2156"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Board may at any time and from time to time grant Awards and administer the Plan with respect to such Awards. In any such case, the Board shall have all the authority granted to the Committee under the Plan.</w:t>
      </w:r>
    </w:p>
    <w:p>
      <w:pPr>
        <w:spacing w:after="0" w:line="185" w:lineRule="exact"/>
        <w:rPr>
          <w:rFonts w:ascii="Arial" w:cs="Arial" w:eastAsia="Arial" w:hAnsi="Arial"/>
          <w:sz w:val="22"/>
          <w:szCs w:val="22"/>
          <w:color w:val="auto"/>
        </w:rPr>
      </w:pPr>
    </w:p>
    <w:p>
      <w:pPr>
        <w:ind w:left="1500" w:hanging="643"/>
        <w:spacing w:after="0"/>
        <w:tabs>
          <w:tab w:leader="none" w:pos="150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Grant of Awards; Shares Subject to the Plan; Limitations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160" w:hanging="655"/>
        <w:spacing w:after="0"/>
        <w:tabs>
          <w:tab w:leader="none" w:pos="2160"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Awards</w:t>
      </w:r>
      <w:r>
        <w:rPr>
          <w:rFonts w:ascii="Arial" w:cs="Arial" w:eastAsia="Arial" w:hAnsi="Arial"/>
          <w:sz w:val="19"/>
          <w:szCs w:val="19"/>
          <w:color w:val="auto"/>
        </w:rPr>
        <w:t>. The Committee may grant Awards to one or more Eligible Persons.</w:t>
      </w:r>
    </w:p>
    <w:p>
      <w:pPr>
        <w:spacing w:after="0" w:line="254" w:lineRule="exact"/>
        <w:rPr>
          <w:rFonts w:ascii="Arial" w:cs="Arial" w:eastAsia="Arial" w:hAnsi="Arial"/>
          <w:sz w:val="19"/>
          <w:szCs w:val="19"/>
          <w:color w:val="auto"/>
        </w:rPr>
      </w:pPr>
    </w:p>
    <w:p>
      <w:pPr>
        <w:ind w:left="860" w:right="259" w:firstLine="645"/>
        <w:spacing w:after="0" w:line="288" w:lineRule="auto"/>
        <w:tabs>
          <w:tab w:leader="none" w:pos="2156"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Share Limits</w:t>
      </w:r>
      <w:r>
        <w:rPr>
          <w:rFonts w:ascii="Arial" w:cs="Arial" w:eastAsia="Arial" w:hAnsi="Arial"/>
          <w:sz w:val="19"/>
          <w:szCs w:val="19"/>
          <w:color w:val="auto"/>
        </w:rPr>
        <w:t>. Subject to Section 11 of the Plan and subsection (e): (i) no more than 29,700,000 shares of Common Stock may be reserved for issuance and delivered in the aggregate pursuant to Awards granted under the Plan (the “</w:t>
      </w:r>
      <w:r>
        <w:rPr>
          <w:rFonts w:ascii="Arial" w:cs="Arial" w:eastAsia="Arial" w:hAnsi="Arial"/>
          <w:sz w:val="19"/>
          <w:szCs w:val="19"/>
          <w:b w:val="1"/>
          <w:bCs w:val="1"/>
          <w:color w:val="auto"/>
        </w:rPr>
        <w:t>Share Pool</w:t>
      </w:r>
      <w:r>
        <w:rPr>
          <w:rFonts w:ascii="Arial" w:cs="Arial" w:eastAsia="Arial" w:hAnsi="Arial"/>
          <w:sz w:val="19"/>
          <w:szCs w:val="19"/>
          <w:color w:val="auto"/>
        </w:rPr>
        <w:t>”); (ii) no more than 29,700,000 shares of Common Stock may be delivered pursuant to the exercise of Incentive Stock Options granted under the Plan; and (iii) the maximum number of Awards that may be granted in any single fiscal year to each of the non-employee members of the Board for serving on the Board, shall be an amount equal to the grant date fair value of $425,000 computed in accordance with Financial Accounting Standards Board (“FASB”) Accounting Standards Codification (“ASC”) Topic 718, “Compensation - Stock Compensation,” disregarding the estimate of forfeitures;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06" w:name="page107"/>
    <w:bookmarkEnd w:id="106"/>
    <w:p>
      <w:pPr>
        <w:ind w:left="860" w:right="319"/>
        <w:spacing w:after="0" w:line="246" w:lineRule="auto"/>
        <w:rPr>
          <w:sz w:val="20"/>
          <w:szCs w:val="20"/>
          <w:color w:val="auto"/>
        </w:rPr>
      </w:pPr>
      <w:r>
        <w:rPr>
          <w:rFonts w:ascii="Arial" w:cs="Arial" w:eastAsia="Arial" w:hAnsi="Arial"/>
          <w:sz w:val="22"/>
          <w:szCs w:val="22"/>
          <w:color w:val="auto"/>
        </w:rPr>
        <w:t>provided, that the foregoing limitation shall not apply in respect of any Awards issued to a non- employee director in respect of (i) any one-time equity grant upon a non-employee director’s initial appointment or election to the Board, (ii) equity grants for services provided to the Company other than services as a member of the Board, or (iii) any additional compensation directors may receive for chair or committee service. The total amount of Awards granted annually to the non- employee members of the Board may allocated amongst the non-employee members of the Board in a manner determined by the Board.</w:t>
      </w:r>
    </w:p>
    <w:p>
      <w:pPr>
        <w:spacing w:after="0" w:line="194" w:lineRule="exact"/>
        <w:rPr>
          <w:sz w:val="20"/>
          <w:szCs w:val="20"/>
          <w:color w:val="auto"/>
        </w:rPr>
      </w:pPr>
    </w:p>
    <w:p>
      <w:pPr>
        <w:ind w:left="860" w:right="219" w:firstLine="645"/>
        <w:spacing w:after="0" w:line="286" w:lineRule="auto"/>
        <w:tabs>
          <w:tab w:leader="none" w:pos="2156"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Share Counting</w:t>
      </w:r>
      <w:r>
        <w:rPr>
          <w:rFonts w:ascii="Arial" w:cs="Arial" w:eastAsia="Arial" w:hAnsi="Arial"/>
          <w:sz w:val="19"/>
          <w:szCs w:val="19"/>
          <w:color w:val="auto"/>
        </w:rPr>
        <w:t>. The Share Pool shall be reduced, on the date of grant, by the relevant number of shares of Common Stock for each Award granted under the Plan that is valued by reference to a share of Common Stock; provided that Awards that are valued by reference to shares of Common Stock but are required to be paid in cash pursuant to their terms shall not reduce the Share Pool. If and to the extent that Awards originating from the Share Pool terminate, expire, or are canceled, forfeited, exchanged, or surrendered without having been exercised, vested, or settled, the shares of Common Stock subject to such Awards shall again be available for Awards under the Share Pool. Notwithstanding the foregoing, the following shares of Common Stock shall not become available for issuance under the Plan: (i) shares of Common Stock tendered by Participants, or withheld by the Company, as full or partial payment to the Company upon the exercise of Stock Options granted under the Plan; (ii) shares of Common Stock reserved for issuance upon the grant of Stock Appreciation Rights, to the extent that the number of reserved shares of Common Stock exceeds the number of shares of Common Stock actually issued upon the exercise of the Stock Appreciation Rights; and (iii) shares of Common Stock withheld by, or otherwise remitted to, the Company to satisfy a Participant’s tax withholding obligations upon the lapse of restrictions on, settlement of, or exercise of Awards granted under the Plan.</w:t>
      </w:r>
    </w:p>
    <w:p>
      <w:pPr>
        <w:spacing w:after="0" w:line="163" w:lineRule="exact"/>
        <w:rPr>
          <w:rFonts w:ascii="Arial" w:cs="Arial" w:eastAsia="Arial" w:hAnsi="Arial"/>
          <w:sz w:val="19"/>
          <w:szCs w:val="19"/>
          <w:color w:val="auto"/>
        </w:rPr>
      </w:pPr>
    </w:p>
    <w:p>
      <w:pPr>
        <w:ind w:left="860" w:right="319" w:firstLine="645"/>
        <w:spacing w:after="0" w:line="250" w:lineRule="auto"/>
        <w:tabs>
          <w:tab w:leader="none" w:pos="2156"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Source of Shares</w:t>
      </w:r>
      <w:r>
        <w:rPr>
          <w:rFonts w:ascii="Arial" w:cs="Arial" w:eastAsia="Arial" w:hAnsi="Arial"/>
          <w:sz w:val="22"/>
          <w:szCs w:val="22"/>
          <w:color w:val="auto"/>
        </w:rPr>
        <w:t>. Shares of Common Stock delivered by the Company in settlement of Awards may be authorized and unissued shares, shares held in the treasury of the Company, shares purchased on the open market or by private purchase, or a combination of the foregoing.</w:t>
      </w:r>
    </w:p>
    <w:p>
      <w:pPr>
        <w:spacing w:after="0" w:line="187" w:lineRule="exact"/>
        <w:rPr>
          <w:rFonts w:ascii="Arial" w:cs="Arial" w:eastAsia="Arial" w:hAnsi="Arial"/>
          <w:sz w:val="22"/>
          <w:szCs w:val="22"/>
          <w:color w:val="auto"/>
        </w:rPr>
      </w:pPr>
    </w:p>
    <w:p>
      <w:pPr>
        <w:ind w:left="860" w:right="299" w:firstLine="645"/>
        <w:spacing w:after="0" w:line="259" w:lineRule="auto"/>
        <w:tabs>
          <w:tab w:leader="none" w:pos="2156" w:val="left"/>
        </w:tabs>
        <w:numPr>
          <w:ilvl w:val="1"/>
          <w:numId w:val="56"/>
        </w:numPr>
        <w:rPr>
          <w:rFonts w:ascii="Arial" w:cs="Arial" w:eastAsia="Arial" w:hAnsi="Arial"/>
          <w:sz w:val="21"/>
          <w:szCs w:val="21"/>
          <w:color w:val="auto"/>
        </w:rPr>
      </w:pPr>
      <w:r>
        <w:rPr>
          <w:rFonts w:ascii="Arial" w:cs="Arial" w:eastAsia="Arial" w:hAnsi="Arial"/>
          <w:sz w:val="21"/>
          <w:szCs w:val="21"/>
          <w:u w:val="single" w:color="auto"/>
          <w:color w:val="auto"/>
        </w:rPr>
        <w:t>Substitute Awards</w:t>
      </w:r>
      <w:r>
        <w:rPr>
          <w:rFonts w:ascii="Arial" w:cs="Arial" w:eastAsia="Arial" w:hAnsi="Arial"/>
          <w:sz w:val="21"/>
          <w:szCs w:val="21"/>
          <w:color w:val="auto"/>
        </w:rPr>
        <w:t>. The Committee may grant Awards in assumption of, or in substitution for, outstanding awards previously granted by the Company or any Affiliate or an entity directly or indirectly acquired by the Company or with which the Company combines (“</w:t>
      </w:r>
      <w:r>
        <w:rPr>
          <w:rFonts w:ascii="Arial" w:cs="Arial" w:eastAsia="Arial" w:hAnsi="Arial"/>
          <w:sz w:val="21"/>
          <w:szCs w:val="21"/>
          <w:b w:val="1"/>
          <w:bCs w:val="1"/>
          <w:color w:val="auto"/>
        </w:rPr>
        <w:t>Substitute Awards</w:t>
      </w:r>
      <w:r>
        <w:rPr>
          <w:rFonts w:ascii="Arial" w:cs="Arial" w:eastAsia="Arial" w:hAnsi="Arial"/>
          <w:sz w:val="21"/>
          <w:szCs w:val="21"/>
          <w:color w:val="auto"/>
        </w:rPr>
        <w:t>”), and such Substitute Awards shall not be counted against the aggregate number of shares of Common Stock available for Awards; provided, that Substitute Awards issued or intended as “incentive stock options” within the meaning of Section 422 of the Code shall be counted against the aggregate number of Incentive Stock Options available under the Plan.</w:t>
      </w:r>
    </w:p>
    <w:p>
      <w:pPr>
        <w:spacing w:after="0" w:line="183" w:lineRule="exact"/>
        <w:rPr>
          <w:rFonts w:ascii="Arial" w:cs="Arial" w:eastAsia="Arial" w:hAnsi="Arial"/>
          <w:sz w:val="21"/>
          <w:szCs w:val="21"/>
          <w:color w:val="auto"/>
        </w:rPr>
      </w:pPr>
    </w:p>
    <w:p>
      <w:pPr>
        <w:ind w:left="200" w:right="259" w:firstLine="657"/>
        <w:spacing w:after="0" w:line="271" w:lineRule="auto"/>
        <w:tabs>
          <w:tab w:leader="none" w:pos="1496"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Eligibility</w:t>
      </w:r>
      <w:r>
        <w:rPr>
          <w:rFonts w:ascii="Arial" w:cs="Arial" w:eastAsia="Arial" w:hAnsi="Arial"/>
          <w:sz w:val="21"/>
          <w:szCs w:val="21"/>
          <w:color w:val="auto"/>
        </w:rPr>
        <w:t>. Participation shall be limited to Eligible Persons who have been selected by the Committee and who have entered into an Award Agreement with respect to an Award granted to them under the Plan (each such Eligible Person, a “</w:t>
      </w:r>
      <w:r>
        <w:rPr>
          <w:rFonts w:ascii="Arial" w:cs="Arial" w:eastAsia="Arial" w:hAnsi="Arial"/>
          <w:sz w:val="21"/>
          <w:szCs w:val="21"/>
          <w:b w:val="1"/>
          <w:bCs w:val="1"/>
          <w:color w:val="auto"/>
        </w:rPr>
        <w:t>Participant</w:t>
      </w:r>
      <w:r>
        <w:rPr>
          <w:rFonts w:ascii="Arial" w:cs="Arial" w:eastAsia="Arial" w:hAnsi="Arial"/>
          <w:sz w:val="21"/>
          <w:szCs w:val="21"/>
          <w:color w:val="auto"/>
        </w:rPr>
        <w: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07" w:name="page108"/>
    <w:bookmarkEnd w:id="107"/>
    <w:p>
      <w:pPr>
        <w:ind w:left="1500" w:hanging="643"/>
        <w:spacing w:after="0"/>
        <w:tabs>
          <w:tab w:leader="none" w:pos="150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Options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860" w:right="459" w:firstLine="645"/>
        <w:spacing w:after="0" w:line="286" w:lineRule="auto"/>
        <w:tabs>
          <w:tab w:leader="none" w:pos="2156"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Each Option shall be subject to the conditions set forth in the Plan and in the applicable Award Agreement. All Options granted under the Plan shall be Nonqualified Stock Options unless the Award Agreement expressly states otherwise. Incentive Stock Options shall be granted only subject to and in compliance with Section</w:t>
      </w:r>
    </w:p>
    <w:p>
      <w:pPr>
        <w:spacing w:after="0" w:line="2" w:lineRule="exact"/>
        <w:rPr>
          <w:rFonts w:ascii="Arial" w:cs="Arial" w:eastAsia="Arial" w:hAnsi="Arial"/>
          <w:sz w:val="19"/>
          <w:szCs w:val="19"/>
          <w:color w:val="auto"/>
        </w:rPr>
      </w:pPr>
    </w:p>
    <w:p>
      <w:pPr>
        <w:ind w:left="860" w:right="359" w:hanging="3"/>
        <w:spacing w:after="0" w:line="257" w:lineRule="auto"/>
        <w:tabs>
          <w:tab w:leader="none" w:pos="1238" w:val="left"/>
        </w:tabs>
        <w:numPr>
          <w:ilvl w:val="0"/>
          <w:numId w:val="59"/>
        </w:numPr>
        <w:rPr>
          <w:rFonts w:ascii="Arial" w:cs="Arial" w:eastAsia="Arial" w:hAnsi="Arial"/>
          <w:sz w:val="21"/>
          <w:szCs w:val="21"/>
          <w:color w:val="auto"/>
        </w:rPr>
      </w:pPr>
      <w:r>
        <w:rPr>
          <w:rFonts w:ascii="Arial" w:cs="Arial" w:eastAsia="Arial" w:hAnsi="Arial"/>
          <w:sz w:val="21"/>
          <w:szCs w:val="21"/>
          <w:color w:val="auto"/>
        </w:rPr>
        <w:t>of the Code, and only to Eligible Persons who are employees of the Company or of a parent or subsidiary of the Company (within the meaning of Sections 424(e) and 424(f) of the Code). If for any reason an Option intended to be an Incentive Stock Option (or any portion thereof) shall not qualify as an Incentive Stock Option, then, to the extent of such nonqualification, such Option or portion thereof shall be regarded as a Nonqualified Stock Option properly granted under the Plan.</w:t>
      </w:r>
    </w:p>
    <w:p>
      <w:pPr>
        <w:spacing w:after="0" w:line="179" w:lineRule="exact"/>
        <w:rPr>
          <w:rFonts w:ascii="Arial" w:cs="Arial" w:eastAsia="Arial" w:hAnsi="Arial"/>
          <w:sz w:val="21"/>
          <w:szCs w:val="21"/>
          <w:color w:val="auto"/>
        </w:rPr>
      </w:pPr>
    </w:p>
    <w:p>
      <w:pPr>
        <w:ind w:left="860" w:right="299" w:firstLine="645"/>
        <w:spacing w:after="0" w:line="253" w:lineRule="auto"/>
        <w:tabs>
          <w:tab w:leader="none" w:pos="2156"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exercise price (“</w:t>
      </w:r>
      <w:r>
        <w:rPr>
          <w:rFonts w:ascii="Arial" w:cs="Arial" w:eastAsia="Arial" w:hAnsi="Arial"/>
          <w:sz w:val="22"/>
          <w:szCs w:val="22"/>
          <w:b w:val="1"/>
          <w:bCs w:val="1"/>
          <w:color w:val="auto"/>
        </w:rPr>
        <w:t>Exercise Price</w:t>
      </w:r>
      <w:r>
        <w:rPr>
          <w:rFonts w:ascii="Arial" w:cs="Arial" w:eastAsia="Arial" w:hAnsi="Arial"/>
          <w:sz w:val="22"/>
          <w:szCs w:val="22"/>
          <w:color w:val="auto"/>
        </w:rPr>
        <w:t>”) per share of Common Stock for each Option (that is not a Substitute Award) shall not be less than 100% of the Fair Market Value of such share, determined as of the date of grant. Any modification to the Exercise Price of an outstanding Option shall be subject to the prohibition on repricing set forth in Section 13(b).</w:t>
      </w:r>
    </w:p>
    <w:p>
      <w:pPr>
        <w:spacing w:after="0" w:line="184" w:lineRule="exact"/>
        <w:rPr>
          <w:rFonts w:ascii="Arial" w:cs="Arial" w:eastAsia="Arial" w:hAnsi="Arial"/>
          <w:sz w:val="22"/>
          <w:szCs w:val="22"/>
          <w:color w:val="auto"/>
        </w:rPr>
      </w:pPr>
    </w:p>
    <w:p>
      <w:pPr>
        <w:ind w:left="860" w:right="279" w:firstLine="645"/>
        <w:spacing w:after="0" w:line="288" w:lineRule="auto"/>
        <w:tabs>
          <w:tab w:leader="none" w:pos="2156"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Vesting, Exercise and Expiration</w:t>
      </w:r>
      <w:r>
        <w:rPr>
          <w:rFonts w:ascii="Arial" w:cs="Arial" w:eastAsia="Arial" w:hAnsi="Arial"/>
          <w:sz w:val="19"/>
          <w:szCs w:val="19"/>
          <w:color w:val="auto"/>
        </w:rPr>
        <w:t>. The Committee shall determine the manner and timing of vesting, exercise and expiration of Options. The period between the date of grant and the scheduled expiration date of the Option (“</w:t>
      </w:r>
      <w:r>
        <w:rPr>
          <w:rFonts w:ascii="Arial" w:cs="Arial" w:eastAsia="Arial" w:hAnsi="Arial"/>
          <w:sz w:val="19"/>
          <w:szCs w:val="19"/>
          <w:b w:val="1"/>
          <w:bCs w:val="1"/>
          <w:color w:val="auto"/>
        </w:rPr>
        <w:t>Option Period</w:t>
      </w:r>
      <w:r>
        <w:rPr>
          <w:rFonts w:ascii="Arial" w:cs="Arial" w:eastAsia="Arial" w:hAnsi="Arial"/>
          <w:sz w:val="19"/>
          <w:szCs w:val="19"/>
          <w:color w:val="auto"/>
        </w:rPr>
        <w:t>”) shall not exceed ten years, unless the Option Period (other than in the case of an Incentive Stock Option) would expire at a time when trading in the shares of Common Stock is prohibited by the Company’s insider-trading policy or a Company-imposed “blackout period,” in which case the Option Period shall be extended automatically until the 30th day following the expiration of such prohibition (so long as such extension shall not violate Section 409A of the Code). The Committee may accelerate the vesting and/or exercisability of any Option, which acceleration shall not affect any other terms and conditions of such Option.</w:t>
      </w:r>
    </w:p>
    <w:p>
      <w:pPr>
        <w:spacing w:after="0" w:line="159" w:lineRule="exact"/>
        <w:rPr>
          <w:rFonts w:ascii="Arial" w:cs="Arial" w:eastAsia="Arial" w:hAnsi="Arial"/>
          <w:sz w:val="19"/>
          <w:szCs w:val="19"/>
          <w:color w:val="auto"/>
        </w:rPr>
      </w:pPr>
    </w:p>
    <w:p>
      <w:pPr>
        <w:ind w:left="860" w:right="319" w:firstLine="645"/>
        <w:spacing w:after="0" w:line="285" w:lineRule="auto"/>
        <w:tabs>
          <w:tab w:leader="none" w:pos="2156"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Method of Exercise and Form of Payment</w:t>
      </w:r>
      <w:r>
        <w:rPr>
          <w:rFonts w:ascii="Arial" w:cs="Arial" w:eastAsia="Arial" w:hAnsi="Arial"/>
          <w:sz w:val="19"/>
          <w:szCs w:val="19"/>
          <w:color w:val="auto"/>
        </w:rPr>
        <w:t>. No shares of Common Stock shall be delivered pursuant to any exercise of an Option until the Participant has paid the Exercise Price to the Company in full, and an amount equal to any U.S. federal, state and local income and employment taxes and non-U.S. income and employment taxes, social contributions and any other tax-related items required to be withheld. Options may be exercised by delivery of written or electronic notice of exercise to the Company or its designee (including a third-party administrator) in accordance with the terms of the Option and the Award Agreement accompanied by payment of the Exercise Price and such applicable taxes. The Exercise Price and delivery of all applicable required withholding taxes shall be payable (i) in cash, by check or cash equivalent, or (ii) by such other method as elected by the Participant and that the Committee may permit, in its sole discretion, including without limitation: (A) shares of Common Stock valued at the Fair Market Value at the time the Option is exercised (including, pursuant to procedures approved by the Committee, by means of attestation of ownership of a sufficient number of shares of Common Stock in lieu of actual delivery of such shares to the Company) or any combination of the foregoing; provided, that such shares of Common Stock are not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08" w:name="page109"/>
    <w:bookmarkEnd w:id="108"/>
    <w:p>
      <w:pPr>
        <w:ind w:left="860" w:right="279"/>
        <w:spacing w:after="0" w:line="286" w:lineRule="auto"/>
        <w:rPr>
          <w:sz w:val="20"/>
          <w:szCs w:val="20"/>
          <w:color w:val="auto"/>
        </w:rPr>
      </w:pPr>
      <w:r>
        <w:rPr>
          <w:rFonts w:ascii="Arial" w:cs="Arial" w:eastAsia="Arial" w:hAnsi="Arial"/>
          <w:sz w:val="19"/>
          <w:szCs w:val="19"/>
          <w:color w:val="auto"/>
        </w:rPr>
        <w:t>subject to any pledge or other security interest; (B) in the form of other property having a Fair Market Value on the date of exercise equal to the Exercise Price and all applicable required withholding taxes; (C) if there is a public market for the shares of Common Stock at such time, by means of a broker-assisted “cashless exercise” pursuant to which the Company or its designee (including third-party administrators) is delivered a copy of irrevocable instructions to a stockbroker to sell the shares of Common Stock otherwise deliverable upon the exercise of the Option and to deliver promptly to the Company an amount equal to the Exercise Price and all applicable required withholding taxes against delivery of the shares of Common Stock to settle the applicable trade; or (D) by means of a “net exercise” procedure effected by withholding the minimum number of shares of Common Stock otherwise deliverable in respect of an Option that are needed to pay for the Exercise Price and up to the maximum required withholding taxes. In all events of cashless or net exercise, any fractional shares of Common Stock shall be settled in cash.</w:t>
      </w:r>
    </w:p>
    <w:p>
      <w:pPr>
        <w:spacing w:after="0" w:line="166" w:lineRule="exact"/>
        <w:rPr>
          <w:sz w:val="20"/>
          <w:szCs w:val="20"/>
          <w:color w:val="auto"/>
        </w:rPr>
      </w:pPr>
    </w:p>
    <w:p>
      <w:pPr>
        <w:ind w:left="860" w:right="419" w:firstLine="645"/>
        <w:spacing w:after="0" w:line="288" w:lineRule="auto"/>
        <w:tabs>
          <w:tab w:leader="none" w:pos="2156"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Notification upon Disqualifying Disposition of an Incentive Stock Option</w:t>
      </w:r>
      <w:r>
        <w:rPr>
          <w:rFonts w:ascii="Arial" w:cs="Arial" w:eastAsia="Arial" w:hAnsi="Arial"/>
          <w:sz w:val="19"/>
          <w:szCs w:val="19"/>
          <w:color w:val="auto"/>
        </w:rPr>
        <w:t>. Each Participant awarded an Incentive Stock Option under the Plan shall notify the Company in writing immediately after the date on which the Participant makes a disqualifying disposition of any Common Stock acquired pursuant to the exercise of such Incentive Stock Option. A disqualifying disposition is any disposition (including, without limitation, any sale) of such Common Stock before the later of (i) two years after the date of grant of the Incentive Stock Option and (ii) one year after the date of exercise of the Incentive Stock Option. The Company may, if determined by the Committee and in accordance with procedures established by the Committee, retain possession, as agent for the applicable Participant, of any Common Stock acquired pursuant to the exercise of an Incentive Stock Option until the end of the period described in the preceding sentence, subject to complying with any instruction from such Participant as to the sale of such Common Stock.</w:t>
      </w:r>
    </w:p>
    <w:p>
      <w:pPr>
        <w:spacing w:after="0" w:line="155" w:lineRule="exact"/>
        <w:rPr>
          <w:rFonts w:ascii="Arial" w:cs="Arial" w:eastAsia="Arial" w:hAnsi="Arial"/>
          <w:sz w:val="19"/>
          <w:szCs w:val="19"/>
          <w:color w:val="auto"/>
        </w:rPr>
      </w:pPr>
    </w:p>
    <w:p>
      <w:pPr>
        <w:ind w:left="860" w:right="259" w:firstLine="645"/>
        <w:spacing w:after="0" w:line="294" w:lineRule="auto"/>
        <w:tabs>
          <w:tab w:leader="none" w:pos="2156"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Compliance with Laws</w:t>
      </w:r>
      <w:r>
        <w:rPr>
          <w:rFonts w:ascii="Arial" w:cs="Arial" w:eastAsia="Arial" w:hAnsi="Arial"/>
          <w:sz w:val="19"/>
          <w:szCs w:val="19"/>
          <w:color w:val="auto"/>
        </w:rPr>
        <w:t>. Notwithstanding the foregoing, in no event shall the Participant be permitted to exercise an Option in a manner that the Committee determines would violate the Sarbanes- Oxley Act of 2002, or any other applicable law or the applicable rules and regulations of the Securities and Exchange Commission or the applicable rules and regulations of any securities exchange or inter- dealer quotation service on which the Common Stock of the Company is listed or quoted.</w:t>
      </w:r>
    </w:p>
    <w:p>
      <w:pPr>
        <w:spacing w:after="0" w:line="149" w:lineRule="exact"/>
        <w:rPr>
          <w:rFonts w:ascii="Arial" w:cs="Arial" w:eastAsia="Arial" w:hAnsi="Arial"/>
          <w:sz w:val="19"/>
          <w:szCs w:val="19"/>
          <w:color w:val="auto"/>
        </w:rPr>
      </w:pPr>
    </w:p>
    <w:p>
      <w:pPr>
        <w:ind w:left="860" w:right="479" w:firstLine="645"/>
        <w:spacing w:after="0" w:line="292" w:lineRule="auto"/>
        <w:tabs>
          <w:tab w:leader="none" w:pos="2156"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Incentive Stock Option Grants to 10% Stockholders</w:t>
      </w:r>
      <w:r>
        <w:rPr>
          <w:rFonts w:ascii="Arial" w:cs="Arial" w:eastAsia="Arial" w:hAnsi="Arial"/>
          <w:sz w:val="19"/>
          <w:szCs w:val="19"/>
          <w:color w:val="auto"/>
        </w:rPr>
        <w:t>. Notwithstanding anything to the contrary in this Section 7, if an Incentive Stock Option is granted to a Participant who owns stock representing more than ten percent of the voting power of all classes of stock of the Company or of a parent or subsidiary of the Company (within the meaning of Sections 424(e) and 424(f) of the Code), the Option Period shall not exceed five years from the date of grant of such Option and the Exercise Price shall be at least 110% of the Fair Market Value (on the date of grant) of the shares subject to the Option.</w:t>
      </w:r>
    </w:p>
    <w:p>
      <w:pPr>
        <w:spacing w:after="0" w:line="150" w:lineRule="exact"/>
        <w:rPr>
          <w:rFonts w:ascii="Arial" w:cs="Arial" w:eastAsia="Arial" w:hAnsi="Arial"/>
          <w:sz w:val="19"/>
          <w:szCs w:val="19"/>
          <w:color w:val="auto"/>
        </w:rPr>
      </w:pPr>
    </w:p>
    <w:p>
      <w:pPr>
        <w:ind w:left="860" w:right="239" w:firstLine="645"/>
        <w:spacing w:after="0" w:line="302" w:lineRule="auto"/>
        <w:tabs>
          <w:tab w:leader="none" w:pos="2156"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$100,000 Per Year Limitation for Incentive Stock Options</w:t>
      </w:r>
      <w:r>
        <w:rPr>
          <w:rFonts w:ascii="Arial" w:cs="Arial" w:eastAsia="Arial" w:hAnsi="Arial"/>
          <w:sz w:val="19"/>
          <w:szCs w:val="19"/>
          <w:color w:val="auto"/>
        </w:rPr>
        <w:t>. To the extent that the aggregate Fair Market Value (determined as of the date of grant) of shares of Common Stock for which Incentive Stock Options are exercisable for the first time by any Participant during any calendar year (under all plans of the Company) exceeds</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386715</wp:posOffset>
            </wp:positionV>
            <wp:extent cx="545211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09" w:name="page110"/>
    <w:bookmarkEnd w:id="109"/>
    <w:p>
      <w:pPr>
        <w:ind w:left="860" w:right="759"/>
        <w:spacing w:after="0" w:line="263" w:lineRule="auto"/>
        <w:rPr>
          <w:sz w:val="20"/>
          <w:szCs w:val="20"/>
          <w:color w:val="auto"/>
        </w:rPr>
      </w:pPr>
      <w:r>
        <w:rPr>
          <w:rFonts w:ascii="Arial" w:cs="Arial" w:eastAsia="Arial" w:hAnsi="Arial"/>
          <w:sz w:val="22"/>
          <w:szCs w:val="22"/>
          <w:color w:val="auto"/>
        </w:rPr>
        <w:t>$100,000, such excess Incentive Stock Options shall be treated as Nonqualified Stock Options.</w:t>
      </w:r>
    </w:p>
    <w:p>
      <w:pPr>
        <w:spacing w:after="0" w:line="175" w:lineRule="exact"/>
        <w:rPr>
          <w:sz w:val="20"/>
          <w:szCs w:val="20"/>
          <w:color w:val="auto"/>
        </w:rPr>
      </w:pPr>
    </w:p>
    <w:p>
      <w:pPr>
        <w:ind w:left="1500" w:hanging="643"/>
        <w:spacing w:after="0"/>
        <w:tabs>
          <w:tab w:leader="none" w:pos="150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Stock Appreciation Rights (SARs)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860" w:right="279" w:firstLine="645"/>
        <w:spacing w:after="0" w:line="271" w:lineRule="auto"/>
        <w:tabs>
          <w:tab w:leader="none" w:pos="2156" w:val="left"/>
        </w:tabs>
        <w:numPr>
          <w:ilvl w:val="1"/>
          <w:numId w:val="61"/>
        </w:numPr>
        <w:rPr>
          <w:rFonts w:ascii="Arial" w:cs="Arial" w:eastAsia="Arial" w:hAnsi="Arial"/>
          <w:sz w:val="21"/>
          <w:szCs w:val="21"/>
          <w:color w:val="auto"/>
        </w:rPr>
      </w:pPr>
      <w:r>
        <w:rPr>
          <w:rFonts w:ascii="Arial" w:cs="Arial" w:eastAsia="Arial" w:hAnsi="Arial"/>
          <w:sz w:val="21"/>
          <w:szCs w:val="21"/>
          <w:u w:val="single" w:color="auto"/>
          <w:color w:val="auto"/>
        </w:rPr>
        <w:t>Generally</w:t>
      </w:r>
      <w:r>
        <w:rPr>
          <w:rFonts w:ascii="Arial" w:cs="Arial" w:eastAsia="Arial" w:hAnsi="Arial"/>
          <w:sz w:val="21"/>
          <w:szCs w:val="21"/>
          <w:color w:val="auto"/>
        </w:rPr>
        <w:t>. Each SAR shall be subject to the conditions set forth in the Plan and the Award Agreement. Any Option granted under the Plan may include a tandem SAR. The Committee also may award SARs independent of any Option.</w:t>
      </w:r>
    </w:p>
    <w:p>
      <w:pPr>
        <w:spacing w:after="0" w:line="161" w:lineRule="exact"/>
        <w:rPr>
          <w:rFonts w:ascii="Arial" w:cs="Arial" w:eastAsia="Arial" w:hAnsi="Arial"/>
          <w:sz w:val="21"/>
          <w:szCs w:val="21"/>
          <w:color w:val="auto"/>
        </w:rPr>
      </w:pPr>
    </w:p>
    <w:p>
      <w:pPr>
        <w:ind w:left="860" w:right="359" w:firstLine="645"/>
        <w:spacing w:after="0" w:line="295" w:lineRule="auto"/>
        <w:tabs>
          <w:tab w:leader="none" w:pos="2156"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Strike Price</w:t>
      </w:r>
      <w:r>
        <w:rPr>
          <w:rFonts w:ascii="Arial" w:cs="Arial" w:eastAsia="Arial" w:hAnsi="Arial"/>
          <w:sz w:val="19"/>
          <w:szCs w:val="19"/>
          <w:color w:val="auto"/>
        </w:rPr>
        <w:t>. The strike price (“</w:t>
      </w:r>
      <w:r>
        <w:rPr>
          <w:rFonts w:ascii="Arial" w:cs="Arial" w:eastAsia="Arial" w:hAnsi="Arial"/>
          <w:sz w:val="19"/>
          <w:szCs w:val="19"/>
          <w:b w:val="1"/>
          <w:bCs w:val="1"/>
          <w:color w:val="auto"/>
        </w:rPr>
        <w:t>Strike Price</w:t>
      </w:r>
      <w:r>
        <w:rPr>
          <w:rFonts w:ascii="Arial" w:cs="Arial" w:eastAsia="Arial" w:hAnsi="Arial"/>
          <w:sz w:val="19"/>
          <w:szCs w:val="19"/>
          <w:color w:val="auto"/>
        </w:rPr>
        <w:t>”) per share of Common Stock for each SAR shall not be less than 100% of the Fair Market Value of such share, determined as of the date of grant; provided, however, that a SAR granted in tandem with (or in substitution for) an Option previously granted shall have a Strike Price equal to the Exercise Price of the corresponding Option. Any modification to the Strike Price of an outstanding SAR shall be subject to the prohibition on repricing set forth in Section 13(b).</w:t>
      </w:r>
    </w:p>
    <w:p>
      <w:pPr>
        <w:spacing w:after="0" w:line="149" w:lineRule="exact"/>
        <w:rPr>
          <w:rFonts w:ascii="Arial" w:cs="Arial" w:eastAsia="Arial" w:hAnsi="Arial"/>
          <w:sz w:val="19"/>
          <w:szCs w:val="19"/>
          <w:color w:val="auto"/>
        </w:rPr>
      </w:pPr>
    </w:p>
    <w:p>
      <w:pPr>
        <w:ind w:left="860" w:right="239" w:firstLine="645"/>
        <w:spacing w:after="0" w:line="287" w:lineRule="auto"/>
        <w:tabs>
          <w:tab w:leader="none" w:pos="2156"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Vesting and Expiration</w:t>
      </w:r>
      <w:r>
        <w:rPr>
          <w:rFonts w:ascii="Arial" w:cs="Arial" w:eastAsia="Arial" w:hAnsi="Arial"/>
          <w:sz w:val="19"/>
          <w:szCs w:val="19"/>
          <w:color w:val="auto"/>
        </w:rPr>
        <w:t>. A SAR granted in tandem with an Option shall vest and become exercisable and shall expire according to the same vesting schedule and expiration provisions as the corresponding Option. A SAR granted independently of an Option shall vest and become exercisable and shall expire in such manner and on such date or dates determined by the Committee and shall expire after such period, not to exceed ten years, as may be determined by the Committee (the “</w:t>
      </w:r>
      <w:r>
        <w:rPr>
          <w:rFonts w:ascii="Arial" w:cs="Arial" w:eastAsia="Arial" w:hAnsi="Arial"/>
          <w:sz w:val="19"/>
          <w:szCs w:val="19"/>
          <w:b w:val="1"/>
          <w:bCs w:val="1"/>
          <w:color w:val="auto"/>
        </w:rPr>
        <w:t>SAR Period</w:t>
      </w:r>
      <w:r>
        <w:rPr>
          <w:rFonts w:ascii="Arial" w:cs="Arial" w:eastAsia="Arial" w:hAnsi="Arial"/>
          <w:sz w:val="19"/>
          <w:szCs w:val="19"/>
          <w:color w:val="auto"/>
        </w:rPr>
        <w:t>”); provided, however, that notwithstanding any vesting or exercisability dates set by the Committee, the Committee may accelerate the vesting and/or exercisability of any SAR, which acceleration shall not affect the terms and conditions of such SAR other than with respect to vesting and/or exercisability. If the SAR Period would expire at a time when trading in the shares of Common Stock is prohibited by the Company’s insider trading policy or a Company-imposed “blackout period,” the SAR Period shall be automatically extended until the 30th day following the expiration of such prohibition (so long as such extension shall not violate Section 409A of the Code).</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left="860" w:right="399" w:firstLine="645"/>
        <w:spacing w:after="0" w:line="265" w:lineRule="auto"/>
        <w:tabs>
          <w:tab w:leader="none" w:pos="2156" w:val="left"/>
        </w:tabs>
        <w:numPr>
          <w:ilvl w:val="1"/>
          <w:numId w:val="61"/>
        </w:numPr>
        <w:rPr>
          <w:rFonts w:ascii="Arial" w:cs="Arial" w:eastAsia="Arial" w:hAnsi="Arial"/>
          <w:sz w:val="21"/>
          <w:szCs w:val="21"/>
          <w:color w:val="auto"/>
        </w:rPr>
      </w:pPr>
      <w:r>
        <w:rPr>
          <w:rFonts w:ascii="Arial" w:cs="Arial" w:eastAsia="Arial" w:hAnsi="Arial"/>
          <w:sz w:val="21"/>
          <w:szCs w:val="21"/>
          <w:u w:val="single" w:color="auto"/>
          <w:color w:val="auto"/>
        </w:rPr>
        <w:t>Method of Exercise</w:t>
      </w:r>
      <w:r>
        <w:rPr>
          <w:rFonts w:ascii="Arial" w:cs="Arial" w:eastAsia="Arial" w:hAnsi="Arial"/>
          <w:sz w:val="21"/>
          <w:szCs w:val="21"/>
          <w:color w:val="auto"/>
        </w:rPr>
        <w:t>. SARs may be exercised by delivery of written or electronic notice of exercise to the Company or its designee (including a third-party administrator) in accordance with the terms of the Award, specifying the number of SARs to be exercised and the date on which such SARs were awarded.</w:t>
      </w:r>
    </w:p>
    <w:p>
      <w:pPr>
        <w:spacing w:after="0" w:line="175" w:lineRule="exact"/>
        <w:rPr>
          <w:rFonts w:ascii="Arial" w:cs="Arial" w:eastAsia="Arial" w:hAnsi="Arial"/>
          <w:sz w:val="21"/>
          <w:szCs w:val="21"/>
          <w:color w:val="auto"/>
        </w:rPr>
      </w:pPr>
    </w:p>
    <w:p>
      <w:pPr>
        <w:ind w:left="860" w:right="279" w:firstLine="645"/>
        <w:spacing w:after="0" w:line="258" w:lineRule="auto"/>
        <w:tabs>
          <w:tab w:leader="none" w:pos="2156" w:val="left"/>
        </w:tabs>
        <w:numPr>
          <w:ilvl w:val="1"/>
          <w:numId w:val="61"/>
        </w:numPr>
        <w:rPr>
          <w:rFonts w:ascii="Arial" w:cs="Arial" w:eastAsia="Arial" w:hAnsi="Arial"/>
          <w:sz w:val="21"/>
          <w:szCs w:val="21"/>
          <w:color w:val="auto"/>
        </w:rPr>
      </w:pPr>
      <w:r>
        <w:rPr>
          <w:rFonts w:ascii="Arial" w:cs="Arial" w:eastAsia="Arial" w:hAnsi="Arial"/>
          <w:sz w:val="21"/>
          <w:szCs w:val="21"/>
          <w:u w:val="single" w:color="auto"/>
          <w:color w:val="auto"/>
        </w:rPr>
        <w:t>Payment</w:t>
      </w:r>
      <w:r>
        <w:rPr>
          <w:rFonts w:ascii="Arial" w:cs="Arial" w:eastAsia="Arial" w:hAnsi="Arial"/>
          <w:sz w:val="21"/>
          <w:szCs w:val="21"/>
          <w:color w:val="auto"/>
        </w:rPr>
        <w:t>. Upon the exercise of a SAR, the Company shall pay to the holder thereof an amount equal to the number of shares subject to the SAR that are being exercised multiplied by the excess, if any, of the Fair Market Value of one share of Common Stock on the exercise date over the Strike Price, less an amount equal to any U.S. federal, state and local income and employment taxes and non-U.S. income and employment taxes, social contributions and any other tax-related items required to be withheld. The Company shall pay such amount in cash, in shares of Common Stock valued at Fair Market Value as determined on the date of exercise, or any combination thereof, as determined by the Committee. Any fractional shares of Common Stock shall be settled in cash.</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10" w:name="page111"/>
    <w:bookmarkEnd w:id="110"/>
    <w:p>
      <w:pPr>
        <w:ind w:left="1500" w:hanging="643"/>
        <w:spacing w:after="0"/>
        <w:tabs>
          <w:tab w:leader="none" w:pos="150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Restricted Stock and Restricted Stock Units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860" w:right="239" w:firstLine="645"/>
        <w:spacing w:after="0" w:line="286" w:lineRule="auto"/>
        <w:tabs>
          <w:tab w:leader="none" w:pos="2156"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Each Restricted Stock and Restricted Stock Unit Award shall be subject to the conditions set forth in the Plan and the applicable Award Agreement. The Committee shall establish restrictions applicable to Restricted Stock and Restricted Stock Units, including the period over which the restrictions shall apply (the “</w:t>
      </w:r>
      <w:r>
        <w:rPr>
          <w:rFonts w:ascii="Arial" w:cs="Arial" w:eastAsia="Arial" w:hAnsi="Arial"/>
          <w:sz w:val="19"/>
          <w:szCs w:val="19"/>
          <w:b w:val="1"/>
          <w:bCs w:val="1"/>
          <w:color w:val="auto"/>
        </w:rPr>
        <w:t>Restricted</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and the time or times at which Restricted Stock or Restricted Stock Units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become vested (which, for the avoidance of doubt, may include service- and/or performance-based vesting conditions). Subject to such rules, approvals, and conditions as the Committee may impose from time to time, an Eligible Person who is a non-employee director may elect to receive all or a portion of such Eligible Person’s cash director fees and other cash director compensation payable for director services provided to the Company by such Eligible Person in any fiscal year, in whole or in part, in the form of Restricted Stock Units. The Committee may accelerate the vesting and/or the lapse of any or all of the restrictions on Restricted Stock and Restricted Stock Units which acceleration shall not affect any other terms and conditions of such Awards. No share of Common Stock shall be issued at the time an Award of Restricted Stock Units is made, and the Company will not be required to set aside a fund for the payment of any such Award.</w:t>
      </w:r>
    </w:p>
    <w:p>
      <w:pPr>
        <w:spacing w:after="0" w:line="167" w:lineRule="exact"/>
        <w:rPr>
          <w:rFonts w:ascii="Arial" w:cs="Arial" w:eastAsia="Arial" w:hAnsi="Arial"/>
          <w:sz w:val="19"/>
          <w:szCs w:val="19"/>
          <w:color w:val="auto"/>
        </w:rPr>
      </w:pPr>
    </w:p>
    <w:p>
      <w:pPr>
        <w:ind w:left="860" w:right="239" w:firstLine="645"/>
        <w:spacing w:after="0" w:line="284" w:lineRule="auto"/>
        <w:tabs>
          <w:tab w:leader="none" w:pos="2156"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Stock Certificates; Escrow or Similar Arrangement</w:t>
      </w:r>
      <w:r>
        <w:rPr>
          <w:rFonts w:ascii="Arial" w:cs="Arial" w:eastAsia="Arial" w:hAnsi="Arial"/>
          <w:sz w:val="19"/>
          <w:szCs w:val="19"/>
          <w:color w:val="auto"/>
        </w:rPr>
        <w:t>. Upon the grant of Restricted Stock, the Committee shall cause share(s) of Common Stock to be registered in the name of the Participant and held in book-entry form subject to the Company’s directions. The Committee may also cause a stock certificate registered in the name of the Participant to be issued. In such event, the Committee may provide that such certificates shall be held by the Company or in escrow rather than delivered to the Participant pending vesting and release of restrictions, in which case the Committee may require the Participant to execute and deliver to the Company or its designee (including third-party administrators)</w:t>
      </w:r>
    </w:p>
    <w:p>
      <w:pPr>
        <w:spacing w:after="0" w:line="1" w:lineRule="exact"/>
        <w:rPr>
          <w:rFonts w:ascii="Arial" w:cs="Arial" w:eastAsia="Arial" w:hAnsi="Arial"/>
          <w:sz w:val="19"/>
          <w:szCs w:val="19"/>
          <w:color w:val="auto"/>
        </w:rPr>
      </w:pPr>
    </w:p>
    <w:p>
      <w:pPr>
        <w:ind w:left="860" w:right="279"/>
        <w:spacing w:after="0" w:line="288" w:lineRule="auto"/>
        <w:rPr>
          <w:rFonts w:ascii="Arial" w:cs="Arial" w:eastAsia="Arial" w:hAnsi="Arial"/>
          <w:sz w:val="19"/>
          <w:szCs w:val="19"/>
          <w:color w:val="auto"/>
        </w:rPr>
      </w:pPr>
      <w:r>
        <w:rPr>
          <w:rFonts w:ascii="Arial" w:cs="Arial" w:eastAsia="Arial" w:hAnsi="Arial"/>
          <w:sz w:val="19"/>
          <w:szCs w:val="19"/>
          <w:color w:val="auto"/>
        </w:rPr>
        <w:t>(i) an escrow agreement satisfactory to the Committee, if applicable, and (ii) the appropriate stock power (endorsed in blank) with respect to the Restricted Stock. If the Participant shall fail to execute and deliver the escrow agreement and blank stock power within the amount of time specified by the Committee, the Award shall be null and void. Subject to the restrictions set forth in this Section 9 and the Award Agreement, the Participant shall have the rights and privileges of a stockholder as to such Restricted Stock, including without limitation the right to vote such Restricted Stock.</w:t>
      </w:r>
    </w:p>
    <w:p>
      <w:pPr>
        <w:spacing w:after="0" w:line="158" w:lineRule="exact"/>
        <w:rPr>
          <w:rFonts w:ascii="Arial" w:cs="Arial" w:eastAsia="Arial" w:hAnsi="Arial"/>
          <w:sz w:val="19"/>
          <w:szCs w:val="19"/>
          <w:color w:val="auto"/>
        </w:rPr>
      </w:pPr>
    </w:p>
    <w:p>
      <w:pPr>
        <w:ind w:left="860" w:right="239" w:firstLine="645"/>
        <w:spacing w:after="0" w:line="287" w:lineRule="auto"/>
        <w:tabs>
          <w:tab w:leader="none" w:pos="2156"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Restrictions; Forfeiture</w:t>
      </w:r>
      <w:r>
        <w:rPr>
          <w:rFonts w:ascii="Arial" w:cs="Arial" w:eastAsia="Arial" w:hAnsi="Arial"/>
          <w:sz w:val="19"/>
          <w:szCs w:val="19"/>
          <w:color w:val="auto"/>
        </w:rPr>
        <w:t>. Restricted Stock and Restricted Stock Units awarded to the Participant shall be subject to forfeiture until the expiration of the Restricted Period and the attainment of any other vesting criteria established by the Committee, and shall be subject to the restrictions on transferability set forth in the Award Agreement. In the event of any forfeiture, all rights of the Participant to such Restricted Stock (or as a stockholder with respect thereto), and to such Restricted Stock Units, as applicable, including to any dividends and/or dividend equivalents that may have been accumulated and withheld during the Restricted Period in respect thereof, shall terminate without further action or obligation on the part of the Company. The Committee shall have the authority to remove any or all of the restrictions on the Restricted Stock and Restricted Stock Units whenever it may determine that, by reason of</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11" w:name="page112"/>
    <w:bookmarkEnd w:id="111"/>
    <w:p>
      <w:pPr>
        <w:ind w:left="860" w:right="319"/>
        <w:spacing w:after="0" w:line="343" w:lineRule="auto"/>
        <w:rPr>
          <w:sz w:val="20"/>
          <w:szCs w:val="20"/>
          <w:color w:val="auto"/>
        </w:rPr>
      </w:pPr>
      <w:r>
        <w:rPr>
          <w:rFonts w:ascii="Arial" w:cs="Arial" w:eastAsia="Arial" w:hAnsi="Arial"/>
          <w:sz w:val="19"/>
          <w:szCs w:val="19"/>
          <w:color w:val="auto"/>
        </w:rPr>
        <w:t>changes in applicable laws or other changes in circumstances arising after the date of grant of the Restricted Stock Award or Restricted Stock Unit Award, such action is appropriate.</w:t>
      </w:r>
    </w:p>
    <w:p>
      <w:pPr>
        <w:spacing w:after="0" w:line="104" w:lineRule="exact"/>
        <w:rPr>
          <w:sz w:val="20"/>
          <w:szCs w:val="20"/>
          <w:color w:val="auto"/>
        </w:rPr>
      </w:pPr>
    </w:p>
    <w:p>
      <w:pPr>
        <w:ind w:left="2160" w:hanging="655"/>
        <w:spacing w:after="0"/>
        <w:tabs>
          <w:tab w:leader="none" w:pos="2160"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Delivery of Restricted Stock and Settlement of Restricted Stock Units</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ind w:left="1500" w:right="299" w:firstLine="653"/>
        <w:spacing w:after="0" w:line="288" w:lineRule="auto"/>
        <w:tabs>
          <w:tab w:leader="none" w:pos="2796" w:val="left"/>
        </w:tabs>
        <w:numPr>
          <w:ilvl w:val="1"/>
          <w:numId w:val="63"/>
        </w:numPr>
        <w:rPr>
          <w:rFonts w:ascii="Arial" w:cs="Arial" w:eastAsia="Arial" w:hAnsi="Arial"/>
          <w:sz w:val="19"/>
          <w:szCs w:val="19"/>
          <w:color w:val="auto"/>
        </w:rPr>
      </w:pPr>
      <w:r>
        <w:rPr>
          <w:rFonts w:ascii="Arial" w:cs="Arial" w:eastAsia="Arial" w:hAnsi="Arial"/>
          <w:sz w:val="19"/>
          <w:szCs w:val="19"/>
          <w:color w:val="auto"/>
        </w:rPr>
        <w:t>Upon the expiration of the Restricted Period with respect to any shares of Restricted Stock and the attainment of any other vesting criteria, the restrictions set forth in the applicable Award Agreement shall be of no further force or effect, except as set forth in the Award Agreement. If an escrow arrangement is used, upon such expiration the Company shall deliver to the Participant or such Participant’s beneficiary (via book-entry notation or, if applicable, in stock certificate form) the shares of Restricted Stock with respect to which the Restricted Period has expired (rounded down to the nearest full share). Dividends, if any, that may have been withheld by the Committee and attributable to the Restricted Stock shall be distributed to the Participant in cash or in shares of Common Stock having a Fair Market Value (on the date of distribution) (or a combination of cash and shares of Common Stock) equal to the amount of such dividends, upon the release of restrictions on the Restricted Stock.</w:t>
      </w:r>
    </w:p>
    <w:p>
      <w:pPr>
        <w:spacing w:after="0" w:line="155" w:lineRule="exact"/>
        <w:rPr>
          <w:rFonts w:ascii="Arial" w:cs="Arial" w:eastAsia="Arial" w:hAnsi="Arial"/>
          <w:sz w:val="19"/>
          <w:szCs w:val="19"/>
          <w:color w:val="auto"/>
        </w:rPr>
      </w:pPr>
    </w:p>
    <w:p>
      <w:pPr>
        <w:ind w:left="1500" w:right="299" w:firstLine="653"/>
        <w:spacing w:after="0" w:line="285" w:lineRule="auto"/>
        <w:tabs>
          <w:tab w:leader="none" w:pos="2796" w:val="left"/>
        </w:tabs>
        <w:numPr>
          <w:ilvl w:val="1"/>
          <w:numId w:val="63"/>
        </w:numPr>
        <w:rPr>
          <w:rFonts w:ascii="Arial" w:cs="Arial" w:eastAsia="Arial" w:hAnsi="Arial"/>
          <w:sz w:val="19"/>
          <w:szCs w:val="19"/>
          <w:color w:val="auto"/>
        </w:rPr>
      </w:pPr>
      <w:r>
        <w:rPr>
          <w:rFonts w:ascii="Arial" w:cs="Arial" w:eastAsia="Arial" w:hAnsi="Arial"/>
          <w:sz w:val="19"/>
          <w:szCs w:val="19"/>
          <w:color w:val="auto"/>
        </w:rPr>
        <w:t>Unless otherwise provided by the Committee in an Award Agreement, upon the expiration of the Restricted Period and the attainment of any other vesting criteria established by the Committee, with respect to any outstanding Restricted Stock Units, the Company shall deliver to the Participant, or such Participant’s beneficiary (via book-entry notation or, if applicable, in stock certificate form), one share of Common Stock (or other securities or other property, as applicable) for each such outstanding Restricted Stock Unit that has not then been forfeited and with respect to which the Restricted Period has expired and any other such vesting criteria are attained (“</w:t>
      </w:r>
      <w:r>
        <w:rPr>
          <w:rFonts w:ascii="Arial" w:cs="Arial" w:eastAsia="Arial" w:hAnsi="Arial"/>
          <w:sz w:val="19"/>
          <w:szCs w:val="19"/>
          <w:b w:val="1"/>
          <w:bCs w:val="1"/>
          <w:color w:val="auto"/>
        </w:rPr>
        <w:t>Released Unit</w:t>
      </w:r>
      <w:r>
        <w:rPr>
          <w:rFonts w:ascii="Arial" w:cs="Arial" w:eastAsia="Arial" w:hAnsi="Arial"/>
          <w:sz w:val="19"/>
          <w:szCs w:val="19"/>
          <w:color w:val="auto"/>
        </w:rPr>
        <w:t>”); provided, however, that the Committee may elect to (A) pay cash or part cash and part Common Stock in lieu of delivering only shares of Common Stock in respect of such Released Units or (B) establish a program for deferred delivery of Common Stock (or cash or part Common Stock and part cash, as the case may be) beyond the expiration of the Restricted Period in compliance with Section 409A of the Code. If a cash payment is made in lieu of delivering shares of Common Stock, the amount of such payment shall be equal to the Fair Market Value of the Common Stock as of the date on which the shares of Common Stock would have otherwise been delivered to the Participant in respect of such Restricted Stock Units.</w:t>
      </w:r>
    </w:p>
    <w:p>
      <w:pPr>
        <w:spacing w:after="0" w:line="162" w:lineRule="exact"/>
        <w:rPr>
          <w:rFonts w:ascii="Arial" w:cs="Arial" w:eastAsia="Arial" w:hAnsi="Arial"/>
          <w:sz w:val="19"/>
          <w:szCs w:val="19"/>
          <w:color w:val="auto"/>
        </w:rPr>
      </w:pPr>
    </w:p>
    <w:p>
      <w:pPr>
        <w:ind w:left="1500" w:right="359" w:firstLine="653"/>
        <w:spacing w:after="0" w:line="292" w:lineRule="auto"/>
        <w:tabs>
          <w:tab w:leader="none" w:pos="2796" w:val="left"/>
        </w:tabs>
        <w:numPr>
          <w:ilvl w:val="1"/>
          <w:numId w:val="63"/>
        </w:numPr>
        <w:rPr>
          <w:rFonts w:ascii="Arial" w:cs="Arial" w:eastAsia="Arial" w:hAnsi="Arial"/>
          <w:sz w:val="19"/>
          <w:szCs w:val="19"/>
          <w:color w:val="auto"/>
        </w:rPr>
      </w:pPr>
      <w:r>
        <w:rPr>
          <w:rFonts w:ascii="Arial" w:cs="Arial" w:eastAsia="Arial" w:hAnsi="Arial"/>
          <w:sz w:val="19"/>
          <w:szCs w:val="19"/>
          <w:color w:val="auto"/>
        </w:rPr>
        <w:t>To the extent provided in an Award Agreement, the holder of outstanding Restricted Stock Units shall be entitled to be credited with dividend equivalent payments (upon the payment by the Company of dividends on shares of Common Stock) either in cash or, if determined by the Committee, in shares of Common Stock having a Fair Market Value equal to the amount of such dividends as of the date of payment (or a combination of cash and shares of Common Stock) (and interest may, if determined by the Committee, be credited</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12" w:name="page113"/>
    <w:bookmarkEnd w:id="112"/>
    <w:p>
      <w:pPr>
        <w:ind w:left="1500" w:right="419"/>
        <w:spacing w:after="0" w:line="260" w:lineRule="auto"/>
        <w:rPr>
          <w:sz w:val="20"/>
          <w:szCs w:val="20"/>
          <w:color w:val="auto"/>
        </w:rPr>
      </w:pPr>
      <w:r>
        <w:rPr>
          <w:rFonts w:ascii="Arial" w:cs="Arial" w:eastAsia="Arial" w:hAnsi="Arial"/>
          <w:sz w:val="21"/>
          <w:szCs w:val="21"/>
          <w:color w:val="auto"/>
        </w:rPr>
        <w:t>on the amount of cash dividend equivalents at a rate and subject to such terms as determined by the Committee), which accumulated dividend equivalents (and interest thereon, if applicable) shall be payable at the same time as the underlying Restricted Stock Units are settled (in the case of Restricted Stock Units, following the release of restrictions on such Restricted Stock Units), and if such Restricted Stock Units are forfeited, the holder thereof shall have no right to such dividend equivalent payments.</w:t>
      </w:r>
    </w:p>
    <w:p>
      <w:pPr>
        <w:spacing w:after="0" w:line="180" w:lineRule="exact"/>
        <w:rPr>
          <w:sz w:val="20"/>
          <w:szCs w:val="20"/>
          <w:color w:val="auto"/>
        </w:rPr>
      </w:pPr>
    </w:p>
    <w:p>
      <w:pPr>
        <w:ind w:left="860" w:right="339" w:firstLine="645"/>
        <w:spacing w:after="0" w:line="265" w:lineRule="auto"/>
        <w:tabs>
          <w:tab w:leader="none" w:pos="2156"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Legends on Restricted Stock</w:t>
      </w:r>
      <w:r>
        <w:rPr>
          <w:rFonts w:ascii="Arial" w:cs="Arial" w:eastAsia="Arial" w:hAnsi="Arial"/>
          <w:sz w:val="21"/>
          <w:szCs w:val="21"/>
          <w:color w:val="auto"/>
        </w:rPr>
        <w:t>. Each certificate representing Restricted Stock awarded under the Plan, if any, shall bear a legend substantially in the form of the following in addition to any other information the Company deems appropriate until the lapse of all restrictions with respect to such Common Stock:</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TRANSFER OF THIS CERTIFICATE AND THE SHARES REPRESENTED HEREBY IS</w:t>
      </w:r>
    </w:p>
    <w:p>
      <w:pPr>
        <w:spacing w:after="0" w:line="21" w:lineRule="exact"/>
        <w:rPr>
          <w:sz w:val="20"/>
          <w:szCs w:val="20"/>
          <w:color w:val="auto"/>
        </w:rPr>
      </w:pPr>
    </w:p>
    <w:p>
      <w:pPr>
        <w:jc w:val="center"/>
        <w:ind w:left="220" w:right="239"/>
        <w:spacing w:after="0" w:line="247" w:lineRule="auto"/>
        <w:rPr>
          <w:sz w:val="20"/>
          <w:szCs w:val="20"/>
          <w:color w:val="auto"/>
        </w:rPr>
      </w:pPr>
      <w:r>
        <w:rPr>
          <w:rFonts w:ascii="Arial" w:cs="Arial" w:eastAsia="Arial" w:hAnsi="Arial"/>
          <w:sz w:val="22"/>
          <w:szCs w:val="22"/>
          <w:color w:val="auto"/>
        </w:rPr>
        <w:t>RESTRICTED PURSUANT TO THE TERMS OF THE IOVANCE BIOTHERAPEUTICS, INC. 2018 EQUITY INCENTIVE PLAN AND A RESTRICTED STOCK AWARD AGREEMENT, DATED AS OF , BETWEEN IOVANCE BIOTHERAPEUTICS, INC. AND . A COPY OF SUCH PLAN AND AWARD AGREEMENT IS ON FILE AT THE PRINCIPAL EXECUTIVE OFFICES OF IOVANCE BIOTHERAPEUTICS, INC.</w:t>
      </w:r>
    </w:p>
    <w:p>
      <w:pPr>
        <w:spacing w:after="0" w:line="192" w:lineRule="exact"/>
        <w:rPr>
          <w:sz w:val="20"/>
          <w:szCs w:val="20"/>
          <w:color w:val="auto"/>
        </w:rPr>
      </w:pPr>
    </w:p>
    <w:p>
      <w:pPr>
        <w:ind w:left="200" w:right="239" w:firstLine="657"/>
        <w:spacing w:after="0" w:line="259" w:lineRule="auto"/>
        <w:tabs>
          <w:tab w:leader="none" w:pos="1496"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Other Stock-Based Awards</w:t>
      </w:r>
      <w:r>
        <w:rPr>
          <w:rFonts w:ascii="Arial" w:cs="Arial" w:eastAsia="Arial" w:hAnsi="Arial"/>
          <w:sz w:val="21"/>
          <w:szCs w:val="21"/>
          <w:color w:val="auto"/>
        </w:rPr>
        <w:t>. The Committee may issue unrestricted Common Stock, rights to receive future grants of Awards, or other Awards denominated in Common Stock (including performance shares or performance units), or Awards that provide for cash payments based in whole or in part on the value or future value of shares of Common Stock under the Plan to Eligible Persons, alone or in tandem with other Awards, in such amounts as the Committee shall from time to time determine (“</w:t>
      </w:r>
      <w:r>
        <w:rPr>
          <w:rFonts w:ascii="Arial" w:cs="Arial" w:eastAsia="Arial" w:hAnsi="Arial"/>
          <w:sz w:val="21"/>
          <w:szCs w:val="21"/>
          <w:b w:val="1"/>
          <w:bCs w:val="1"/>
          <w:color w:val="auto"/>
        </w:rPr>
        <w:t>Other Stock-Based Awards</w:t>
      </w:r>
      <w:r>
        <w:rPr>
          <w:rFonts w:ascii="Arial" w:cs="Arial" w:eastAsia="Arial" w:hAnsi="Arial"/>
          <w:sz w:val="21"/>
          <w:szCs w:val="21"/>
          <w:color w:val="auto"/>
        </w:rPr>
        <w:t>”). Each Other Stock-Based Award shall be evidenced by an Award Agreement, which may include conditions including, without limitation, the payment by the Participant of the Fair Market Value of such shares of Common Stock on the date of grant.</w:t>
      </w:r>
    </w:p>
    <w:p>
      <w:pPr>
        <w:spacing w:after="0" w:line="179" w:lineRule="exact"/>
        <w:rPr>
          <w:rFonts w:ascii="Arial" w:cs="Arial" w:eastAsia="Arial" w:hAnsi="Arial"/>
          <w:sz w:val="21"/>
          <w:szCs w:val="21"/>
          <w:color w:val="auto"/>
        </w:rPr>
      </w:pPr>
    </w:p>
    <w:p>
      <w:pPr>
        <w:ind w:left="200" w:right="279" w:firstLine="657"/>
        <w:spacing w:after="0" w:line="286" w:lineRule="auto"/>
        <w:tabs>
          <w:tab w:leader="none" w:pos="149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Changes in Capital Structure and Similar Events</w:t>
      </w:r>
      <w:r>
        <w:rPr>
          <w:rFonts w:ascii="Arial" w:cs="Arial" w:eastAsia="Arial" w:hAnsi="Arial"/>
          <w:sz w:val="19"/>
          <w:szCs w:val="19"/>
          <w:color w:val="auto"/>
        </w:rPr>
        <w:t>. In the event of (a) any dividend (other than regular cash dividends) or other distribution (whether in the form of cash, shares of Common Stock, other securities or other property), recapitalization, stock split, reverse stock split, reorganization, merger, amalgamation,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(including, without limitation, a Change in Control) that affects the shares of Common Stock, or (b) unusual or nonrecurring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service, accounting principles or law, such that in any case an adjustment is determined by the Committee to be necessary or appropriate, then the Committee shall make any such adjustments in such manner as it may deem equitable, including without limitation any or all of the following: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13" w:name="page114"/>
    <w:bookmarkEnd w:id="113"/>
    <w:p>
      <w:pPr>
        <w:ind w:left="1500" w:right="239" w:firstLine="653"/>
        <w:spacing w:after="0" w:line="288" w:lineRule="auto"/>
        <w:tabs>
          <w:tab w:leader="none" w:pos="2796" w:val="left"/>
        </w:tabs>
        <w:numPr>
          <w:ilvl w:val="0"/>
          <w:numId w:val="66"/>
        </w:numPr>
        <w:rPr>
          <w:rFonts w:ascii="Arial" w:cs="Arial" w:eastAsia="Arial" w:hAnsi="Arial"/>
          <w:sz w:val="19"/>
          <w:szCs w:val="19"/>
          <w:color w:val="auto"/>
        </w:rPr>
      </w:pPr>
      <w:r>
        <w:rPr>
          <w:rFonts w:ascii="Arial" w:cs="Arial" w:eastAsia="Arial" w:hAnsi="Arial"/>
          <w:sz w:val="19"/>
          <w:szCs w:val="19"/>
          <w:color w:val="auto"/>
        </w:rPr>
        <w:t>adjusting any or all of (A) the number of shares of Common Stock or other securities of the Company (or number and kind of other securities or other property) that may be delivered in respect of Awards or with respect to which Awards may be granted under the Plan (including, without limitation, adjusting any or all of the limitations under Section 5 of the Plan) and (B) 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or Strike Price with respect to any Award and/or (3) any applicable performance measures;</w:t>
      </w:r>
    </w:p>
    <w:p>
      <w:pPr>
        <w:spacing w:after="0" w:line="159" w:lineRule="exact"/>
        <w:rPr>
          <w:rFonts w:ascii="Arial" w:cs="Arial" w:eastAsia="Arial" w:hAnsi="Arial"/>
          <w:sz w:val="19"/>
          <w:szCs w:val="19"/>
          <w:color w:val="auto"/>
        </w:rPr>
      </w:pPr>
    </w:p>
    <w:p>
      <w:pPr>
        <w:ind w:left="1500" w:right="319" w:firstLine="653"/>
        <w:spacing w:after="0" w:line="294" w:lineRule="auto"/>
        <w:tabs>
          <w:tab w:leader="none" w:pos="2796" w:val="left"/>
        </w:tabs>
        <w:numPr>
          <w:ilvl w:val="0"/>
          <w:numId w:val="66"/>
        </w:numPr>
        <w:rPr>
          <w:rFonts w:ascii="Arial" w:cs="Arial" w:eastAsia="Arial" w:hAnsi="Arial"/>
          <w:sz w:val="19"/>
          <w:szCs w:val="19"/>
          <w:color w:val="auto"/>
        </w:rPr>
      </w:pPr>
      <w:r>
        <w:rPr>
          <w:rFonts w:ascii="Arial" w:cs="Arial" w:eastAsia="Arial" w:hAnsi="Arial"/>
          <w:sz w:val="19"/>
          <w:szCs w:val="19"/>
          <w:color w:val="auto"/>
        </w:rPr>
        <w:t>providing for a substitution or assumption of Awards (or awards of an acquiring company), accelerating the delivery, vesting and/or exercisability of, lapse of restrictions and/or other conditions on, or termination of, Awards or providing for a period of time (which shall not be required to be more than ten (10) days) for Participants to exercise outstanding Awards prior to the occurrence of such event (and any such Award not so exercised shall terminate or become no longer exercisable upon the occurrence of such event); and</w:t>
      </w:r>
    </w:p>
    <w:p>
      <w:pPr>
        <w:spacing w:after="0" w:line="151" w:lineRule="exact"/>
        <w:rPr>
          <w:rFonts w:ascii="Arial" w:cs="Arial" w:eastAsia="Arial" w:hAnsi="Arial"/>
          <w:sz w:val="19"/>
          <w:szCs w:val="19"/>
          <w:color w:val="auto"/>
        </w:rPr>
      </w:pPr>
    </w:p>
    <w:p>
      <w:pPr>
        <w:ind w:left="1500" w:right="239" w:firstLine="653"/>
        <w:spacing w:after="0" w:line="286" w:lineRule="auto"/>
        <w:tabs>
          <w:tab w:leader="none" w:pos="2796" w:val="left"/>
        </w:tabs>
        <w:numPr>
          <w:ilvl w:val="0"/>
          <w:numId w:val="66"/>
        </w:numPr>
        <w:rPr>
          <w:rFonts w:ascii="Arial" w:cs="Arial" w:eastAsia="Arial" w:hAnsi="Arial"/>
          <w:sz w:val="19"/>
          <w:szCs w:val="19"/>
          <w:color w:val="auto"/>
        </w:rPr>
      </w:pPr>
      <w:r>
        <w:rPr>
          <w:rFonts w:ascii="Arial" w:cs="Arial" w:eastAsia="Arial" w:hAnsi="Arial"/>
          <w:sz w:val="19"/>
          <w:szCs w:val="19"/>
          <w:color w:val="auto"/>
        </w:rPr>
        <w:t>cancelling any one or more outstanding Awards (or awards of an acquiring company) and causing to be paid to the holders thereof, in cash, shares of Common Stock, other securities or other property, or any combination thereof, the value of such Awards, if any, as determined by the Committee (which if applicable may be based upon the price per share of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respectively (it being understood that, in such event, any Option or SAR having a per-share Exercise Price or Strike Price equal to, or in excess of, the Fair Market Value (as of the date specified by the Committee) of a share of Common Stock subject thereto may be canceled and terminated without any payment or consideration therefor);</w:t>
      </w:r>
    </w:p>
    <w:p>
      <w:pPr>
        <w:spacing w:after="0" w:line="162" w:lineRule="exact"/>
        <w:rPr>
          <w:sz w:val="20"/>
          <w:szCs w:val="20"/>
          <w:color w:val="auto"/>
        </w:rPr>
      </w:pPr>
    </w:p>
    <w:p>
      <w:pPr>
        <w:ind w:left="200" w:right="239" w:firstLine="648"/>
        <w:spacing w:after="0" w:line="287" w:lineRule="auto"/>
        <w:rPr>
          <w:sz w:val="20"/>
          <w:szCs w:val="20"/>
          <w:color w:val="auto"/>
        </w:rPr>
      </w:pPr>
      <w:r>
        <w:rPr>
          <w:rFonts w:ascii="Arial" w:cs="Arial" w:eastAsia="Arial" w:hAnsi="Arial"/>
          <w:sz w:val="19"/>
          <w:szCs w:val="19"/>
          <w:color w:val="auto"/>
        </w:rPr>
        <w:t>provided, however, that the Committee shall make an equitable or proportionate adjustment to outstanding Awards to reflect any “equity restructuring” (within the meaning of the Financial Accounting Standards Codification Topic 718 (or any successor pronouncement thereto)). Except as otherwise determined by the Committee, any adjustment in Incentive Stock Options under this Section 11 (other than any cancellation of Incentive Stock Options) shall be made only to the extent not constituting a “modification” within the meaning of Section 424(h)(3) of the Code, and any adjustments under this Section 11 shall be made in a manner that does not adversely affect the exemption provided pursuant to Rule16b-3 promulgated under the Exchange Act. The Company shall give each Participant notice of an adjustment hereunder and, upon notice, such adjustment shall be conclusive and binding for all purposes. In anticipation of the occurrence of any event listed in the first sentence of this Section 11, for reasons of administrative convenience, the Committee in its sole discretion may refuse to permit the</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14" w:name="page115"/>
    <w:bookmarkEnd w:id="114"/>
    <w:p>
      <w:pPr>
        <w:ind w:left="200" w:right="679"/>
        <w:spacing w:after="0" w:line="263" w:lineRule="auto"/>
        <w:rPr>
          <w:sz w:val="20"/>
          <w:szCs w:val="20"/>
          <w:color w:val="auto"/>
        </w:rPr>
      </w:pPr>
      <w:r>
        <w:rPr>
          <w:rFonts w:ascii="Arial" w:cs="Arial" w:eastAsia="Arial" w:hAnsi="Arial"/>
          <w:sz w:val="22"/>
          <w:szCs w:val="22"/>
          <w:color w:val="auto"/>
        </w:rPr>
        <w:t>exercise of any Award during a period of up to 30 days prior to, and/or up to 30 days after, the anticipated occurrence of any such event.</w:t>
      </w:r>
    </w:p>
    <w:p>
      <w:pPr>
        <w:spacing w:after="0" w:line="175" w:lineRule="exact"/>
        <w:rPr>
          <w:sz w:val="20"/>
          <w:szCs w:val="20"/>
          <w:color w:val="auto"/>
        </w:rPr>
      </w:pPr>
    </w:p>
    <w:p>
      <w:pPr>
        <w:ind w:left="200" w:right="459" w:firstLine="657"/>
        <w:spacing w:after="0" w:line="302" w:lineRule="auto"/>
        <w:tabs>
          <w:tab w:leader="none" w:pos="149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Effect of Change in Control</w:t>
      </w:r>
      <w:r>
        <w:rPr>
          <w:rFonts w:ascii="Arial" w:cs="Arial" w:eastAsia="Arial" w:hAnsi="Arial"/>
          <w:sz w:val="19"/>
          <w:szCs w:val="19"/>
          <w:color w:val="auto"/>
        </w:rPr>
        <w:t>. Except to the extent otherwise provided in an Award Agreement, or any applicable employment, consulting, change-in-control, severance or other agreement between the Participant and the Company or an Affiliate, in the event of a Change in Control, notwithstanding any provision of the Plan to the contrary:</w:t>
      </w:r>
    </w:p>
    <w:p>
      <w:pPr>
        <w:spacing w:after="0" w:line="142" w:lineRule="exact"/>
        <w:rPr>
          <w:rFonts w:ascii="Arial" w:cs="Arial" w:eastAsia="Arial" w:hAnsi="Arial"/>
          <w:sz w:val="19"/>
          <w:szCs w:val="19"/>
          <w:color w:val="auto"/>
        </w:rPr>
      </w:pPr>
    </w:p>
    <w:p>
      <w:pPr>
        <w:ind w:left="860" w:right="299" w:firstLine="645"/>
        <w:spacing w:after="0" w:line="287" w:lineRule="auto"/>
        <w:tabs>
          <w:tab w:leader="none" w:pos="2156" w:val="left"/>
        </w:tabs>
        <w:numPr>
          <w:ilvl w:val="1"/>
          <w:numId w:val="67"/>
        </w:numPr>
        <w:rPr>
          <w:rFonts w:ascii="Arial" w:cs="Arial" w:eastAsia="Arial" w:hAnsi="Arial"/>
          <w:sz w:val="19"/>
          <w:szCs w:val="19"/>
          <w:color w:val="auto"/>
        </w:rPr>
      </w:pPr>
      <w:r>
        <w:rPr>
          <w:rFonts w:ascii="Arial" w:cs="Arial" w:eastAsia="Arial" w:hAnsi="Arial"/>
          <w:sz w:val="19"/>
          <w:szCs w:val="19"/>
          <w:color w:val="auto"/>
        </w:rPr>
        <w:t>If the Participant’s employment with or service to the Company or an Affiliate is terminated by the Company or Affiliate without Cause (and other than due to death or Disability) on or within 12 months following a Change in Control, all Options and SARs held by such Participant shall automatically become immediately exercisable with respect to 100% of the shares subject to such Options and SARs, and that the Restricted Period (and any other conditions) shall expire immediately with respect to 100% of the shares of Restricted Stock and Restricted Stock Units and any other Awards held by such Participant (including a waiver of any applicable performance goals); provided, that if the vesting or exercisability of any Award would otherwise be subject to the achievement of performance conditions, the portion of such Award that shall become fully vested and immediately exercisable shall be based on the assumed achievement of actual or target performance as determined by the Committee and, unless otherwise determined by the Committee, prorated for the number of days elapsed from the grant date of such Award through the date of termination.</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left="860" w:right="219" w:firstLine="645"/>
        <w:spacing w:after="0" w:line="287" w:lineRule="auto"/>
        <w:tabs>
          <w:tab w:leader="none" w:pos="2156" w:val="left"/>
        </w:tabs>
        <w:numPr>
          <w:ilvl w:val="1"/>
          <w:numId w:val="67"/>
        </w:numPr>
        <w:rPr>
          <w:rFonts w:ascii="Arial" w:cs="Arial" w:eastAsia="Arial" w:hAnsi="Arial"/>
          <w:sz w:val="19"/>
          <w:szCs w:val="19"/>
          <w:color w:val="auto"/>
        </w:rPr>
      </w:pPr>
      <w:r>
        <w:rPr>
          <w:rFonts w:ascii="Arial" w:cs="Arial" w:eastAsia="Arial" w:hAnsi="Arial"/>
          <w:sz w:val="19"/>
          <w:szCs w:val="19"/>
          <w:color w:val="auto"/>
        </w:rPr>
        <w:t>In addition, the Committee may upon at least ten (10) days’ advance notice to the affected Participants, cancel any outstanding Award and pay to the holders thereof, in cash, securities or other property (including of the acquiring or successor company), or any combination thereof, the value of such Awards based upon the price per share of Common Stock received or to be received by other stockholders of the Company in the event (it being understood that any Option or SAR having a per- share Exercise Price or Strike Price equal to, or in excess of, the Fair Market Value (as of the date specified by the Committee) of a share of Common Stock subject thereto may be canceled and terminated without any payment or consideration therefor). Notwithstanding the above, the Committee shall exercise such discretion over the timing of settlement of any Award subject to Code Section 409A at the time such Award is granted.</w:t>
      </w:r>
    </w:p>
    <w:p>
      <w:pPr>
        <w:spacing w:after="0" w:line="163" w:lineRule="exact"/>
        <w:rPr>
          <w:sz w:val="20"/>
          <w:szCs w:val="20"/>
          <w:color w:val="auto"/>
        </w:rPr>
      </w:pPr>
    </w:p>
    <w:p>
      <w:pPr>
        <w:jc w:val="both"/>
        <w:ind w:left="200" w:right="299" w:firstLine="648"/>
        <w:spacing w:after="0" w:line="271" w:lineRule="auto"/>
        <w:rPr>
          <w:sz w:val="20"/>
          <w:szCs w:val="20"/>
          <w:color w:val="auto"/>
        </w:rPr>
      </w:pPr>
      <w:r>
        <w:rPr>
          <w:rFonts w:ascii="Arial" w:cs="Arial" w:eastAsia="Arial" w:hAnsi="Arial"/>
          <w:sz w:val="21"/>
          <w:szCs w:val="21"/>
          <w:color w:val="auto"/>
        </w:rPr>
        <w:t>To the extent practicable, the provisions of this Section 12 shall occur in a manner and at a time that allows affected Participants the ability to participate in the Change in Control transaction with respect to the Common Stock subject to their Awards.</w:t>
      </w:r>
    </w:p>
    <w:p>
      <w:pPr>
        <w:spacing w:after="0" w:line="167" w:lineRule="exact"/>
        <w:rPr>
          <w:sz w:val="20"/>
          <w:szCs w:val="20"/>
          <w:color w:val="auto"/>
        </w:rPr>
      </w:pPr>
    </w:p>
    <w:p>
      <w:pPr>
        <w:ind w:left="1500" w:hanging="643"/>
        <w:spacing w:after="0"/>
        <w:tabs>
          <w:tab w:leader="none" w:pos="150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Amendments and 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860" w:right="299" w:firstLine="645"/>
        <w:spacing w:after="0" w:line="297" w:lineRule="auto"/>
        <w:tabs>
          <w:tab w:leader="none" w:pos="2156"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Amendment and Termination of the Plan</w:t>
      </w:r>
      <w:r>
        <w:rPr>
          <w:rFonts w:ascii="Arial" w:cs="Arial" w:eastAsia="Arial" w:hAnsi="Arial"/>
          <w:sz w:val="19"/>
          <w:szCs w:val="19"/>
          <w:color w:val="auto"/>
        </w:rPr>
        <w:t>. The Board may amend, alter, suspend, discontinue, or terminate the Plan or any portion thereof at any time; provided, that no such amendment, alteration, suspension, discontinuation or termination shall be made without stockholder approval if such approval is necessary to comply with any tax or regulatory requirement applicable to the Plan (including, without limitation, as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15" w:name="page116"/>
    <w:bookmarkEnd w:id="115"/>
    <w:p>
      <w:pPr>
        <w:ind w:left="860" w:right="219"/>
        <w:spacing w:after="0" w:line="287" w:lineRule="auto"/>
        <w:rPr>
          <w:sz w:val="20"/>
          <w:szCs w:val="20"/>
          <w:color w:val="auto"/>
        </w:rPr>
      </w:pPr>
      <w:r>
        <w:rPr>
          <w:rFonts w:ascii="Arial" w:cs="Arial" w:eastAsia="Arial" w:hAnsi="Arial"/>
          <w:sz w:val="19"/>
          <w:szCs w:val="19"/>
          <w:color w:val="auto"/>
        </w:rPr>
        <w:t>necessary to comply with any applicable rules or requirements of NASDAQ or of any other securities exchange or inter-dealer quotation service on which the shares of Common Stock is listed or quoted, for changes in GAAP to new accounting standards); and provided, further,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unless the Committee determines that such amendment, alteration, suspension, discontinuance or termination is either required or advisable in order for the Company, the Plan or the Award to satisfy any applicable law or regulation. Notwithstanding the foregoing, no amendment shall be made to the last proviso of Section 13(b) without stockholder approval.</w:t>
      </w:r>
    </w:p>
    <w:p>
      <w:pPr>
        <w:spacing w:after="0" w:line="163" w:lineRule="exact"/>
        <w:rPr>
          <w:sz w:val="20"/>
          <w:szCs w:val="20"/>
          <w:color w:val="auto"/>
        </w:rPr>
      </w:pPr>
    </w:p>
    <w:p>
      <w:pPr>
        <w:ind w:left="860" w:right="219" w:firstLine="645"/>
        <w:spacing w:after="0" w:line="284" w:lineRule="auto"/>
        <w:tabs>
          <w:tab w:leader="none" w:pos="2156"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Amendment of Award Agreements</w:t>
      </w:r>
      <w:r>
        <w:rPr>
          <w:rFonts w:ascii="Arial" w:cs="Arial" w:eastAsia="Arial" w:hAnsi="Arial"/>
          <w:sz w:val="19"/>
          <w:szCs w:val="19"/>
          <w:color w:val="auto"/>
        </w:rPr>
        <w:t>. The Committee may, to the extent not inconsistent with the terms of any applicable Award Agreement or the Plan, waive any conditions or rights under, amend any terms of, or alter, suspend, discontinue, cancel or terminate, any Award theretofore granted or the associated Award Agreement, prospectively or retroactively (including after the Participant’s termination of employment or service with the Company); provided,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unless the Committee determines that such waiver, amendment, alteration, suspension, discontinuance, cancellation or termination is either required or advisable in order for the Company, the Plan or the Award to satisfy any applicable law or regulation; and provided, further, that except as otherwise permitted under Section 11 of the Plan, if (i) the Committee reduces the Exercise Price of any Option or the Strike Price of any SAR, (ii) the Committee cancels any outstanding Option or SAR and replaces it with a new Option or SAR (with a lower Exercise Price or Strike Price, as the case may be) or other Award or cash in a manner that would either (A) be reportable on the Company’s proxy statement or Form 10-K (if applicable) as Options that have been “repriced” (as such term is used in Item 402 of Regulation S-K promulgated under the Exchange Act), or (B) result in any “repricing” for financial statement reporting purposes (or otherwise cause the Award to fail to qualify for equity accounting treatment), (iii) the Committee takes any other action that is considered a “repricing” for purposes of the stockholder approval rules of the applicable securities exchange or inter-dealer quotation service on which the Common Stock is listed or quoted, or (iv) the Committee cancels any outstanding Option or SAR that has a per-share Exercise Price or Strike Price (as applicable) at or above the Fair Market Value of a share of Common Stock on the date of cancellation, and pays any consideration to the holder thereof, whether in cash, securities, or other property, or any combination thereof, then, in the case of the immediately preceding clauses (i) through (iv), any such action shall not be effective without stockholder approval.</w:t>
      </w:r>
    </w:p>
    <w:p>
      <w:pPr>
        <w:spacing w:after="0" w:line="200" w:lineRule="exact"/>
        <w:rPr>
          <w:rFonts w:ascii="Arial" w:cs="Arial" w:eastAsia="Arial" w:hAnsi="Arial"/>
          <w:sz w:val="19"/>
          <w:szCs w:val="19"/>
          <w:color w:val="auto"/>
        </w:rPr>
      </w:pPr>
    </w:p>
    <w:p>
      <w:pPr>
        <w:spacing w:after="0" w:line="228" w:lineRule="exact"/>
        <w:rPr>
          <w:rFonts w:ascii="Arial" w:cs="Arial" w:eastAsia="Arial" w:hAnsi="Arial"/>
          <w:sz w:val="19"/>
          <w:szCs w:val="19"/>
          <w:color w:val="auto"/>
        </w:rPr>
      </w:pPr>
    </w:p>
    <w:p>
      <w:pPr>
        <w:ind w:left="1500" w:hanging="643"/>
        <w:spacing w:after="0"/>
        <w:tabs>
          <w:tab w:leader="none" w:pos="150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860" w:right="319" w:firstLine="645"/>
        <w:spacing w:after="0" w:line="343" w:lineRule="auto"/>
        <w:tabs>
          <w:tab w:leader="none" w:pos="2156"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Award Agreements; Other Agreements</w:t>
      </w:r>
      <w:r>
        <w:rPr>
          <w:rFonts w:ascii="Arial" w:cs="Arial" w:eastAsia="Arial" w:hAnsi="Arial"/>
          <w:sz w:val="19"/>
          <w:szCs w:val="19"/>
          <w:color w:val="auto"/>
        </w:rPr>
        <w:t>. Each Award under the Plan shall be evidenced by an Award Agreement, which shall be delivered to the Participant and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16" w:name="page117"/>
    <w:bookmarkEnd w:id="116"/>
    <w:p>
      <w:pPr>
        <w:ind w:left="860" w:right="239"/>
        <w:spacing w:after="0" w:line="250" w:lineRule="auto"/>
        <w:rPr>
          <w:sz w:val="20"/>
          <w:szCs w:val="20"/>
          <w:color w:val="auto"/>
        </w:rPr>
      </w:pPr>
      <w:r>
        <w:rPr>
          <w:rFonts w:ascii="Arial" w:cs="Arial" w:eastAsia="Arial" w:hAnsi="Arial"/>
          <w:sz w:val="22"/>
          <w:szCs w:val="22"/>
          <w:color w:val="auto"/>
        </w:rPr>
        <w:t>shall specify the terms and conditions of the Award and any rules applicable thereto. In the event of any conflict between the terms of the Plan and any Award Agreement or employment, change-in-control, severance or other agreement in effect with the Participant, the term of the Plan shall control.</w:t>
      </w:r>
    </w:p>
    <w:p>
      <w:pPr>
        <w:spacing w:after="0" w:line="188" w:lineRule="exact"/>
        <w:rPr>
          <w:sz w:val="20"/>
          <w:szCs w:val="20"/>
          <w:color w:val="auto"/>
        </w:rPr>
      </w:pPr>
    </w:p>
    <w:p>
      <w:pPr>
        <w:ind w:left="2160" w:hanging="655"/>
        <w:spacing w:after="0"/>
        <w:tabs>
          <w:tab w:leader="none" w:pos="216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500" w:right="359" w:firstLine="653"/>
        <w:spacing w:after="0" w:line="289" w:lineRule="auto"/>
        <w:tabs>
          <w:tab w:leader="none" w:pos="2796" w:val="left"/>
        </w:tabs>
        <w:numPr>
          <w:ilvl w:val="1"/>
          <w:numId w:val="71"/>
        </w:numPr>
        <w:rPr>
          <w:rFonts w:ascii="Arial" w:cs="Arial" w:eastAsia="Arial" w:hAnsi="Arial"/>
          <w:sz w:val="19"/>
          <w:szCs w:val="19"/>
          <w:color w:val="auto"/>
        </w:rPr>
      </w:pPr>
      <w:r>
        <w:rPr>
          <w:rFonts w:ascii="Arial" w:cs="Arial" w:eastAsia="Arial" w:hAnsi="Arial"/>
          <w:sz w:val="19"/>
          <w:szCs w:val="19"/>
          <w:color w:val="auto"/>
        </w:rPr>
        <w:t>Each Award shall be exercisable only by the Participant during the Participant’s lifetime, or, if permissible under applicable law, by the Participant’s legal guardian or representative. No Award may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 Affiliate; provided, that the designation of a beneficiary shall not constitute an assignment, alienation, pledge, attachment, sale, transfer or encumbrance.</w:t>
      </w:r>
    </w:p>
    <w:p>
      <w:pPr>
        <w:spacing w:after="0" w:line="156" w:lineRule="exact"/>
        <w:rPr>
          <w:rFonts w:ascii="Arial" w:cs="Arial" w:eastAsia="Arial" w:hAnsi="Arial"/>
          <w:sz w:val="19"/>
          <w:szCs w:val="19"/>
          <w:color w:val="auto"/>
        </w:rPr>
      </w:pPr>
    </w:p>
    <w:p>
      <w:pPr>
        <w:ind w:left="1500" w:right="239" w:firstLine="653"/>
        <w:spacing w:after="0" w:line="284" w:lineRule="auto"/>
        <w:tabs>
          <w:tab w:leader="none" w:pos="2796" w:val="left"/>
        </w:tabs>
        <w:numPr>
          <w:ilvl w:val="1"/>
          <w:numId w:val="71"/>
        </w:numPr>
        <w:rPr>
          <w:rFonts w:ascii="Arial" w:cs="Arial" w:eastAsia="Arial" w:hAnsi="Arial"/>
          <w:sz w:val="19"/>
          <w:szCs w:val="19"/>
          <w:color w:val="auto"/>
        </w:rPr>
      </w:pPr>
      <w:r>
        <w:rPr>
          <w:rFonts w:ascii="Arial" w:cs="Arial" w:eastAsia="Arial" w:hAnsi="Arial"/>
          <w:sz w:val="19"/>
          <w:szCs w:val="19"/>
          <w:color w:val="auto"/>
        </w:rPr>
        <w:t>Notwithstanding the foregoing, the Committee may permit Awards (other than Incentive Stock Options) to be transferred by the Participant, without consideration, subject to such rules as the Committee may adopt, to (A) any person who is a “family member” of the Participant, as such term is used in the instructions to Form S-8 under the Securities Act or any successor form of registration statements promulgated by the Securities and Exchange Commission (collectively, the “</w:t>
      </w:r>
      <w:r>
        <w:rPr>
          <w:rFonts w:ascii="Arial" w:cs="Arial" w:eastAsia="Arial" w:hAnsi="Arial"/>
          <w:sz w:val="19"/>
          <w:szCs w:val="19"/>
          <w:b w:val="1"/>
          <w:bCs w:val="1"/>
          <w:color w:val="auto"/>
        </w:rPr>
        <w:t>Immediate Family Members</w:t>
      </w:r>
      <w:r>
        <w:rPr>
          <w:rFonts w:ascii="Arial" w:cs="Arial" w:eastAsia="Arial" w:hAnsi="Arial"/>
          <w:sz w:val="19"/>
          <w:szCs w:val="19"/>
          <w:color w:val="auto"/>
        </w:rPr>
        <w:t>”); (B) a trust solely for the benefit of the Participant or the Participant’s Immediate Family Members; (C) a partnership or limited liability company whose only partners or stockholders are the Participant and the Participant’s Immediate Family Members; or (D) any other transferee as may be approved either (1) by the Board or the Committee, or (2) as provided in the applicable Award Agreement; (each transferee described in clause (A), (B), (C) or</w:t>
      </w:r>
    </w:p>
    <w:p>
      <w:pPr>
        <w:spacing w:after="0" w:line="6" w:lineRule="exact"/>
        <w:rPr>
          <w:rFonts w:ascii="Arial" w:cs="Arial" w:eastAsia="Arial" w:hAnsi="Arial"/>
          <w:sz w:val="19"/>
          <w:szCs w:val="19"/>
          <w:color w:val="auto"/>
        </w:rPr>
      </w:pPr>
    </w:p>
    <w:p>
      <w:pPr>
        <w:ind w:left="1500" w:right="239"/>
        <w:spacing w:after="0" w:line="295" w:lineRule="auto"/>
        <w:rPr>
          <w:rFonts w:ascii="Arial" w:cs="Arial" w:eastAsia="Arial" w:hAnsi="Arial"/>
          <w:sz w:val="19"/>
          <w:szCs w:val="19"/>
          <w:color w:val="auto"/>
        </w:rPr>
      </w:pPr>
      <w:r>
        <w:rPr>
          <w:rFonts w:ascii="Arial" w:cs="Arial" w:eastAsia="Arial" w:hAnsi="Arial"/>
          <w:sz w:val="19"/>
          <w:szCs w:val="19"/>
          <w:color w:val="auto"/>
        </w:rPr>
        <w:t>(D) above is hereinafter referred to as a “</w:t>
      </w:r>
      <w:r>
        <w:rPr>
          <w:rFonts w:ascii="Arial" w:cs="Arial" w:eastAsia="Arial" w:hAnsi="Arial"/>
          <w:sz w:val="19"/>
          <w:szCs w:val="19"/>
          <w:b w:val="1"/>
          <w:bCs w:val="1"/>
          <w:color w:val="auto"/>
        </w:rPr>
        <w:t>Permitted Transferee</w:t>
      </w:r>
      <w:r>
        <w:rPr>
          <w:rFonts w:ascii="Arial" w:cs="Arial" w:eastAsia="Arial" w:hAnsi="Arial"/>
          <w:sz w:val="19"/>
          <w:szCs w:val="19"/>
          <w:color w:val="auto"/>
        </w:rPr>
        <w:t>”); provided,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49" w:lineRule="exact"/>
        <w:rPr>
          <w:rFonts w:ascii="Arial" w:cs="Arial" w:eastAsia="Arial" w:hAnsi="Arial"/>
          <w:sz w:val="19"/>
          <w:szCs w:val="19"/>
          <w:color w:val="auto"/>
        </w:rPr>
      </w:pPr>
    </w:p>
    <w:p>
      <w:pPr>
        <w:ind w:left="1500" w:right="239" w:firstLine="653"/>
        <w:spacing w:after="0" w:line="287" w:lineRule="auto"/>
        <w:tabs>
          <w:tab w:leader="none" w:pos="2796" w:val="left"/>
        </w:tabs>
        <w:numPr>
          <w:ilvl w:val="1"/>
          <w:numId w:val="71"/>
        </w:numPr>
        <w:rPr>
          <w:rFonts w:ascii="Arial" w:cs="Arial" w:eastAsia="Arial" w:hAnsi="Arial"/>
          <w:sz w:val="19"/>
          <w:szCs w:val="19"/>
          <w:color w:val="auto"/>
        </w:rPr>
      </w:pPr>
      <w:r>
        <w:rPr>
          <w:rFonts w:ascii="Arial" w:cs="Arial" w:eastAsia="Arial" w:hAnsi="Arial"/>
          <w:sz w:val="19"/>
          <w:szCs w:val="19"/>
          <w:color w:val="auto"/>
        </w:rPr>
        <w:t>The terms of any Award transferred in accordance with the immediately preceding paragraph shall apply to the Permitted Transferee, and any reference in the Plan, or in any applicable Award Agreement, to the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17" w:name="page118"/>
    <w:bookmarkEnd w:id="117"/>
    <w:p>
      <w:pPr>
        <w:ind w:left="1500" w:right="299"/>
        <w:spacing w:after="0" w:line="286" w:lineRule="auto"/>
        <w:rPr>
          <w:sz w:val="20"/>
          <w:szCs w:val="20"/>
          <w:color w:val="auto"/>
        </w:rPr>
      </w:pPr>
      <w:r>
        <w:rPr>
          <w:rFonts w:ascii="Arial" w:cs="Arial" w:eastAsia="Arial" w:hAnsi="Arial"/>
          <w:sz w:val="19"/>
          <w:szCs w:val="19"/>
          <w:color w:val="auto"/>
        </w:rPr>
        <w:t>such notice is or would otherwise have been required to be given to the Participant under the Plan or otherwise; (D) the consequences of the termination of the Participant’s employment by, or services to, the Company or an Affiliate under the terms of the Plan and the applicable Award Agreement shall continue to be applied with respect to the transferred Award, including, without limitation, that an Option shall be exercisable by the Permitted Transferee only to the extent, and for the periods, specified in the Plan and the applicable Award Agreement; and (E) any non- competition, non-solicitation, non-disparagement, non-disclosure, or other restrictive covenants contained in any Award Agreement or other agreement between the Participant and the Company or any Affiliate shall continue to apply to the Participant and the consequences of the violation of such covenants shall continue to be applied with respect to the transferred Award, including without limitation the clawback and forfeiture provisions of Section 14(v) of the Plan.</w:t>
      </w:r>
    </w:p>
    <w:p>
      <w:pPr>
        <w:spacing w:after="0" w:line="166" w:lineRule="exact"/>
        <w:rPr>
          <w:sz w:val="20"/>
          <w:szCs w:val="20"/>
          <w:color w:val="auto"/>
        </w:rPr>
      </w:pPr>
    </w:p>
    <w:p>
      <w:pPr>
        <w:ind w:left="860" w:right="299" w:firstLine="645"/>
        <w:spacing w:after="0" w:line="284" w:lineRule="auto"/>
        <w:tabs>
          <w:tab w:leader="none" w:pos="2156"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Dividends and Dividend Equivalents</w:t>
      </w:r>
      <w:r>
        <w:rPr>
          <w:rFonts w:ascii="Arial" w:cs="Arial" w:eastAsia="Arial" w:hAnsi="Arial"/>
          <w:sz w:val="19"/>
          <w:szCs w:val="19"/>
          <w:color w:val="auto"/>
        </w:rPr>
        <w:t>. The Committee may provide the Participant with dividends or dividend equivalents as part of an Award, payable in cash, shares of Common Stock, other securities, other Awards or other property, on a current or deferred basis, on such terms and conditions as may be determined by the Committee, including, without limitation, payment directly to the Participant, withholding of such amounts by the Company subject to vesting of the Award or reinvestment in additional shares of Common Stock, Restricted Stock or other Awards; provided, that no dividends or dividend equivalents shall be payable (i) in respect of outstanding Options or SARs or (ii) in respect of any other Award unless and until the Participant vests in such underlying Award; provided, further, that dividend equivalents may be accumulated in respect of unearned Awards and paid as soon as administratively practicable, but no more than</w:t>
      </w:r>
    </w:p>
    <w:p>
      <w:pPr>
        <w:spacing w:after="0" w:line="8" w:lineRule="exact"/>
        <w:rPr>
          <w:rFonts w:ascii="Arial" w:cs="Arial" w:eastAsia="Arial" w:hAnsi="Arial"/>
          <w:sz w:val="19"/>
          <w:szCs w:val="19"/>
          <w:color w:val="auto"/>
        </w:rPr>
      </w:pPr>
    </w:p>
    <w:p>
      <w:pPr>
        <w:ind w:left="860" w:right="259"/>
        <w:spacing w:after="0" w:line="302" w:lineRule="auto"/>
        <w:rPr>
          <w:rFonts w:ascii="Arial" w:cs="Arial" w:eastAsia="Arial" w:hAnsi="Arial"/>
          <w:sz w:val="19"/>
          <w:szCs w:val="19"/>
          <w:color w:val="auto"/>
        </w:rPr>
      </w:pPr>
      <w:r>
        <w:rPr>
          <w:rFonts w:ascii="Arial" w:cs="Arial" w:eastAsia="Arial" w:hAnsi="Arial"/>
          <w:sz w:val="19"/>
          <w:szCs w:val="19"/>
          <w:color w:val="auto"/>
        </w:rPr>
        <w:t>60 days, after such Awards are earned and become payable or distributable (and the right to any such accumulated dividends or dividend equivalents shall be forfeited upon the forfeiture of the Award to which such dividends or dividend equivalents relate).</w:t>
      </w:r>
    </w:p>
    <w:p>
      <w:pPr>
        <w:spacing w:after="0" w:line="142" w:lineRule="exact"/>
        <w:rPr>
          <w:rFonts w:ascii="Arial" w:cs="Arial" w:eastAsia="Arial" w:hAnsi="Arial"/>
          <w:sz w:val="19"/>
          <w:szCs w:val="19"/>
          <w:color w:val="auto"/>
        </w:rPr>
      </w:pPr>
    </w:p>
    <w:p>
      <w:pPr>
        <w:ind w:left="2160" w:hanging="655"/>
        <w:spacing w:after="0"/>
        <w:tabs>
          <w:tab w:leader="none" w:pos="216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500" w:right="239" w:firstLine="653"/>
        <w:spacing w:after="0" w:line="288" w:lineRule="auto"/>
        <w:tabs>
          <w:tab w:leader="none" w:pos="2796" w:val="left"/>
        </w:tabs>
        <w:numPr>
          <w:ilvl w:val="1"/>
          <w:numId w:val="72"/>
        </w:numPr>
        <w:rPr>
          <w:rFonts w:ascii="Arial" w:cs="Arial" w:eastAsia="Arial" w:hAnsi="Arial"/>
          <w:sz w:val="19"/>
          <w:szCs w:val="19"/>
          <w:color w:val="auto"/>
        </w:rPr>
      </w:pPr>
      <w:r>
        <w:rPr>
          <w:rFonts w:ascii="Arial" w:cs="Arial" w:eastAsia="Arial" w:hAnsi="Arial"/>
          <w:sz w:val="19"/>
          <w:szCs w:val="19"/>
          <w:color w:val="auto"/>
        </w:rPr>
        <w:t>The Participant shall be required to pay to the Company or any Affiliate, and the Company or any Affiliate shall have the right (but not the obligation) and is hereby authorized to withhold, from any cash, shares of Common Stock, other securities or other property deliverable under any Award or from any compensation or other amounts owing to the Participant, the amount (in cash, Common Stock, other securities or other property) of any required withholding taxes (up to the maximum permissible withholding amounts) in respect of an Award, its exercise, or any payment or transfer under an Award or under the Plan and to take such other action that the Committee or the Company deem necessary to satisfy all obligations for the payment of such withholding taxes.</w:t>
      </w:r>
    </w:p>
    <w:p>
      <w:pPr>
        <w:spacing w:after="0" w:line="159" w:lineRule="exact"/>
        <w:rPr>
          <w:rFonts w:ascii="Arial" w:cs="Arial" w:eastAsia="Arial" w:hAnsi="Arial"/>
          <w:sz w:val="19"/>
          <w:szCs w:val="19"/>
          <w:color w:val="auto"/>
        </w:rPr>
      </w:pPr>
    </w:p>
    <w:p>
      <w:pPr>
        <w:ind w:left="1500" w:right="399" w:firstLine="653"/>
        <w:spacing w:after="0" w:line="312" w:lineRule="auto"/>
        <w:tabs>
          <w:tab w:leader="none" w:pos="2796" w:val="left"/>
        </w:tabs>
        <w:numPr>
          <w:ilvl w:val="1"/>
          <w:numId w:val="72"/>
        </w:numPr>
        <w:rPr>
          <w:rFonts w:ascii="Arial" w:cs="Arial" w:eastAsia="Arial" w:hAnsi="Arial"/>
          <w:sz w:val="19"/>
          <w:szCs w:val="19"/>
          <w:color w:val="auto"/>
        </w:rPr>
      </w:pPr>
      <w:r>
        <w:rPr>
          <w:rFonts w:ascii="Arial" w:cs="Arial" w:eastAsia="Arial" w:hAnsi="Arial"/>
          <w:sz w:val="19"/>
          <w:szCs w:val="19"/>
          <w:color w:val="auto"/>
        </w:rPr>
        <w:t>Without limiting the generality of paragraph (i) above, the Committee may permit the Participant to satisfy, in whole or in part, the foregoing withholding liability by (A) payment in cash, (B) the delivery of shares of</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18" w:name="page119"/>
    <w:bookmarkEnd w:id="118"/>
    <w:p>
      <w:pPr>
        <w:ind w:left="1500" w:right="299"/>
        <w:spacing w:after="0" w:line="288" w:lineRule="auto"/>
        <w:rPr>
          <w:sz w:val="20"/>
          <w:szCs w:val="20"/>
          <w:color w:val="auto"/>
        </w:rPr>
      </w:pPr>
      <w:r>
        <w:rPr>
          <w:rFonts w:ascii="Arial" w:cs="Arial" w:eastAsia="Arial" w:hAnsi="Arial"/>
          <w:sz w:val="19"/>
          <w:szCs w:val="19"/>
          <w:color w:val="auto"/>
        </w:rPr>
        <w:t>Common Stock (which shares are not subject to any pledge or other security interest) owned by the Participant having a Fair Market Value on such date equal to such withholding liability or (C) having the Company withhold from the number of shares of Common Stock otherwise issuable or deliverable pursuant to the exercise or settlement of the Award a number of shares with a Fair Market Value on such date equal to such withholding liability. In addition, subject to any requirements of applicable law, the Participant may also satisfy the tax withholding obligations by other methods, including selling shares of Common Stock that would otherwise be available for delivery, provided that the Board or the Committee has specifically approved such payment method in advance.</w:t>
      </w:r>
    </w:p>
    <w:p>
      <w:pPr>
        <w:spacing w:after="0" w:line="159" w:lineRule="exact"/>
        <w:rPr>
          <w:sz w:val="20"/>
          <w:szCs w:val="20"/>
          <w:color w:val="auto"/>
        </w:rPr>
      </w:pPr>
    </w:p>
    <w:p>
      <w:pPr>
        <w:ind w:left="860" w:right="279" w:firstLine="645"/>
        <w:spacing w:after="0" w:line="288" w:lineRule="auto"/>
        <w:tabs>
          <w:tab w:leader="none" w:pos="2156"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No Claim to Awards; No Rights to Continued Employment, Directorship or Engagement</w:t>
      </w:r>
      <w:r>
        <w:rPr>
          <w:rFonts w:ascii="Arial" w:cs="Arial" w:eastAsia="Arial" w:hAnsi="Arial"/>
          <w:sz w:val="19"/>
          <w:szCs w:val="19"/>
          <w:color w:val="auto"/>
        </w:rPr>
        <w:t>. No employee, director of the Company, consultant providing service to the Company or an Affiliate,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Company or an Affiliate, or to continue in the employ or the service of the Company or an Affiliate, nor shall it be construed as giving any Participant who is a director any rights to continued service on the Board.</w:t>
      </w:r>
    </w:p>
    <w:p>
      <w:pPr>
        <w:spacing w:after="0" w:line="155" w:lineRule="exact"/>
        <w:rPr>
          <w:rFonts w:ascii="Arial" w:cs="Arial" w:eastAsia="Arial" w:hAnsi="Arial"/>
          <w:sz w:val="19"/>
          <w:szCs w:val="19"/>
          <w:color w:val="auto"/>
        </w:rPr>
      </w:pPr>
    </w:p>
    <w:p>
      <w:pPr>
        <w:ind w:left="860" w:right="239" w:firstLine="645"/>
        <w:spacing w:after="0" w:line="257" w:lineRule="auto"/>
        <w:tabs>
          <w:tab w:leader="none" w:pos="2156"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International Participants</w:t>
      </w:r>
      <w:r>
        <w:rPr>
          <w:rFonts w:ascii="Arial" w:cs="Arial" w:eastAsia="Arial" w:hAnsi="Arial"/>
          <w:sz w:val="21"/>
          <w:szCs w:val="21"/>
          <w:color w:val="auto"/>
        </w:rPr>
        <w:t>. With respect to Participants who reside or work outside of the United States, the Committee may amend the terms of the Plan or appendices thereto, or outstanding Awards, with respect to such Participants, in order to conform such terms with or accommodate the requirements of local laws, procedures or practices or to obtain more favorable tax or other treatment for the Participant, the Company or its Affiliates. Without limiting the generality of this subsection, the Committee is specifically authorized to adopt rules, procedures and sub-plans with provisions that limit or modify rights on death, disability, retirement or other terminations of employment, available methods of exercise or settlement of an Award, payment of income, social insurance contributions or payroll taxes, withholding procedures and handling of any stock certificates or other indicia of ownership that vary with local requirements. The Committee may also adopt rules, procedures or sub-plans applicable to particular Affiliates or locations.</w:t>
      </w:r>
    </w:p>
    <w:p>
      <w:pPr>
        <w:spacing w:after="0" w:line="188" w:lineRule="exact"/>
        <w:rPr>
          <w:rFonts w:ascii="Arial" w:cs="Arial" w:eastAsia="Arial" w:hAnsi="Arial"/>
          <w:sz w:val="21"/>
          <w:szCs w:val="21"/>
          <w:color w:val="auto"/>
        </w:rPr>
      </w:pPr>
    </w:p>
    <w:p>
      <w:pPr>
        <w:ind w:left="860" w:right="399" w:firstLine="645"/>
        <w:spacing w:after="0" w:line="290" w:lineRule="auto"/>
        <w:tabs>
          <w:tab w:leader="none" w:pos="2156"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Beneficiary Designation</w:t>
      </w:r>
      <w:r>
        <w:rPr>
          <w:rFonts w:ascii="Arial" w:cs="Arial" w:eastAsia="Arial" w:hAnsi="Arial"/>
          <w:sz w:val="19"/>
          <w:szCs w:val="19"/>
          <w:color w:val="auto"/>
        </w:rPr>
        <w:t>. The Participant’s beneficiary shall be the Participant’s spouse (or domestic partner if such status is recognized by the Company and in such jurisdiction), or if the Participant is otherwise unmarried at the time of death, the Participant’s estate, except to the extent that a different beneficiary is designated in accordance with procedures that may be established by the Committee from time to time for such purpose. Notwithstanding the foregoing, in the absence of a beneficiary validly designated under such Committee-established procedures and/or applicable law who is living (or in existence) at the time of death of a Participant residing or working outside</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386715</wp:posOffset>
            </wp:positionV>
            <wp:extent cx="545211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19" w:name="page120"/>
    <w:bookmarkEnd w:id="119"/>
    <w:p>
      <w:pPr>
        <w:ind w:left="860" w:right="319"/>
        <w:spacing w:after="0" w:line="253" w:lineRule="auto"/>
        <w:rPr>
          <w:sz w:val="20"/>
          <w:szCs w:val="20"/>
          <w:color w:val="auto"/>
        </w:rPr>
      </w:pPr>
      <w:r>
        <w:rPr>
          <w:rFonts w:ascii="Arial" w:cs="Arial" w:eastAsia="Arial" w:hAnsi="Arial"/>
          <w:sz w:val="22"/>
          <w:szCs w:val="22"/>
          <w:color w:val="auto"/>
        </w:rPr>
        <w:t>the United States, any required distribution under the Plan shall be made to the executor or administrator of the estate of the Participant, or to such other individual as may be prescribed by applicable law.</w:t>
      </w:r>
    </w:p>
    <w:p>
      <w:pPr>
        <w:spacing w:after="0" w:line="185" w:lineRule="exact"/>
        <w:rPr>
          <w:sz w:val="20"/>
          <w:szCs w:val="20"/>
          <w:color w:val="auto"/>
        </w:rPr>
      </w:pPr>
    </w:p>
    <w:p>
      <w:pPr>
        <w:ind w:left="860" w:right="359" w:firstLine="645"/>
        <w:spacing w:after="0" w:line="287" w:lineRule="auto"/>
        <w:tabs>
          <w:tab w:leader="none" w:pos="2156"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or Service</w:t>
      </w:r>
      <w:r>
        <w:rPr>
          <w:rFonts w:ascii="Arial" w:cs="Arial" w:eastAsia="Arial" w:hAnsi="Arial"/>
          <w:sz w:val="19"/>
          <w:szCs w:val="19"/>
          <w:color w:val="auto"/>
        </w:rPr>
        <w:t>. The Committee, in its sole discretion, shall determine the effect of all matters and questions related to the termination of employment of or service of a Participant. Except as otherwise provided in an Award Agreement, or any employment, consulting, change-in-control, severance or other agreement between the Participant and the Company or an Affiliate, unless determined otherwise by the Committee: (i) neither a temporary absence from employment or service due to illness, vacation or leave of absence (including, without limitation, a call to active duty for military service through a Reserve or National Guard unit) nor a transfer from employment or service with the Company to employment or service with an Affiliate (or vice versa) shall be considered a termination of employment or service with the Company or an Affiliate; and (ii) if the Participant’s employment with the Company or its Affiliates terminates, but such Participant continues to provide services with the Company or its Affiliates in a non-employee capacity (including as a non-employee director) (or vice versa), such change in status shall not be considered a termination of employment or service with the Company or an Affiliate for purposes of the Plan.</w:t>
      </w:r>
    </w:p>
    <w:p>
      <w:pPr>
        <w:spacing w:after="0" w:line="157" w:lineRule="exact"/>
        <w:rPr>
          <w:rFonts w:ascii="Arial" w:cs="Arial" w:eastAsia="Arial" w:hAnsi="Arial"/>
          <w:sz w:val="19"/>
          <w:szCs w:val="19"/>
          <w:color w:val="auto"/>
        </w:rPr>
      </w:pPr>
    </w:p>
    <w:p>
      <w:pPr>
        <w:jc w:val="both"/>
        <w:ind w:left="860" w:right="259" w:firstLine="645"/>
        <w:spacing w:after="0" w:line="265" w:lineRule="auto"/>
        <w:tabs>
          <w:tab w:leader="none" w:pos="2156"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No Rights as a Stockholder</w:t>
      </w:r>
      <w:r>
        <w:rPr>
          <w:rFonts w:ascii="Arial" w:cs="Arial" w:eastAsia="Arial" w:hAnsi="Arial"/>
          <w:sz w:val="21"/>
          <w:szCs w:val="21"/>
          <w:color w:val="auto"/>
        </w:rPr>
        <w:t>. Except as otherwise specifically provided in the Plan or any Award Agreement, no person shall be entitled to the privileges of ownership in respect of shares of Common Stock that are subject to Awards hereunder until such shares have been issued or delivered to that person.</w:t>
      </w:r>
    </w:p>
    <w:p>
      <w:pPr>
        <w:spacing w:after="0" w:line="175" w:lineRule="exact"/>
        <w:rPr>
          <w:rFonts w:ascii="Arial" w:cs="Arial" w:eastAsia="Arial" w:hAnsi="Arial"/>
          <w:sz w:val="21"/>
          <w:szCs w:val="21"/>
          <w:color w:val="auto"/>
        </w:rPr>
      </w:pPr>
    </w:p>
    <w:p>
      <w:pPr>
        <w:ind w:left="2160" w:hanging="655"/>
        <w:spacing w:after="0"/>
        <w:tabs>
          <w:tab w:leader="none" w:pos="216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Government and Other Regulations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500" w:right="439" w:firstLine="653"/>
        <w:spacing w:after="0" w:line="302" w:lineRule="auto"/>
        <w:tabs>
          <w:tab w:leader="none" w:pos="2796" w:val="left"/>
        </w:tabs>
        <w:numPr>
          <w:ilvl w:val="1"/>
          <w:numId w:val="74"/>
        </w:numPr>
        <w:rPr>
          <w:rFonts w:ascii="Arial" w:cs="Arial" w:eastAsia="Arial" w:hAnsi="Arial"/>
          <w:sz w:val="19"/>
          <w:szCs w:val="19"/>
          <w:color w:val="auto"/>
        </w:rPr>
      </w:pPr>
      <w:r>
        <w:rPr>
          <w:rFonts w:ascii="Arial" w:cs="Arial" w:eastAsia="Arial" w:hAnsi="Arial"/>
          <w:sz w:val="19"/>
          <w:szCs w:val="19"/>
          <w:color w:val="auto"/>
        </w:rPr>
        <w:t>Nothing in the Plan shall be deemed to authorize the Committee or Board or any members thereof to take any action contrary to applicable law or regulation, or Nasdaq rules or the rules of any other securities exchange or inter-dealer quotation service on which the Common Stock is listed or quoted.</w:t>
      </w:r>
    </w:p>
    <w:p>
      <w:pPr>
        <w:spacing w:after="0" w:line="142" w:lineRule="exact"/>
        <w:rPr>
          <w:rFonts w:ascii="Arial" w:cs="Arial" w:eastAsia="Arial" w:hAnsi="Arial"/>
          <w:sz w:val="19"/>
          <w:szCs w:val="19"/>
          <w:color w:val="auto"/>
        </w:rPr>
      </w:pPr>
    </w:p>
    <w:p>
      <w:pPr>
        <w:ind w:left="1500" w:right="339" w:firstLine="653"/>
        <w:spacing w:after="0" w:line="288" w:lineRule="auto"/>
        <w:tabs>
          <w:tab w:leader="none" w:pos="2796" w:val="left"/>
        </w:tabs>
        <w:numPr>
          <w:ilvl w:val="1"/>
          <w:numId w:val="74"/>
        </w:numPr>
        <w:rPr>
          <w:rFonts w:ascii="Arial" w:cs="Arial" w:eastAsia="Arial" w:hAnsi="Arial"/>
          <w:sz w:val="19"/>
          <w:szCs w:val="19"/>
          <w:color w:val="auto"/>
        </w:rPr>
      </w:pPr>
      <w:r>
        <w:rPr>
          <w:rFonts w:ascii="Arial" w:cs="Arial" w:eastAsia="Arial" w:hAnsi="Arial"/>
          <w:sz w:val="19"/>
          <w:szCs w:val="19"/>
          <w:color w:val="auto"/>
        </w:rPr>
        <w:t>The obligation of the Company to settle Awards in Common Stock or other consideration shall be subject to all applicable laws, rules, and regulations, and to such approvals by governmental agencies as may be required.</w:t>
      </w:r>
    </w:p>
    <w:p>
      <w:pPr>
        <w:ind w:left="1500" w:right="219"/>
        <w:spacing w:after="0" w:line="285" w:lineRule="auto"/>
        <w:rPr>
          <w:rFonts w:ascii="Arial" w:cs="Arial" w:eastAsia="Arial" w:hAnsi="Arial"/>
          <w:sz w:val="19"/>
          <w:szCs w:val="19"/>
          <w:color w:val="auto"/>
        </w:rPr>
      </w:pPr>
      <w:r>
        <w:rPr>
          <w:rFonts w:ascii="Arial" w:cs="Arial" w:eastAsia="Arial" w:hAnsi="Arial"/>
          <w:sz w:val="19"/>
          <w:szCs w:val="19"/>
          <w:color w:val="auto"/>
        </w:rPr>
        <w:t>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and in compliance with the terms of an available exemption. The Company shall be under no obligation to register for sale under the Securities Act any of the shares of Common Stock to be offered or sold under the Plan. The Committee shall have the authority to provide that all shares of Common Stock or other securities of the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20" w:name="page121"/>
    <w:bookmarkEnd w:id="120"/>
    <w:p>
      <w:pPr>
        <w:ind w:left="1500" w:right="259"/>
        <w:spacing w:after="0" w:line="286" w:lineRule="auto"/>
        <w:rPr>
          <w:sz w:val="20"/>
          <w:szCs w:val="20"/>
          <w:color w:val="auto"/>
        </w:rPr>
      </w:pPr>
      <w:r>
        <w:rPr>
          <w:rFonts w:ascii="Arial" w:cs="Arial" w:eastAsia="Arial" w:hAnsi="Arial"/>
          <w:sz w:val="19"/>
          <w:szCs w:val="19"/>
          <w:color w:val="auto"/>
        </w:rPr>
        <w:t>Company or any Affiliate delivered under the Plan shall be subject to such stop-transfer orders and other restrictions as the Committee may deem advisable under the Plan, the applicable Award Agreement, U.S. federal securities laws, or the rules, regulations and other requirements of the U.S. Securities and Exchange Commission, any securities exchange or inter-dealer quotation service upon which such shares or other securities of the Company are then listed or quoted and any other applicable federal, state, local or non-U.S. laws, rules, regulations and other requirements, and, without limiting the generality of Section 9 of the Plan, the Committee may cause a legend or legends to be put on any such certificates of Common Stock or other securities of the Company or any Affiliate delivered under the Plan to make appropriate reference to such restrictions or may cause such Common Stock or other securities of the Company or any Affiliate delivered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160" w:lineRule="exact"/>
        <w:rPr>
          <w:sz w:val="20"/>
          <w:szCs w:val="20"/>
          <w:color w:val="auto"/>
        </w:rPr>
      </w:pPr>
    </w:p>
    <w:p>
      <w:pPr>
        <w:ind w:left="1500" w:right="259" w:firstLine="653"/>
        <w:spacing w:after="0" w:line="285" w:lineRule="auto"/>
        <w:tabs>
          <w:tab w:leader="none" w:pos="2796" w:val="left"/>
        </w:tabs>
        <w:numPr>
          <w:ilvl w:val="1"/>
          <w:numId w:val="75"/>
        </w:numPr>
        <w:rPr>
          <w:rFonts w:ascii="Arial" w:cs="Arial" w:eastAsia="Arial" w:hAnsi="Arial"/>
          <w:sz w:val="19"/>
          <w:szCs w:val="19"/>
          <w:color w:val="auto"/>
        </w:rPr>
      </w:pPr>
      <w:r>
        <w:rPr>
          <w:rFonts w:ascii="Arial" w:cs="Arial" w:eastAsia="Arial" w:hAnsi="Arial"/>
          <w:sz w:val="19"/>
          <w:szCs w:val="19"/>
          <w:color w:val="auto"/>
        </w:rPr>
        <w:t>The Committee may cancel an Award or any portion thereof if it determines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unless prevented by applicable laws, the Company shall pay to the Participant an amount equal to the excess of (A) the aggregate Fair Market Value of the shares of Common Stock subject to such Award or portion thereof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shares of Common Stock (in the case of any other Award). Such amount shall be delivered to the Participant as soon as practicable following the cancellation of such Award or portion thereof.</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left="860" w:right="339" w:firstLine="645"/>
        <w:spacing w:after="0" w:line="297" w:lineRule="auto"/>
        <w:tabs>
          <w:tab w:leader="none" w:pos="215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Section 83(b) Elections</w:t>
      </w:r>
      <w:r>
        <w:rPr>
          <w:rFonts w:ascii="Arial" w:cs="Arial" w:eastAsia="Arial" w:hAnsi="Arial"/>
          <w:sz w:val="19"/>
          <w:szCs w:val="19"/>
          <w:color w:val="auto"/>
        </w:rPr>
        <w:t>. If a Participant, in connection with the acquisition of shares of Common Stock under the Plan, makes an election under Section 83(b) of the Code, the Participant shall notify the Company of such election within ten days after filing notice of the election with the Internal Revenue Service, in addition to any filing and notification required pursuant to Section 83(b) of the Code.</w:t>
      </w:r>
    </w:p>
    <w:p>
      <w:pPr>
        <w:spacing w:after="0" w:line="146" w:lineRule="exact"/>
        <w:rPr>
          <w:rFonts w:ascii="Arial" w:cs="Arial" w:eastAsia="Arial" w:hAnsi="Arial"/>
          <w:sz w:val="19"/>
          <w:szCs w:val="19"/>
          <w:color w:val="auto"/>
        </w:rPr>
      </w:pPr>
    </w:p>
    <w:p>
      <w:pPr>
        <w:jc w:val="both"/>
        <w:ind w:left="860" w:right="519" w:firstLine="645"/>
        <w:spacing w:after="0" w:line="312" w:lineRule="auto"/>
        <w:tabs>
          <w:tab w:leader="none" w:pos="215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Payments to Persons Other Than Participants</w:t>
      </w:r>
      <w:r>
        <w:rPr>
          <w:rFonts w:ascii="Arial" w:cs="Arial" w:eastAsia="Arial" w:hAnsi="Arial"/>
          <w:sz w:val="19"/>
          <w:szCs w:val="19"/>
          <w:color w:val="auto"/>
        </w:rPr>
        <w:t>. If the Committee shall find that any person to whom any amount is payable under the Plan is unable to care for such person’s affairs because of illness or accident, or is a minor, or has died, then any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21" w:name="page122"/>
    <w:bookmarkEnd w:id="121"/>
    <w:p>
      <w:pPr>
        <w:ind w:left="860" w:right="319"/>
        <w:spacing w:after="0" w:line="292" w:lineRule="auto"/>
        <w:rPr>
          <w:sz w:val="20"/>
          <w:szCs w:val="20"/>
          <w:color w:val="auto"/>
        </w:rPr>
      </w:pPr>
      <w:r>
        <w:rPr>
          <w:rFonts w:ascii="Arial" w:cs="Arial" w:eastAsia="Arial" w:hAnsi="Arial"/>
          <w:sz w:val="19"/>
          <w:szCs w:val="19"/>
          <w:color w:val="auto"/>
        </w:rPr>
        <w:t>payment due to such person or such person’s estate (unless a prior claim therefor has been made by a duly appointed legal representative or a beneficiary designation form has been filed with the Company) may, if the Committee so directs the Company, be paid to such person’s spouse, child, or relative, or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51" w:lineRule="exact"/>
        <w:rPr>
          <w:sz w:val="20"/>
          <w:szCs w:val="20"/>
          <w:color w:val="auto"/>
        </w:rPr>
      </w:pPr>
    </w:p>
    <w:p>
      <w:pPr>
        <w:ind w:left="860" w:right="239" w:firstLine="645"/>
        <w:spacing w:after="0" w:line="294" w:lineRule="auto"/>
        <w:tabs>
          <w:tab w:leader="none" w:pos="215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Nonexclusivity of the Plan</w:t>
      </w:r>
      <w:r>
        <w:rPr>
          <w:rFonts w:ascii="Arial" w:cs="Arial" w:eastAsia="Arial" w:hAnsi="Arial"/>
          <w:sz w:val="19"/>
          <w:szCs w:val="19"/>
          <w:color w:val="auto"/>
        </w:rPr>
        <w:t>. 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stock options or awards otherwise than under the Plan, and such arrangements may be either applicable generally or only in specific cases.</w:t>
      </w:r>
    </w:p>
    <w:p>
      <w:pPr>
        <w:spacing w:after="0" w:line="149" w:lineRule="exact"/>
        <w:rPr>
          <w:rFonts w:ascii="Arial" w:cs="Arial" w:eastAsia="Arial" w:hAnsi="Arial"/>
          <w:sz w:val="19"/>
          <w:szCs w:val="19"/>
          <w:color w:val="auto"/>
        </w:rPr>
      </w:pPr>
    </w:p>
    <w:p>
      <w:pPr>
        <w:ind w:left="860" w:right="279" w:firstLine="645"/>
        <w:spacing w:after="0" w:line="288" w:lineRule="auto"/>
        <w:tabs>
          <w:tab w:leader="none" w:pos="215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No Trust or Fund Created</w:t>
      </w:r>
      <w:r>
        <w:rPr>
          <w:rFonts w:ascii="Arial" w:cs="Arial" w:eastAsia="Arial" w:hAnsi="Arial"/>
          <w:sz w:val="19"/>
          <w:szCs w:val="19"/>
          <w:color w:val="auto"/>
        </w:rPr>
        <w:t>. This Plan and Awards hereunder are intended to be unfunded for tax purposes and for purposes of the Employee Retirement Income Security Act of 1974, as amended, and shall be construed and interpreted in accordance with such intent. Neither the Plan nor any Award shall create or be construed to create a trust or separate fund of any kind or a fiduciary relationship between the Company or any Affiliate, on the one hand, and the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to otherwise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w:t>
      </w:r>
    </w:p>
    <w:p>
      <w:pPr>
        <w:spacing w:after="0" w:line="155" w:lineRule="exact"/>
        <w:rPr>
          <w:rFonts w:ascii="Arial" w:cs="Arial" w:eastAsia="Arial" w:hAnsi="Arial"/>
          <w:sz w:val="19"/>
          <w:szCs w:val="19"/>
          <w:color w:val="auto"/>
        </w:rPr>
      </w:pPr>
    </w:p>
    <w:p>
      <w:pPr>
        <w:ind w:left="860" w:right="339" w:firstLine="645"/>
        <w:spacing w:after="0" w:line="260" w:lineRule="auto"/>
        <w:tabs>
          <w:tab w:leader="none" w:pos="2156"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Reliance on Reports</w:t>
      </w:r>
      <w:r>
        <w:rPr>
          <w:rFonts w:ascii="Arial" w:cs="Arial" w:eastAsia="Arial" w:hAnsi="Arial"/>
          <w:sz w:val="21"/>
          <w:szCs w:val="21"/>
          <w:color w:val="auto"/>
        </w:rPr>
        <w:t>. Each member of the Committee and each member of the Board (and each such member’s respective designees) shall be fully justified in acting or failing to act, as the case may be, and shall not be liable for having so acted or failed to act in good faith, in reliance upon any report made by the independent registered public accounting firm of the Company or any of its Affiliates or any other information furnished in connection with the Plan by any agent or advisor of the Company or the Committee or the Board.</w:t>
      </w:r>
    </w:p>
    <w:p>
      <w:pPr>
        <w:spacing w:after="0" w:line="180" w:lineRule="exact"/>
        <w:rPr>
          <w:rFonts w:ascii="Arial" w:cs="Arial" w:eastAsia="Arial" w:hAnsi="Arial"/>
          <w:sz w:val="21"/>
          <w:szCs w:val="21"/>
          <w:color w:val="auto"/>
        </w:rPr>
      </w:pPr>
    </w:p>
    <w:p>
      <w:pPr>
        <w:ind w:left="860" w:right="519" w:firstLine="645"/>
        <w:spacing w:after="0" w:line="250" w:lineRule="auto"/>
        <w:tabs>
          <w:tab w:leader="none" w:pos="2156"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Relationship to Other Benefits</w:t>
      </w:r>
      <w:r>
        <w:rPr>
          <w:rFonts w:ascii="Arial" w:cs="Arial" w:eastAsia="Arial" w:hAnsi="Arial"/>
          <w:sz w:val="22"/>
          <w:szCs w:val="22"/>
          <w:color w:val="auto"/>
        </w:rPr>
        <w:t>. No payment under the Plan shall be taken into account in determining any benefits under any pension, retirement, profit sharing, group insurance or other benefit plan of the Company except as otherwise specifically provided in such other plan.</w:t>
      </w:r>
    </w:p>
    <w:p>
      <w:pPr>
        <w:spacing w:after="0" w:line="187" w:lineRule="exact"/>
        <w:rPr>
          <w:rFonts w:ascii="Arial" w:cs="Arial" w:eastAsia="Arial" w:hAnsi="Arial"/>
          <w:sz w:val="22"/>
          <w:szCs w:val="22"/>
          <w:color w:val="auto"/>
        </w:rPr>
      </w:pPr>
    </w:p>
    <w:p>
      <w:pPr>
        <w:ind w:left="860" w:right="319" w:firstLine="645"/>
        <w:spacing w:after="0" w:line="297" w:lineRule="auto"/>
        <w:tabs>
          <w:tab w:leader="none" w:pos="215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Purchase for Investment</w:t>
      </w:r>
      <w:r>
        <w:rPr>
          <w:rFonts w:ascii="Arial" w:cs="Arial" w:eastAsia="Arial" w:hAnsi="Arial"/>
          <w:sz w:val="19"/>
          <w:szCs w:val="19"/>
          <w:color w:val="auto"/>
        </w:rPr>
        <w:t>. Whether or not the Options and shares covered by the Plan have been registered under the Securities Act, each person exercising an Option under the Plan or acquiring shares under the Plan may be required by the Company to give a representation in writing that such person is acquiring such shares for investment and not with a view to, or for sale in connection with, the distribution of any</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386715</wp:posOffset>
            </wp:positionV>
            <wp:extent cx="545211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22" w:name="page123"/>
    <w:bookmarkEnd w:id="122"/>
    <w:p>
      <w:pPr>
        <w:ind w:left="860" w:right="439"/>
        <w:spacing w:after="0" w:line="312" w:lineRule="auto"/>
        <w:rPr>
          <w:sz w:val="20"/>
          <w:szCs w:val="20"/>
          <w:color w:val="auto"/>
        </w:rPr>
      </w:pPr>
      <w:r>
        <w:rPr>
          <w:rFonts w:ascii="Arial" w:cs="Arial" w:eastAsia="Arial" w:hAnsi="Arial"/>
          <w:sz w:val="19"/>
          <w:szCs w:val="19"/>
          <w:color w:val="auto"/>
        </w:rPr>
        <w:t>part thereof. The Company will endorse any necessary legend referring to the foregoing restriction upon the certificate or certificates representing any shares issued or transferred to the Participant upon the exercise of any Option granted under the Plan.</w:t>
      </w:r>
    </w:p>
    <w:p>
      <w:pPr>
        <w:spacing w:after="0" w:line="133" w:lineRule="exact"/>
        <w:rPr>
          <w:sz w:val="20"/>
          <w:szCs w:val="20"/>
          <w:color w:val="auto"/>
        </w:rPr>
      </w:pPr>
    </w:p>
    <w:p>
      <w:pPr>
        <w:ind w:left="860" w:right="259" w:firstLine="645"/>
        <w:spacing w:after="0" w:line="302" w:lineRule="auto"/>
        <w:tabs>
          <w:tab w:leader="none" w:pos="2156"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The Plan shall be governed by and construed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42" w:lineRule="exact"/>
        <w:rPr>
          <w:rFonts w:ascii="Arial" w:cs="Arial" w:eastAsia="Arial" w:hAnsi="Arial"/>
          <w:sz w:val="19"/>
          <w:szCs w:val="19"/>
          <w:color w:val="auto"/>
        </w:rPr>
      </w:pPr>
    </w:p>
    <w:p>
      <w:pPr>
        <w:ind w:left="860" w:right="219" w:firstLine="645"/>
        <w:spacing w:after="0" w:line="260" w:lineRule="auto"/>
        <w:tabs>
          <w:tab w:leader="none" w:pos="2156"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spacing w:after="0" w:line="183" w:lineRule="exact"/>
        <w:rPr>
          <w:rFonts w:ascii="Arial" w:cs="Arial" w:eastAsia="Arial" w:hAnsi="Arial"/>
          <w:sz w:val="21"/>
          <w:szCs w:val="21"/>
          <w:color w:val="auto"/>
        </w:rPr>
      </w:pPr>
    </w:p>
    <w:p>
      <w:pPr>
        <w:ind w:left="860" w:right="279" w:firstLine="645"/>
        <w:spacing w:after="0" w:line="248" w:lineRule="auto"/>
        <w:tabs>
          <w:tab w:leader="none" w:pos="2156"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Obligations Binding on Successors</w:t>
      </w:r>
      <w:r>
        <w:rPr>
          <w:rFonts w:ascii="Arial" w:cs="Arial" w:eastAsia="Arial" w:hAnsi="Arial"/>
          <w:sz w:val="22"/>
          <w:szCs w:val="22"/>
          <w:color w:val="auto"/>
        </w:rPr>
        <w:t>.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w:t>
      </w:r>
    </w:p>
    <w:p>
      <w:pPr>
        <w:spacing w:after="0" w:line="191" w:lineRule="exact"/>
        <w:rPr>
          <w:rFonts w:ascii="Arial" w:cs="Arial" w:eastAsia="Arial" w:hAnsi="Arial"/>
          <w:sz w:val="22"/>
          <w:szCs w:val="22"/>
          <w:color w:val="auto"/>
        </w:rPr>
      </w:pPr>
    </w:p>
    <w:p>
      <w:pPr>
        <w:ind w:left="2160" w:hanging="655"/>
        <w:spacing w:after="0"/>
        <w:tabs>
          <w:tab w:leader="none" w:pos="216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w:t>
      </w:r>
    </w:p>
    <w:p>
      <w:pPr>
        <w:spacing w:after="0" w:line="220" w:lineRule="exact"/>
        <w:rPr>
          <w:sz w:val="20"/>
          <w:szCs w:val="20"/>
          <w:color w:val="auto"/>
        </w:rPr>
      </w:pPr>
    </w:p>
    <w:p>
      <w:pPr>
        <w:ind w:left="1500" w:right="219" w:firstLine="653"/>
        <w:spacing w:after="0" w:line="286" w:lineRule="auto"/>
        <w:tabs>
          <w:tab w:leader="none" w:pos="2796" w:val="left"/>
        </w:tabs>
        <w:numPr>
          <w:ilvl w:val="0"/>
          <w:numId w:val="79"/>
        </w:numPr>
        <w:rPr>
          <w:rFonts w:ascii="Arial" w:cs="Arial" w:eastAsia="Arial" w:hAnsi="Arial"/>
          <w:sz w:val="19"/>
          <w:szCs w:val="19"/>
          <w:color w:val="auto"/>
        </w:rPr>
      </w:pPr>
      <w:r>
        <w:rPr>
          <w:rFonts w:ascii="Arial" w:cs="Arial" w:eastAsia="Arial" w:hAnsi="Arial"/>
          <w:sz w:val="19"/>
          <w:szCs w:val="19"/>
          <w:color w:val="auto"/>
        </w:rPr>
        <w:t>It is intended that the Plan be exempt from or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or any other plan maintained by the Company, including any taxes and penalties under Section 409A of the Code, and neither the Company nor any Affiliate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a separate payment.</w:t>
      </w:r>
    </w:p>
    <w:p>
      <w:pPr>
        <w:spacing w:after="0" w:line="158" w:lineRule="exact"/>
        <w:rPr>
          <w:rFonts w:ascii="Arial" w:cs="Arial" w:eastAsia="Arial" w:hAnsi="Arial"/>
          <w:sz w:val="19"/>
          <w:szCs w:val="19"/>
          <w:color w:val="auto"/>
        </w:rPr>
      </w:pPr>
    </w:p>
    <w:p>
      <w:pPr>
        <w:ind w:left="1500" w:right="1139" w:firstLine="653"/>
        <w:spacing w:after="0" w:line="343" w:lineRule="auto"/>
        <w:tabs>
          <w:tab w:leader="none" w:pos="2796" w:val="left"/>
        </w:tabs>
        <w:numPr>
          <w:ilvl w:val="0"/>
          <w:numId w:val="79"/>
        </w:numPr>
        <w:rPr>
          <w:rFonts w:ascii="Arial" w:cs="Arial" w:eastAsia="Arial" w:hAnsi="Arial"/>
          <w:sz w:val="19"/>
          <w:szCs w:val="19"/>
          <w:color w:val="auto"/>
        </w:rPr>
      </w:pPr>
      <w:r>
        <w:rPr>
          <w:rFonts w:ascii="Arial" w:cs="Arial" w:eastAsia="Arial" w:hAnsi="Arial"/>
          <w:sz w:val="19"/>
          <w:szCs w:val="19"/>
          <w:color w:val="auto"/>
        </w:rPr>
        <w:t>Notwithstanding anything in the Plan to the contrary, if the Participant is a “specified employee” within the meaning of Section</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23" w:name="page124"/>
    <w:bookmarkEnd w:id="123"/>
    <w:p>
      <w:pPr>
        <w:ind w:left="1500" w:right="379"/>
        <w:spacing w:after="0" w:line="290" w:lineRule="auto"/>
        <w:rPr>
          <w:sz w:val="20"/>
          <w:szCs w:val="20"/>
          <w:color w:val="auto"/>
        </w:rPr>
      </w:pPr>
      <w:r>
        <w:rPr>
          <w:rFonts w:ascii="Arial" w:cs="Arial" w:eastAsia="Arial" w:hAnsi="Arial"/>
          <w:sz w:val="19"/>
          <w:szCs w:val="19"/>
          <w:color w:val="auto"/>
        </w:rPr>
        <w:t>409A(a)(2)(B)(i) of the Code, no payments or deliveries in respect of any Awards that are payable on account of the Participant’s “separation from service” and that are “deferred compensation” subject to Section 409A of the Code shall be made to such Participant prior to the date that is six months after the date of such Participant’s “separation from service” within the meaning of Section 409A of the Code or, if earlier, the Participant’s date of death. All such delayed payments or deliveries will be paid or delivered (without interest) in a single lump sum on the earliest date permitted under Section 409A of the Code that is also a business day.</w:t>
      </w:r>
    </w:p>
    <w:p>
      <w:pPr>
        <w:spacing w:after="0" w:line="156" w:lineRule="exact"/>
        <w:rPr>
          <w:sz w:val="20"/>
          <w:szCs w:val="20"/>
          <w:color w:val="auto"/>
        </w:rPr>
      </w:pPr>
    </w:p>
    <w:p>
      <w:pPr>
        <w:ind w:left="1500" w:right="259" w:firstLine="653"/>
        <w:spacing w:after="0" w:line="290" w:lineRule="auto"/>
        <w:tabs>
          <w:tab w:leader="none" w:pos="2796" w:val="left"/>
        </w:tabs>
        <w:numPr>
          <w:ilvl w:val="1"/>
          <w:numId w:val="80"/>
        </w:numPr>
        <w:rPr>
          <w:rFonts w:ascii="Arial" w:cs="Arial" w:eastAsia="Arial" w:hAnsi="Arial"/>
          <w:sz w:val="19"/>
          <w:szCs w:val="19"/>
          <w:color w:val="auto"/>
        </w:rPr>
      </w:pPr>
      <w:r>
        <w:rPr>
          <w:rFonts w:ascii="Arial" w:cs="Arial" w:eastAsia="Arial" w:hAnsi="Arial"/>
          <w:sz w:val="19"/>
          <w:szCs w:val="19"/>
          <w:color w:val="auto"/>
        </w:rPr>
        <w:t>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and any Treasury Regulations promulgated thereunder or (B) a Disability, no such acceleration shall be permitted unless the Disability also satisfies the definition of “disability” pursuant to Section 409A of the Code and any Treasury Regulations promulgated thereunder.</w:t>
      </w:r>
    </w:p>
    <w:p>
      <w:pPr>
        <w:spacing w:after="0" w:line="154" w:lineRule="exact"/>
        <w:rPr>
          <w:rFonts w:ascii="Arial" w:cs="Arial" w:eastAsia="Arial" w:hAnsi="Arial"/>
          <w:sz w:val="19"/>
          <w:szCs w:val="19"/>
          <w:color w:val="auto"/>
        </w:rPr>
      </w:pPr>
    </w:p>
    <w:p>
      <w:pPr>
        <w:ind w:left="1500" w:right="319" w:firstLine="653"/>
        <w:spacing w:after="0" w:line="258" w:lineRule="auto"/>
        <w:tabs>
          <w:tab w:leader="none" w:pos="2796" w:val="left"/>
        </w:tabs>
        <w:numPr>
          <w:ilvl w:val="1"/>
          <w:numId w:val="80"/>
        </w:numPr>
        <w:rPr>
          <w:rFonts w:ascii="Arial" w:cs="Arial" w:eastAsia="Arial" w:hAnsi="Arial"/>
          <w:sz w:val="21"/>
          <w:szCs w:val="21"/>
          <w:color w:val="auto"/>
        </w:rPr>
      </w:pPr>
      <w:r>
        <w:rPr>
          <w:rFonts w:ascii="Arial" w:cs="Arial" w:eastAsia="Arial" w:hAnsi="Arial"/>
          <w:sz w:val="21"/>
          <w:szCs w:val="21"/>
          <w:u w:val="single" w:color="auto"/>
          <w:color w:val="auto"/>
        </w:rPr>
        <w:t>Clawback/Forfeiture</w:t>
      </w:r>
      <w:r>
        <w:rPr>
          <w:rFonts w:ascii="Arial" w:cs="Arial" w:eastAsia="Arial" w:hAnsi="Arial"/>
          <w:sz w:val="21"/>
          <w:szCs w:val="21"/>
          <w:color w:val="auto"/>
        </w:rPr>
        <w:t>. Notwithstanding anything to the contrary contained herein, to the extent required by applicable law (including, without limitation, Section 304 of the Sarbanes-Oxley Act and Section 954 of the Dodd-Frank Wall Street Reform and Consumer Protection Act and any rules or regulations promulgated thereunder) and/or the rules and regulations of NASDAQ or any other securities exchange or inter-dealer quotation service on which the Common Stock is listed or quoted, Awards shall be subject (including on a retroactive basis) to clawback, forfeiture or similar requirements (and such requirements shall be deemed incorporated by reference into all outstanding Award Agreements).</w:t>
      </w:r>
    </w:p>
    <w:p>
      <w:pPr>
        <w:spacing w:after="0" w:line="185" w:lineRule="exact"/>
        <w:rPr>
          <w:rFonts w:ascii="Arial" w:cs="Arial" w:eastAsia="Arial" w:hAnsi="Arial"/>
          <w:sz w:val="21"/>
          <w:szCs w:val="21"/>
          <w:color w:val="auto"/>
        </w:rPr>
      </w:pPr>
    </w:p>
    <w:p>
      <w:pPr>
        <w:ind w:left="860" w:right="359" w:firstLine="645"/>
        <w:spacing w:after="0" w:line="246" w:lineRule="auto"/>
        <w:tabs>
          <w:tab w:leader="none" w:pos="215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No Representations or Covenants with Respect to Tax Qualification</w:t>
      </w:r>
      <w:r>
        <w:rPr>
          <w:rFonts w:ascii="Arial" w:cs="Arial" w:eastAsia="Arial" w:hAnsi="Arial"/>
          <w:sz w:val="22"/>
          <w:szCs w:val="22"/>
          <w:color w:val="auto"/>
        </w:rPr>
        <w:t>. Although the Company may endeavor to (i) qualify an Award for favorable U.S. or non-U.S. tax treatment or (ii) avoid adverse tax treatment, the Company makes no representation to that effect and expressly disavows any covenant to maintain favorable or avoid unfavorable tax treatment. The Company shall be unconstrained in its corporate activities without regard to the potential negative tax impact on holders of Awards under the Plan.</w:t>
      </w:r>
    </w:p>
    <w:p>
      <w:pPr>
        <w:spacing w:after="0" w:line="196" w:lineRule="exact"/>
        <w:rPr>
          <w:rFonts w:ascii="Arial" w:cs="Arial" w:eastAsia="Arial" w:hAnsi="Arial"/>
          <w:sz w:val="22"/>
          <w:szCs w:val="22"/>
          <w:color w:val="auto"/>
        </w:rPr>
      </w:pPr>
    </w:p>
    <w:p>
      <w:pPr>
        <w:ind w:left="860" w:right="419" w:firstLine="645"/>
        <w:spacing w:after="0" w:line="292" w:lineRule="auto"/>
        <w:tabs>
          <w:tab w:leader="none" w:pos="2156"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No Interference</w:t>
      </w:r>
      <w:r>
        <w:rPr>
          <w:rFonts w:ascii="Arial" w:cs="Arial" w:eastAsia="Arial" w:hAnsi="Arial"/>
          <w:sz w:val="19"/>
          <w:szCs w:val="19"/>
          <w:color w:val="auto"/>
        </w:rPr>
        <w:t>. The existence of the Plan, any Award Agreement, and the Awards granted hereunder shall not affect or restrict in any way the right or power of the Company, the Board, the Committee,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or preferred or prior preference stocks whose rights are superior to or affect</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24" w:name="page125"/>
    <w:bookmarkEnd w:id="124"/>
    <w:p>
      <w:pPr>
        <w:ind w:left="860" w:right="499"/>
        <w:spacing w:after="0" w:line="302" w:lineRule="auto"/>
        <w:rPr>
          <w:sz w:val="20"/>
          <w:szCs w:val="20"/>
          <w:color w:val="auto"/>
        </w:rPr>
      </w:pPr>
      <w:r>
        <w:rPr>
          <w:rFonts w:ascii="Arial" w:cs="Arial" w:eastAsia="Arial" w:hAnsi="Arial"/>
          <w:sz w:val="19"/>
          <w:szCs w:val="19"/>
          <w:color w:val="auto"/>
        </w:rPr>
        <w:t>the Common Stock or the rights thereof or that are convertible into or exchangeable for Common Stock, or the dissolution or liquidation of the Company or any Affiliate, or any sale or transfer of all or any part of their assets or business, or any other corporate act or proceeding, whether of a similar character or otherwise.</w:t>
      </w:r>
    </w:p>
    <w:p>
      <w:pPr>
        <w:spacing w:after="0" w:line="142" w:lineRule="exact"/>
        <w:rPr>
          <w:sz w:val="20"/>
          <w:szCs w:val="20"/>
          <w:color w:val="auto"/>
        </w:rPr>
      </w:pPr>
    </w:p>
    <w:p>
      <w:pPr>
        <w:ind w:left="860" w:right="239" w:firstLine="645"/>
        <w:spacing w:after="0" w:line="250" w:lineRule="auto"/>
        <w:tabs>
          <w:tab w:leader="none" w:pos="2156"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Expenses; Titles and Headings</w:t>
      </w:r>
      <w:r>
        <w:rPr>
          <w:rFonts w:ascii="Arial" w:cs="Arial" w:eastAsia="Arial" w:hAnsi="Arial"/>
          <w:sz w:val="22"/>
          <w:szCs w:val="22"/>
          <w:color w:val="auto"/>
        </w:rPr>
        <w:t>. The expenses of administering the Plan shall be borne by the Company and its Affiliates. The titles and headings of the sections in the Plan are for convenience of reference only, and in the event of any conflict, the text of the Plan, rather than such titles or headings shall control.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200" w:right="219" w:firstLine="648"/>
        <w:spacing w:after="0" w:line="294" w:lineRule="auto"/>
        <w:rPr>
          <w:sz w:val="20"/>
          <w:szCs w:val="20"/>
          <w:color w:val="auto"/>
        </w:rPr>
      </w:pPr>
      <w:r>
        <w:rPr>
          <w:rFonts w:ascii="Arial" w:cs="Arial" w:eastAsia="Arial" w:hAnsi="Arial"/>
          <w:sz w:val="19"/>
          <w:szCs w:val="19"/>
          <w:color w:val="auto"/>
        </w:rPr>
        <w:t>As approved by the Board of Directors of the Company on March 9, 2018 and as adopted by the stockholders of the Company on June 6, 2018, and as amended by the Board of Directors of the Company on March 24, 2020 and adopted by the stockholders of the Company on June 8, 2020, and as amended by the Board of Directors of the Company on March 7, 2022 and adopted by the stockholders of the Company on June 10, 2022, and as further amended by the Board of Directors on April 18, 2023 and adopted by the stockholders of the Company on June 6, 2023.</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25" w:name="page126"/>
    <w:bookmarkEnd w:id="125"/>
    <w:p>
      <w:pPr>
        <w:jc w:val="right"/>
        <w:ind w:right="219"/>
        <w:spacing w:after="0"/>
        <w:rPr>
          <w:sz w:val="20"/>
          <w:szCs w:val="20"/>
          <w:color w:val="auto"/>
        </w:rPr>
      </w:pPr>
      <w:r>
        <w:rPr>
          <w:rFonts w:ascii="Arial" w:cs="Arial" w:eastAsia="Arial" w:hAnsi="Arial"/>
          <w:sz w:val="22"/>
          <w:szCs w:val="22"/>
          <w:b w:val="1"/>
          <w:bCs w:val="1"/>
          <w:color w:val="auto"/>
        </w:rPr>
        <w:t>Exhibit 10.2</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2020 EMPLOYEE STOCK PURCHASE PLAN AS AMENDED</w:t>
      </w:r>
    </w:p>
    <w:p>
      <w:pPr>
        <w:spacing w:after="0" w:line="202" w:lineRule="exact"/>
        <w:rPr>
          <w:sz w:val="20"/>
          <w:szCs w:val="20"/>
          <w:color w:val="auto"/>
        </w:rPr>
      </w:pPr>
    </w:p>
    <w:p>
      <w:pPr>
        <w:ind w:left="1500" w:hanging="643"/>
        <w:spacing w:after="0"/>
        <w:tabs>
          <w:tab w:leader="none" w:pos="150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Establishment, Purpose and Term of Plan</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1296"/>
        <w:spacing w:after="0" w:line="25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Establishment</w:t>
      </w:r>
      <w:r>
        <w:rPr>
          <w:rFonts w:ascii="Arial" w:cs="Arial" w:eastAsia="Arial" w:hAnsi="Arial"/>
          <w:sz w:val="22"/>
          <w:szCs w:val="22"/>
          <w:color w:val="auto"/>
        </w:rPr>
        <w:t>. The Iovance Biotherapeutics, Inc. 2020 Employee Stock Purchase Plan (as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is hereby established effective as of June 8, 2020, the date of its initial approval by the stockholders of the Company (the “</w:t>
      </w:r>
      <w:r>
        <w:rPr>
          <w:rFonts w:ascii="Arial" w:cs="Arial" w:eastAsia="Arial" w:hAnsi="Arial"/>
          <w:sz w:val="22"/>
          <w:szCs w:val="22"/>
          <w:b w:val="1"/>
          <w:bCs w:val="1"/>
          <w:color w:val="auto"/>
        </w:rPr>
        <w:t>Effective</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w:t>
      </w:r>
    </w:p>
    <w:p>
      <w:pPr>
        <w:spacing w:after="0" w:line="188" w:lineRule="exact"/>
        <w:rPr>
          <w:sz w:val="20"/>
          <w:szCs w:val="20"/>
          <w:color w:val="auto"/>
        </w:rPr>
      </w:pPr>
    </w:p>
    <w:p>
      <w:pPr>
        <w:jc w:val="both"/>
        <w:ind w:left="200" w:right="219" w:firstLine="1296"/>
        <w:spacing w:after="0" w:line="261"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Purpose</w:t>
      </w:r>
      <w:r>
        <w:rPr>
          <w:rFonts w:ascii="Arial" w:cs="Arial" w:eastAsia="Arial" w:hAnsi="Arial"/>
          <w:sz w:val="21"/>
          <w:szCs w:val="21"/>
          <w:color w:val="auto"/>
        </w:rPr>
        <w:t>. The purpose of the Plan is to advance the interests of the Company and its stockholders by providing an incentive to attract, retain and reward Eligible Employees of the Participating Company Group and by motivating such persons to contribute to the growth and profitability of the Participating Company Group. The Plan provides such Eligible Employees with an opportunity to acquire a proprietary interest in the Company through the purchase of Stock. The Company intends that the Plan qualify as an “employee stock purchase plan” under Section 423 of the Code (including any amendments or replacements of such section), and the Plan shall be so construed.</w:t>
      </w:r>
    </w:p>
    <w:p>
      <w:pPr>
        <w:spacing w:after="0" w:line="181"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Term of Plan</w:t>
      </w:r>
      <w:r>
        <w:rPr>
          <w:rFonts w:ascii="Arial" w:cs="Arial" w:eastAsia="Arial" w:hAnsi="Arial"/>
          <w:sz w:val="19"/>
          <w:szCs w:val="19"/>
          <w:color w:val="auto"/>
        </w:rPr>
        <w:t>. The Plan shall continue in effect until its termination by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Committee.</w:t>
      </w:r>
    </w:p>
    <w:p>
      <w:pPr>
        <w:spacing w:after="0" w:line="202" w:lineRule="exact"/>
        <w:rPr>
          <w:sz w:val="20"/>
          <w:szCs w:val="20"/>
          <w:color w:val="auto"/>
        </w:rPr>
      </w:pPr>
    </w:p>
    <w:p>
      <w:pPr>
        <w:ind w:left="1500" w:hanging="643"/>
        <w:spacing w:after="0"/>
        <w:tabs>
          <w:tab w:leader="none" w:pos="150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Definitions and Construction</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1296"/>
        <w:spacing w:after="0" w:line="253"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Definitions</w:t>
      </w:r>
      <w:r>
        <w:rPr>
          <w:rFonts w:ascii="Arial" w:cs="Arial" w:eastAsia="Arial" w:hAnsi="Arial"/>
          <w:sz w:val="22"/>
          <w:szCs w:val="22"/>
          <w:color w:val="auto"/>
        </w:rPr>
        <w:t>. Any term not expressly defined in the Plan but defined for purposes of Section 423 of the Code shall have the same definition herein. Whenever used herein, the following terms shall have their respective meanings set forth below:</w:t>
      </w:r>
    </w:p>
    <w:p>
      <w:pPr>
        <w:spacing w:after="0" w:line="179" w:lineRule="exact"/>
        <w:rPr>
          <w:sz w:val="20"/>
          <w:szCs w:val="20"/>
          <w:color w:val="auto"/>
        </w:rPr>
      </w:pPr>
    </w:p>
    <w:p>
      <w:pPr>
        <w:ind w:left="2800" w:hanging="647"/>
        <w:spacing w:after="0"/>
        <w:tabs>
          <w:tab w:leader="none" w:pos="28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p>
      <w:pPr>
        <w:spacing w:after="0" w:line="219" w:lineRule="exact"/>
        <w:rPr>
          <w:rFonts w:ascii="Arial" w:cs="Arial" w:eastAsia="Arial" w:hAnsi="Arial"/>
          <w:sz w:val="22"/>
          <w:szCs w:val="22"/>
          <w:color w:val="auto"/>
        </w:rPr>
      </w:pPr>
    </w:p>
    <w:p>
      <w:pPr>
        <w:ind w:left="2800" w:hanging="647"/>
        <w:spacing w:after="0"/>
        <w:tabs>
          <w:tab w:leader="none" w:pos="28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means the occurrence of any one or a</w:t>
      </w:r>
    </w:p>
    <w:p>
      <w:pPr>
        <w:spacing w:after="0" w:line="27" w:lineRule="exact"/>
        <w:rPr>
          <w:rFonts w:ascii="Arial" w:cs="Arial" w:eastAsia="Arial" w:hAnsi="Arial"/>
          <w:sz w:val="22"/>
          <w:szCs w:val="22"/>
          <w:color w:val="auto"/>
        </w:rPr>
      </w:pPr>
    </w:p>
    <w:p>
      <w:pPr>
        <w:ind w:left="200"/>
        <w:spacing w:after="0"/>
        <w:rPr>
          <w:rFonts w:ascii="Arial" w:cs="Arial" w:eastAsia="Arial" w:hAnsi="Arial"/>
          <w:sz w:val="22"/>
          <w:szCs w:val="22"/>
          <w:color w:val="auto"/>
        </w:rPr>
      </w:pPr>
      <w:r>
        <w:rPr>
          <w:rFonts w:ascii="Arial" w:cs="Arial" w:eastAsia="Arial" w:hAnsi="Arial"/>
          <w:sz w:val="22"/>
          <w:szCs w:val="22"/>
          <w:color w:val="auto"/>
        </w:rPr>
        <w:t>combination of the following:</w:t>
      </w:r>
    </w:p>
    <w:p>
      <w:pPr>
        <w:spacing w:after="0" w:line="201" w:lineRule="exact"/>
        <w:rPr>
          <w:rFonts w:ascii="Arial" w:cs="Arial" w:eastAsia="Arial" w:hAnsi="Arial"/>
          <w:sz w:val="22"/>
          <w:szCs w:val="22"/>
          <w:color w:val="auto"/>
        </w:rPr>
      </w:pPr>
    </w:p>
    <w:p>
      <w:pPr>
        <w:jc w:val="both"/>
        <w:ind w:left="860" w:right="219" w:firstLine="1941"/>
        <w:spacing w:after="0" w:line="286" w:lineRule="auto"/>
        <w:tabs>
          <w:tab w:leader="none" w:pos="3452" w:val="left"/>
        </w:tabs>
        <w:numPr>
          <w:ilvl w:val="1"/>
          <w:numId w:val="85"/>
        </w:numPr>
        <w:rPr>
          <w:rFonts w:ascii="Arial" w:cs="Arial" w:eastAsia="Arial" w:hAnsi="Arial"/>
          <w:sz w:val="19"/>
          <w:szCs w:val="19"/>
          <w:color w:val="auto"/>
        </w:rPr>
      </w:pPr>
      <w:r>
        <w:rPr>
          <w:rFonts w:ascii="Arial" w:cs="Arial" w:eastAsia="Arial" w:hAnsi="Arial"/>
          <w:sz w:val="19"/>
          <w:szCs w:val="19"/>
          <w:color w:val="auto"/>
        </w:rPr>
        <w:t>any “person” (as such term is used in Sections 13(d) and 14(d) of the Exchange Act)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126" w:name="page127"/>
    <w:bookmarkEnd w:id="126"/>
    <w:p>
      <w:pPr>
        <w:ind w:left="860" w:right="219"/>
        <w:spacing w:after="0" w:line="263" w:lineRule="auto"/>
        <w:rPr>
          <w:sz w:val="20"/>
          <w:szCs w:val="20"/>
          <w:color w:val="auto"/>
        </w:rPr>
      </w:pPr>
      <w:r>
        <w:rPr>
          <w:rFonts w:ascii="Arial" w:cs="Arial" w:eastAsia="Arial" w:hAnsi="Arial"/>
          <w:sz w:val="22"/>
          <w:szCs w:val="22"/>
          <w:color w:val="auto"/>
        </w:rPr>
        <w:t>in substantially the same proportions as their ownership of the voting securities of the Company; or</w:t>
      </w:r>
    </w:p>
    <w:p>
      <w:pPr>
        <w:spacing w:after="0" w:line="175" w:lineRule="exact"/>
        <w:rPr>
          <w:sz w:val="20"/>
          <w:szCs w:val="20"/>
          <w:color w:val="auto"/>
        </w:rPr>
      </w:pPr>
    </w:p>
    <w:p>
      <w:pPr>
        <w:jc w:val="both"/>
        <w:ind w:left="860" w:right="219" w:firstLine="1941"/>
        <w:spacing w:after="0" w:line="259" w:lineRule="auto"/>
        <w:tabs>
          <w:tab w:leader="none" w:pos="3452" w:val="left"/>
        </w:tabs>
        <w:numPr>
          <w:ilvl w:val="0"/>
          <w:numId w:val="86"/>
        </w:numPr>
        <w:rPr>
          <w:rFonts w:ascii="Arial" w:cs="Arial" w:eastAsia="Arial" w:hAnsi="Arial"/>
          <w:sz w:val="21"/>
          <w:szCs w:val="21"/>
          <w:color w:val="auto"/>
        </w:rPr>
      </w:pPr>
      <w:r>
        <w:rPr>
          <w:rFonts w:ascii="Arial" w:cs="Arial" w:eastAsia="Arial" w:hAnsi="Arial"/>
          <w:sz w:val="21"/>
          <w:szCs w:val="21"/>
          <w:color w:val="auto"/>
        </w:rPr>
        <w:t>an Ownership Change Event or series of related Ownership Change Events (collectively, a “</w:t>
      </w:r>
      <w:r>
        <w:rPr>
          <w:rFonts w:ascii="Arial" w:cs="Arial" w:eastAsia="Arial" w:hAnsi="Arial"/>
          <w:sz w:val="21"/>
          <w:szCs w:val="21"/>
          <w:b w:val="1"/>
          <w:bCs w:val="1"/>
          <w:color w:val="auto"/>
        </w:rPr>
        <w:t>Transaction</w:t>
      </w:r>
      <w:r>
        <w:rPr>
          <w:rFonts w:ascii="Arial" w:cs="Arial" w:eastAsia="Arial" w:hAnsi="Arial"/>
          <w:sz w:val="21"/>
          <w:szCs w:val="21"/>
          <w:color w:val="auto"/>
        </w:rPr>
        <w:t>”)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2.1(p)(iii), the entity to which the assets of the Company were transferred (the “</w:t>
      </w:r>
      <w:r>
        <w:rPr>
          <w:rFonts w:ascii="Arial" w:cs="Arial" w:eastAsia="Arial" w:hAnsi="Arial"/>
          <w:sz w:val="21"/>
          <w:szCs w:val="21"/>
          <w:b w:val="1"/>
          <w:bCs w:val="1"/>
          <w:color w:val="auto"/>
        </w:rPr>
        <w:t>Transferee</w:t>
      </w:r>
      <w:r>
        <w:rPr>
          <w:rFonts w:ascii="Arial" w:cs="Arial" w:eastAsia="Arial" w:hAnsi="Arial"/>
          <w:sz w:val="21"/>
          <w:szCs w:val="21"/>
          <w:color w:val="auto"/>
        </w:rPr>
        <w:t>”), as the case may be; or</w:t>
      </w:r>
    </w:p>
    <w:p>
      <w:pPr>
        <w:spacing w:after="0" w:line="183" w:lineRule="exact"/>
        <w:rPr>
          <w:rFonts w:ascii="Arial" w:cs="Arial" w:eastAsia="Arial" w:hAnsi="Arial"/>
          <w:sz w:val="21"/>
          <w:szCs w:val="21"/>
          <w:color w:val="auto"/>
        </w:rPr>
      </w:pPr>
    </w:p>
    <w:p>
      <w:pPr>
        <w:jc w:val="both"/>
        <w:ind w:left="860" w:right="219" w:firstLine="1941"/>
        <w:spacing w:after="0" w:line="249" w:lineRule="auto"/>
        <w:tabs>
          <w:tab w:leader="none" w:pos="3452" w:val="left"/>
        </w:tabs>
        <w:numPr>
          <w:ilvl w:val="0"/>
          <w:numId w:val="86"/>
        </w:numPr>
        <w:rPr>
          <w:rFonts w:ascii="Arial" w:cs="Arial" w:eastAsia="Arial" w:hAnsi="Arial"/>
          <w:sz w:val="22"/>
          <w:szCs w:val="22"/>
          <w:color w:val="auto"/>
        </w:rPr>
      </w:pPr>
      <w:r>
        <w:rPr>
          <w:rFonts w:ascii="Arial" w:cs="Arial" w:eastAsia="Arial" w:hAnsi="Arial"/>
          <w:sz w:val="22"/>
          <w:szCs w:val="22"/>
          <w:color w:val="auto"/>
        </w:rPr>
        <w:t>approval by the stockholders of a plan of complete liquidation or dissolution of the Company; provided, however, that a Change in Control shall be deemed not to include a transaction described in subsections (i) or (ii) of this Section 2.1(b) in which a majority of the members of the board of directors of the continuing, surviving or successor entity, or parent thereof, immediately after such transaction is comprised of Incumbent Directors.</w:t>
      </w:r>
    </w:p>
    <w:p>
      <w:pPr>
        <w:spacing w:after="0" w:line="194" w:lineRule="exact"/>
        <w:rPr>
          <w:sz w:val="20"/>
          <w:szCs w:val="20"/>
          <w:color w:val="auto"/>
        </w:rPr>
      </w:pPr>
    </w:p>
    <w:p>
      <w:pPr>
        <w:jc w:val="both"/>
        <w:ind w:left="200" w:right="219"/>
        <w:spacing w:after="0" w:line="292" w:lineRule="auto"/>
        <w:rPr>
          <w:sz w:val="20"/>
          <w:szCs w:val="20"/>
          <w:color w:val="auto"/>
        </w:rPr>
      </w:pPr>
      <w:r>
        <w:rPr>
          <w:rFonts w:ascii="Arial" w:cs="Arial" w:eastAsia="Arial" w:hAnsi="Arial"/>
          <w:sz w:val="19"/>
          <w:szCs w:val="19"/>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acquisitions of the voting securities of the Company and/or multiple Ownership Change Events are related and to be treated in the aggregate as a single Change in Control, and its determination shall be final, binding and conclusive.</w:t>
      </w:r>
    </w:p>
    <w:p>
      <w:pPr>
        <w:spacing w:after="0" w:line="145" w:lineRule="exact"/>
        <w:rPr>
          <w:sz w:val="20"/>
          <w:szCs w:val="20"/>
          <w:color w:val="auto"/>
        </w:rPr>
      </w:pPr>
    </w:p>
    <w:p>
      <w:pPr>
        <w:ind w:left="200" w:right="219" w:firstLine="1953"/>
        <w:spacing w:after="0" w:line="269" w:lineRule="auto"/>
        <w:tabs>
          <w:tab w:leader="none" w:pos="2792" w:val="left"/>
        </w:tabs>
        <w:numPr>
          <w:ilvl w:val="0"/>
          <w:numId w:val="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 and any applicable regulations promulgated thereunder.</w:t>
      </w:r>
    </w:p>
    <w:p>
      <w:pPr>
        <w:spacing w:after="0" w:line="161" w:lineRule="exact"/>
        <w:rPr>
          <w:rFonts w:ascii="Arial" w:cs="Arial" w:eastAsia="Arial" w:hAnsi="Arial"/>
          <w:sz w:val="22"/>
          <w:szCs w:val="22"/>
          <w:color w:val="auto"/>
        </w:rPr>
      </w:pPr>
    </w:p>
    <w:p>
      <w:pPr>
        <w:jc w:val="both"/>
        <w:ind w:left="200" w:right="219" w:firstLine="1953"/>
        <w:spacing w:after="0" w:line="262" w:lineRule="auto"/>
        <w:tabs>
          <w:tab w:leader="none" w:pos="2792" w:val="left"/>
        </w:tabs>
        <w:numPr>
          <w:ilvl w:val="0"/>
          <w:numId w:val="8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Committee</w:t>
      </w:r>
      <w:r>
        <w:rPr>
          <w:rFonts w:ascii="Arial" w:cs="Arial" w:eastAsia="Arial" w:hAnsi="Arial"/>
          <w:sz w:val="21"/>
          <w:szCs w:val="21"/>
          <w:color w:val="auto"/>
        </w:rPr>
        <w:t>” means the Compensation Committee and such other committee or subcommittee 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w:t>
      </w:r>
    </w:p>
    <w:p>
      <w:pPr>
        <w:spacing w:after="0" w:line="173" w:lineRule="exact"/>
        <w:rPr>
          <w:rFonts w:ascii="Arial" w:cs="Arial" w:eastAsia="Arial" w:hAnsi="Arial"/>
          <w:sz w:val="21"/>
          <w:szCs w:val="21"/>
          <w:color w:val="auto"/>
        </w:rPr>
      </w:pPr>
    </w:p>
    <w:p>
      <w:pPr>
        <w:ind w:left="200" w:right="239" w:firstLine="1953"/>
        <w:spacing w:after="0" w:line="269" w:lineRule="auto"/>
        <w:tabs>
          <w:tab w:leader="none" w:pos="2792" w:val="left"/>
        </w:tabs>
        <w:numPr>
          <w:ilvl w:val="0"/>
          <w:numId w:val="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Iovance Biotherapeutics, Inc., a Delaware corporation, or any successor corporation thereto.</w:t>
      </w:r>
    </w:p>
    <w:p>
      <w:pPr>
        <w:spacing w:after="0" w:line="161" w:lineRule="exact"/>
        <w:rPr>
          <w:rFonts w:ascii="Arial" w:cs="Arial" w:eastAsia="Arial" w:hAnsi="Arial"/>
          <w:sz w:val="22"/>
          <w:szCs w:val="22"/>
          <w:color w:val="auto"/>
        </w:rPr>
      </w:pPr>
    </w:p>
    <w:p>
      <w:pPr>
        <w:jc w:val="both"/>
        <w:ind w:left="200" w:right="219" w:firstLine="1953"/>
        <w:spacing w:after="0" w:line="293" w:lineRule="auto"/>
        <w:tabs>
          <w:tab w:leader="none" w:pos="2792" w:val="left"/>
        </w:tabs>
        <w:numPr>
          <w:ilvl w:val="0"/>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Compensation</w:t>
      </w:r>
      <w:r>
        <w:rPr>
          <w:rFonts w:ascii="Arial" w:cs="Arial" w:eastAsia="Arial" w:hAnsi="Arial"/>
          <w:sz w:val="19"/>
          <w:szCs w:val="19"/>
          <w:color w:val="auto"/>
        </w:rPr>
        <w:t>” means, with respect to any Offering Period, regular base wages or salary, overtime payments, shift premiums and payments for paid time off, calculated before deduction of (i) any income or employment tax withholdings or (ii) any amounts deferred pursuant to Section 401(k) or Section 125 of the Code. Compensation shall be limited to such amounts actually payable in cash or deferred during the Offering Period. Compensation shall not include (i) sign-on bonuses, annual or other incentive bonuses, commissions, profit-sharing distributions or other incentive-type payments, (ii) any contributions made by a Participating</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27" w:name="page128"/>
    <w:bookmarkEnd w:id="127"/>
    <w:p>
      <w:pPr>
        <w:jc w:val="both"/>
        <w:ind w:left="200" w:right="219"/>
        <w:spacing w:after="0" w:line="291" w:lineRule="auto"/>
        <w:rPr>
          <w:sz w:val="20"/>
          <w:szCs w:val="20"/>
          <w:color w:val="auto"/>
        </w:rPr>
      </w:pPr>
      <w:r>
        <w:rPr>
          <w:rFonts w:ascii="Arial" w:cs="Arial" w:eastAsia="Arial" w:hAnsi="Arial"/>
          <w:sz w:val="19"/>
          <w:szCs w:val="19"/>
          <w:color w:val="auto"/>
        </w:rPr>
        <w:t>Company on the Participant’s behalf to any employee benefit or welfare plan now or hereafter established (other than amounts deferred pursuant to Section 401(k) or Section 125 of the Code),</w:t>
      </w:r>
    </w:p>
    <w:p>
      <w:pPr>
        <w:spacing w:after="0" w:line="1" w:lineRule="exact"/>
        <w:rPr>
          <w:sz w:val="20"/>
          <w:szCs w:val="20"/>
          <w:color w:val="auto"/>
        </w:rPr>
      </w:pPr>
    </w:p>
    <w:p>
      <w:pPr>
        <w:jc w:val="both"/>
        <w:ind w:left="200" w:right="219" w:firstLine="9"/>
        <w:spacing w:after="0" w:line="259" w:lineRule="auto"/>
        <w:tabs>
          <w:tab w:leader="none" w:pos="615" w:val="left"/>
        </w:tabs>
        <w:numPr>
          <w:ilvl w:val="0"/>
          <w:numId w:val="88"/>
        </w:numPr>
        <w:rPr>
          <w:rFonts w:ascii="Arial" w:cs="Arial" w:eastAsia="Arial" w:hAnsi="Arial"/>
          <w:sz w:val="21"/>
          <w:szCs w:val="21"/>
          <w:color w:val="auto"/>
        </w:rPr>
      </w:pPr>
      <w:r>
        <w:rPr>
          <w:rFonts w:ascii="Arial" w:cs="Arial" w:eastAsia="Arial" w:hAnsi="Arial"/>
          <w:sz w:val="21"/>
          <w:szCs w:val="21"/>
          <w:color w:val="auto"/>
        </w:rPr>
        <w:t>payments in lieu of notice, payments pursuant to a severance agreement, termination pay, moving allowances, relocation payments, or (iv) any amounts directly or indirectly paid pursuant to the Plan or any other stock purchase, stock option or other stock-based compensation plan, or any other compensation not expressly included by this Section.</w:t>
      </w:r>
    </w:p>
    <w:p>
      <w:pPr>
        <w:spacing w:after="0" w:line="175" w:lineRule="exact"/>
        <w:rPr>
          <w:rFonts w:ascii="Arial" w:cs="Arial" w:eastAsia="Arial" w:hAnsi="Arial"/>
          <w:sz w:val="21"/>
          <w:szCs w:val="21"/>
          <w:color w:val="auto"/>
        </w:rPr>
      </w:pPr>
    </w:p>
    <w:p>
      <w:pPr>
        <w:ind w:left="2800" w:hanging="647"/>
        <w:spacing w:after="0"/>
        <w:tabs>
          <w:tab w:leader="none" w:pos="2800" w:val="left"/>
        </w:tabs>
        <w:numPr>
          <w:ilvl w:val="1"/>
          <w:numId w:val="8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Eligible  Employee</w:t>
      </w:r>
      <w:r>
        <w:rPr>
          <w:rFonts w:ascii="Arial" w:cs="Arial" w:eastAsia="Arial" w:hAnsi="Arial"/>
          <w:sz w:val="21"/>
          <w:szCs w:val="21"/>
          <w:color w:val="auto"/>
        </w:rPr>
        <w:t>”  means  an  Employee  who  meets  the</w:t>
      </w:r>
    </w:p>
    <w:p>
      <w:pPr>
        <w:spacing w:after="0" w:line="38" w:lineRule="exact"/>
        <w:rPr>
          <w:rFonts w:ascii="Arial" w:cs="Arial" w:eastAsia="Arial" w:hAnsi="Arial"/>
          <w:sz w:val="21"/>
          <w:szCs w:val="21"/>
          <w:color w:val="auto"/>
        </w:rPr>
      </w:pPr>
    </w:p>
    <w:p>
      <w:pPr>
        <w:ind w:left="200"/>
        <w:spacing w:after="0"/>
        <w:rPr>
          <w:rFonts w:ascii="Arial" w:cs="Arial" w:eastAsia="Arial" w:hAnsi="Arial"/>
          <w:sz w:val="21"/>
          <w:szCs w:val="21"/>
          <w:color w:val="auto"/>
        </w:rPr>
      </w:pPr>
      <w:r>
        <w:rPr>
          <w:rFonts w:ascii="Arial" w:cs="Arial" w:eastAsia="Arial" w:hAnsi="Arial"/>
          <w:sz w:val="22"/>
          <w:szCs w:val="22"/>
          <w:color w:val="auto"/>
        </w:rPr>
        <w:t>requirements set forth in Section 5 for eligibility to participate in the Plan.</w:t>
      </w:r>
    </w:p>
    <w:p>
      <w:pPr>
        <w:spacing w:after="0" w:line="195" w:lineRule="exact"/>
        <w:rPr>
          <w:rFonts w:ascii="Arial" w:cs="Arial" w:eastAsia="Arial" w:hAnsi="Arial"/>
          <w:sz w:val="21"/>
          <w:szCs w:val="21"/>
          <w:color w:val="auto"/>
        </w:rPr>
      </w:pPr>
    </w:p>
    <w:p>
      <w:pPr>
        <w:jc w:val="both"/>
        <w:ind w:left="200" w:right="219" w:firstLine="1953"/>
        <w:spacing w:after="0" w:line="260" w:lineRule="auto"/>
        <w:tabs>
          <w:tab w:leader="none" w:pos="2792" w:val="left"/>
        </w:tabs>
        <w:numPr>
          <w:ilvl w:val="1"/>
          <w:numId w:val="8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Employee</w:t>
      </w:r>
      <w:r>
        <w:rPr>
          <w:rFonts w:ascii="Arial" w:cs="Arial" w:eastAsia="Arial" w:hAnsi="Arial"/>
          <w:sz w:val="21"/>
          <w:szCs w:val="21"/>
          <w:color w:val="auto"/>
        </w:rPr>
        <w:t>” means a person treated as an employee of a Participating Company for purposes of Section 423 of the Code. A Participant shall be deemed to have ceased to be an Employee either upon an actual termination of employment or upon the corporation employing the Participant ceasing to be a Participating Company. For purposes of the Plan, an individual shall not be deemed to have ceased to be an Employee while on any military leave, sick leave, or other bona fide leave of absence approved by the Company of ninety (90) days or less. If an individual’s leave of absence exceeds ninety (90) days, the individual shall be deemed to have ceased to be an Employee on the ninety-first (91st) day of such leave unless the individual’s right to reemployment with the Participating Company Group is guaranteed either by statute or by contract.</w:t>
      </w:r>
    </w:p>
    <w:p>
      <w:pPr>
        <w:spacing w:after="0" w:line="178" w:lineRule="exact"/>
        <w:rPr>
          <w:rFonts w:ascii="Arial" w:cs="Arial" w:eastAsia="Arial" w:hAnsi="Arial"/>
          <w:sz w:val="21"/>
          <w:szCs w:val="21"/>
          <w:color w:val="auto"/>
        </w:rPr>
      </w:pPr>
    </w:p>
    <w:p>
      <w:pPr>
        <w:ind w:left="2800" w:hanging="647"/>
        <w:spacing w:after="0"/>
        <w:tabs>
          <w:tab w:leader="none" w:pos="2800" w:val="left"/>
        </w:tabs>
        <w:numPr>
          <w:ilvl w:val="1"/>
          <w:numId w:val="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means, as of any date:</w:t>
      </w:r>
    </w:p>
    <w:p>
      <w:pPr>
        <w:spacing w:after="0" w:line="225" w:lineRule="exact"/>
        <w:rPr>
          <w:rFonts w:ascii="Arial" w:cs="Arial" w:eastAsia="Arial" w:hAnsi="Arial"/>
          <w:sz w:val="22"/>
          <w:szCs w:val="22"/>
          <w:color w:val="auto"/>
        </w:rPr>
      </w:pPr>
    </w:p>
    <w:p>
      <w:pPr>
        <w:jc w:val="both"/>
        <w:ind w:left="860" w:right="219" w:firstLine="1941"/>
        <w:spacing w:after="0" w:line="259" w:lineRule="auto"/>
        <w:tabs>
          <w:tab w:leader="none" w:pos="3452" w:val="left"/>
        </w:tabs>
        <w:numPr>
          <w:ilvl w:val="2"/>
          <w:numId w:val="88"/>
        </w:numPr>
        <w:rPr>
          <w:rFonts w:ascii="Arial" w:cs="Arial" w:eastAsia="Arial" w:hAnsi="Arial"/>
          <w:sz w:val="21"/>
          <w:szCs w:val="21"/>
          <w:color w:val="auto"/>
        </w:rPr>
      </w:pPr>
      <w:r>
        <w:rPr>
          <w:rFonts w:ascii="Arial" w:cs="Arial" w:eastAsia="Arial" w:hAnsi="Arial"/>
          <w:sz w:val="21"/>
          <w:szCs w:val="21"/>
          <w:color w:val="auto"/>
        </w:rPr>
        <w:t>If, on such date, the Stock is listed or quoted on a national or regional securities exchange or quotation system, the closing price of a share of Stock as quoted on the national or regional securities exchange or quotation system constituting the primary market for the Stock, as reported in The Wall Street Journal or such other source as the Company deems reliable. If the relevant date does not fall on a day on which the Stock has traded on such securities exchange or quotation system, the date on which the Fair Market Value is established shall be the last day on which the Stock was so traded or quoted prior to the relevant date, or such other appropriate day as determined by the Committee, in its discretion.</w:t>
      </w:r>
    </w:p>
    <w:p>
      <w:pPr>
        <w:spacing w:after="0" w:line="179" w:lineRule="exact"/>
        <w:rPr>
          <w:rFonts w:ascii="Arial" w:cs="Arial" w:eastAsia="Arial" w:hAnsi="Arial"/>
          <w:sz w:val="21"/>
          <w:szCs w:val="21"/>
          <w:color w:val="auto"/>
        </w:rPr>
      </w:pPr>
    </w:p>
    <w:p>
      <w:pPr>
        <w:jc w:val="both"/>
        <w:ind w:left="860" w:right="219" w:firstLine="1941"/>
        <w:spacing w:after="0" w:line="253" w:lineRule="auto"/>
        <w:tabs>
          <w:tab w:leader="none" w:pos="3452" w:val="left"/>
        </w:tabs>
        <w:numPr>
          <w:ilvl w:val="2"/>
          <w:numId w:val="88"/>
        </w:numPr>
        <w:rPr>
          <w:rFonts w:ascii="Arial" w:cs="Arial" w:eastAsia="Arial" w:hAnsi="Arial"/>
          <w:sz w:val="22"/>
          <w:szCs w:val="22"/>
          <w:color w:val="auto"/>
        </w:rPr>
      </w:pPr>
      <w:r>
        <w:rPr>
          <w:rFonts w:ascii="Arial" w:cs="Arial" w:eastAsia="Arial" w:hAnsi="Arial"/>
          <w:sz w:val="22"/>
          <w:szCs w:val="22"/>
          <w:color w:val="auto"/>
        </w:rPr>
        <w:t>If, on the relevant date, the Stock is not then listed on a national or regional securities exchange or quotation system, the Fair Market Value of a share of Stock shall be as determined in good faith by the Committee.</w:t>
      </w:r>
    </w:p>
    <w:p>
      <w:pPr>
        <w:spacing w:after="0" w:line="179" w:lineRule="exact"/>
        <w:rPr>
          <w:rFonts w:ascii="Arial" w:cs="Arial" w:eastAsia="Arial" w:hAnsi="Arial"/>
          <w:sz w:val="22"/>
          <w:szCs w:val="22"/>
          <w:color w:val="auto"/>
        </w:rPr>
      </w:pPr>
    </w:p>
    <w:p>
      <w:pPr>
        <w:jc w:val="both"/>
        <w:ind w:left="200" w:right="219" w:firstLine="1953"/>
        <w:spacing w:after="0" w:line="298" w:lineRule="auto"/>
        <w:tabs>
          <w:tab w:leader="none" w:pos="2792" w:val="left"/>
        </w:tabs>
        <w:numPr>
          <w:ilvl w:val="1"/>
          <w:numId w:val="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Incumbent Director</w:t>
      </w:r>
      <w:r>
        <w:rPr>
          <w:rFonts w:ascii="Arial" w:cs="Arial" w:eastAsia="Arial" w:hAnsi="Arial"/>
          <w:sz w:val="19"/>
          <w:szCs w:val="19"/>
          <w:color w:val="auto"/>
        </w:rPr>
        <w:t>” 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spacing w:after="0" w:line="142" w:lineRule="exact"/>
        <w:rPr>
          <w:rFonts w:ascii="Arial" w:cs="Arial" w:eastAsia="Arial" w:hAnsi="Arial"/>
          <w:sz w:val="19"/>
          <w:szCs w:val="19"/>
          <w:color w:val="auto"/>
        </w:rPr>
      </w:pPr>
    </w:p>
    <w:p>
      <w:pPr>
        <w:jc w:val="both"/>
        <w:ind w:left="200" w:right="219" w:firstLine="1953"/>
        <w:spacing w:after="0" w:line="315" w:lineRule="auto"/>
        <w:tabs>
          <w:tab w:leader="none" w:pos="2792" w:val="left"/>
        </w:tabs>
        <w:numPr>
          <w:ilvl w:val="1"/>
          <w:numId w:val="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Non-United States Offering</w:t>
      </w:r>
      <w:r>
        <w:rPr>
          <w:rFonts w:ascii="Arial" w:cs="Arial" w:eastAsia="Arial" w:hAnsi="Arial"/>
          <w:sz w:val="19"/>
          <w:szCs w:val="19"/>
          <w:color w:val="auto"/>
        </w:rPr>
        <w:t>” means a separate Offering covering Eligible Employees of one or more Participating Companies whose Eligible Employees are subject to a prohibition under applicable law on payroll deductions, as described in Section 11.1(b).</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28" w:name="page129"/>
    <w:bookmarkEnd w:id="128"/>
    <w:p>
      <w:pPr>
        <w:ind w:left="2160"/>
        <w:spacing w:after="0"/>
        <w:tabs>
          <w:tab w:leader="none" w:pos="2780" w:val="left"/>
        </w:tabs>
        <w:rPr>
          <w:sz w:val="20"/>
          <w:szCs w:val="20"/>
          <w:color w:val="auto"/>
        </w:rPr>
      </w:pPr>
      <w:r>
        <w:rPr>
          <w:rFonts w:ascii="Arial" w:cs="Arial" w:eastAsia="Arial" w:hAnsi="Arial"/>
          <w:sz w:val="21"/>
          <w:szCs w:val="21"/>
          <w:color w:val="auto"/>
        </w:rPr>
        <w:t>(l)</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Offering</w:t>
      </w:r>
      <w:r>
        <w:rPr>
          <w:rFonts w:ascii="Arial" w:cs="Arial" w:eastAsia="Arial" w:hAnsi="Arial"/>
          <w:sz w:val="21"/>
          <w:szCs w:val="21"/>
          <w:color w:val="auto"/>
        </w:rPr>
        <w:t>” means an offering of Stock pursuant to the Plan, as</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provided in Section 6.</w:t>
      </w:r>
    </w:p>
    <w:p>
      <w:pPr>
        <w:spacing w:after="0" w:line="196" w:lineRule="exact"/>
        <w:rPr>
          <w:sz w:val="20"/>
          <w:szCs w:val="20"/>
          <w:color w:val="auto"/>
        </w:rPr>
      </w:pPr>
    </w:p>
    <w:p>
      <w:pPr>
        <w:ind w:left="2160"/>
        <w:spacing w:after="0"/>
        <w:tabs>
          <w:tab w:leader="none" w:pos="2780" w:val="left"/>
        </w:tabs>
        <w:rPr>
          <w:sz w:val="20"/>
          <w:szCs w:val="20"/>
          <w:color w:val="auto"/>
        </w:rPr>
      </w:pPr>
      <w:r>
        <w:rPr>
          <w:rFonts w:ascii="Arial" w:cs="Arial" w:eastAsia="Arial" w:hAnsi="Arial"/>
          <w:sz w:val="21"/>
          <w:szCs w:val="21"/>
          <w:color w:val="auto"/>
        </w:rPr>
        <w:t>(m)</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Offering Date</w:t>
      </w:r>
      <w:r>
        <w:rPr>
          <w:rFonts w:ascii="Arial" w:cs="Arial" w:eastAsia="Arial" w:hAnsi="Arial"/>
          <w:sz w:val="21"/>
          <w:szCs w:val="21"/>
          <w:color w:val="auto"/>
        </w:rPr>
        <w:t>” means, for any Offering Period, the first day of</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such Offering Period.</w:t>
      </w:r>
    </w:p>
    <w:p>
      <w:pPr>
        <w:spacing w:after="0" w:line="196" w:lineRule="exact"/>
        <w:rPr>
          <w:sz w:val="20"/>
          <w:szCs w:val="20"/>
          <w:color w:val="auto"/>
        </w:rPr>
      </w:pPr>
    </w:p>
    <w:p>
      <w:pPr>
        <w:ind w:left="200" w:right="219" w:firstLine="1953"/>
        <w:spacing w:after="0" w:line="269" w:lineRule="auto"/>
        <w:tabs>
          <w:tab w:leader="none" w:pos="2792" w:val="left"/>
        </w:tabs>
        <w:numPr>
          <w:ilvl w:val="0"/>
          <w:numId w:val="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Offering Period</w:t>
      </w:r>
      <w:r>
        <w:rPr>
          <w:rFonts w:ascii="Arial" w:cs="Arial" w:eastAsia="Arial" w:hAnsi="Arial"/>
          <w:sz w:val="22"/>
          <w:szCs w:val="22"/>
          <w:color w:val="auto"/>
        </w:rPr>
        <w:t>” means a period, established by the Committee in accordance with Section 6, during which an Offering is outstanding.</w:t>
      </w:r>
    </w:p>
    <w:p>
      <w:pPr>
        <w:spacing w:after="0" w:line="161" w:lineRule="exact"/>
        <w:rPr>
          <w:rFonts w:ascii="Arial" w:cs="Arial" w:eastAsia="Arial" w:hAnsi="Arial"/>
          <w:sz w:val="22"/>
          <w:szCs w:val="22"/>
          <w:color w:val="auto"/>
        </w:rPr>
      </w:pPr>
    </w:p>
    <w:p>
      <w:pPr>
        <w:ind w:left="2800" w:hanging="647"/>
        <w:spacing w:after="0"/>
        <w:tabs>
          <w:tab w:leader="none" w:pos="28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Officer</w:t>
      </w:r>
      <w:r>
        <w:rPr>
          <w:rFonts w:ascii="Arial" w:cs="Arial" w:eastAsia="Arial" w:hAnsi="Arial"/>
          <w:sz w:val="19"/>
          <w:szCs w:val="19"/>
          <w:color w:val="auto"/>
        </w:rPr>
        <w:t>” means any person designated by the Board as an officer of</w:t>
      </w:r>
    </w:p>
    <w:p>
      <w:pPr>
        <w:spacing w:after="0" w:line="61"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the Company.</w:t>
      </w:r>
    </w:p>
    <w:p>
      <w:pPr>
        <w:spacing w:after="0" w:line="195" w:lineRule="exact"/>
        <w:rPr>
          <w:rFonts w:ascii="Arial" w:cs="Arial" w:eastAsia="Arial" w:hAnsi="Arial"/>
          <w:sz w:val="19"/>
          <w:szCs w:val="19"/>
          <w:color w:val="auto"/>
        </w:rPr>
      </w:pPr>
    </w:p>
    <w:p>
      <w:pPr>
        <w:jc w:val="both"/>
        <w:ind w:left="200" w:right="219" w:firstLine="1953"/>
        <w:spacing w:after="0" w:line="248" w:lineRule="auto"/>
        <w:tabs>
          <w:tab w:leader="none" w:pos="2792" w:val="left"/>
        </w:tabs>
        <w:numPr>
          <w:ilvl w:val="0"/>
          <w:numId w:val="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Ownership Change Event</w:t>
      </w:r>
      <w:r>
        <w:rPr>
          <w:rFonts w:ascii="Arial" w:cs="Arial" w:eastAsia="Arial" w:hAnsi="Arial"/>
          <w:sz w:val="22"/>
          <w:szCs w:val="22"/>
          <w:color w:val="auto"/>
        </w:rPr>
        <w:t>” means the occurrence of any of the following with respect to the Company: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190" w:lineRule="exact"/>
        <w:rPr>
          <w:rFonts w:ascii="Arial" w:cs="Arial" w:eastAsia="Arial" w:hAnsi="Arial"/>
          <w:sz w:val="22"/>
          <w:szCs w:val="22"/>
          <w:color w:val="auto"/>
        </w:rPr>
      </w:pPr>
    </w:p>
    <w:p>
      <w:pPr>
        <w:ind w:left="2800" w:hanging="647"/>
        <w:spacing w:after="0"/>
        <w:tabs>
          <w:tab w:leader="none" w:pos="2800" w:val="left"/>
        </w:tabs>
        <w:numPr>
          <w:ilvl w:val="0"/>
          <w:numId w:val="8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Parent  Corporation</w:t>
      </w:r>
      <w:r>
        <w:rPr>
          <w:rFonts w:ascii="Arial" w:cs="Arial" w:eastAsia="Arial" w:hAnsi="Arial"/>
          <w:sz w:val="21"/>
          <w:szCs w:val="21"/>
          <w:color w:val="auto"/>
        </w:rPr>
        <w:t>”  means  any  present  or  future  “parent</w:t>
      </w:r>
    </w:p>
    <w:p>
      <w:pPr>
        <w:spacing w:after="0" w:line="38" w:lineRule="exact"/>
        <w:rPr>
          <w:rFonts w:ascii="Arial" w:cs="Arial" w:eastAsia="Arial" w:hAnsi="Arial"/>
          <w:sz w:val="21"/>
          <w:szCs w:val="21"/>
          <w:color w:val="auto"/>
        </w:rPr>
      </w:pPr>
    </w:p>
    <w:p>
      <w:pPr>
        <w:ind w:left="200"/>
        <w:spacing w:after="0"/>
        <w:rPr>
          <w:rFonts w:ascii="Arial" w:cs="Arial" w:eastAsia="Arial" w:hAnsi="Arial"/>
          <w:sz w:val="21"/>
          <w:szCs w:val="21"/>
          <w:color w:val="auto"/>
        </w:rPr>
      </w:pPr>
      <w:r>
        <w:rPr>
          <w:rFonts w:ascii="Arial" w:cs="Arial" w:eastAsia="Arial" w:hAnsi="Arial"/>
          <w:sz w:val="22"/>
          <w:szCs w:val="22"/>
          <w:color w:val="auto"/>
        </w:rPr>
        <w:t>corporation” of the Company, as defined in Section 424(e) of the Code.</w:t>
      </w:r>
    </w:p>
    <w:p>
      <w:pPr>
        <w:spacing w:after="0" w:line="195" w:lineRule="exact"/>
        <w:rPr>
          <w:rFonts w:ascii="Arial" w:cs="Arial" w:eastAsia="Arial" w:hAnsi="Arial"/>
          <w:sz w:val="21"/>
          <w:szCs w:val="21"/>
          <w:color w:val="auto"/>
        </w:rPr>
      </w:pPr>
    </w:p>
    <w:p>
      <w:pPr>
        <w:jc w:val="both"/>
        <w:ind w:left="200" w:right="219" w:firstLine="1953"/>
        <w:spacing w:after="0" w:line="256" w:lineRule="auto"/>
        <w:tabs>
          <w:tab w:leader="none" w:pos="2792" w:val="left"/>
        </w:tabs>
        <w:numPr>
          <w:ilvl w:val="0"/>
          <w:numId w:val="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means an Eligible Employee who has become a participant in an Offering Period in accordance with Section 7 and remains a participant in accordance with the Plan.</w:t>
      </w:r>
    </w:p>
    <w:p>
      <w:pPr>
        <w:spacing w:after="0" w:line="176" w:lineRule="exact"/>
        <w:rPr>
          <w:rFonts w:ascii="Arial" w:cs="Arial" w:eastAsia="Arial" w:hAnsi="Arial"/>
          <w:sz w:val="22"/>
          <w:szCs w:val="22"/>
          <w:color w:val="auto"/>
        </w:rPr>
      </w:pPr>
    </w:p>
    <w:p>
      <w:pPr>
        <w:jc w:val="both"/>
        <w:ind w:left="200" w:right="219" w:firstLine="1953"/>
        <w:spacing w:after="0" w:line="247" w:lineRule="auto"/>
        <w:tabs>
          <w:tab w:leader="none" w:pos="2792" w:val="left"/>
        </w:tabs>
        <w:numPr>
          <w:ilvl w:val="0"/>
          <w:numId w:val="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Participating Company</w:t>
      </w:r>
      <w:r>
        <w:rPr>
          <w:rFonts w:ascii="Arial" w:cs="Arial" w:eastAsia="Arial" w:hAnsi="Arial"/>
          <w:sz w:val="22"/>
          <w:szCs w:val="22"/>
          <w:color w:val="auto"/>
        </w:rPr>
        <w:t>” means the Company and any Parent Corporation or Subsidiary Corporation designated by the Committee as a corporation the Employees of which may, if Eligible Employees, participate in the Plan. The Committee shall have the discretion to determine from time to time which Parent Corporations or Subsidiary Corporations shall be Participating Companies. The Committee shall designate from time to time and set forth in Exhibit A to this Plan those Participating Companies whose Eligible Employees may participate in the Plan.</w:t>
      </w:r>
    </w:p>
    <w:p>
      <w:pPr>
        <w:spacing w:after="0" w:line="189" w:lineRule="exact"/>
        <w:rPr>
          <w:rFonts w:ascii="Arial" w:cs="Arial" w:eastAsia="Arial" w:hAnsi="Arial"/>
          <w:sz w:val="22"/>
          <w:szCs w:val="22"/>
          <w:color w:val="auto"/>
        </w:rPr>
      </w:pPr>
    </w:p>
    <w:p>
      <w:pPr>
        <w:ind w:left="200" w:right="239" w:firstLine="1953"/>
        <w:spacing w:after="0" w:line="293" w:lineRule="auto"/>
        <w:tabs>
          <w:tab w:leader="none" w:pos="2792" w:val="left"/>
        </w:tabs>
        <w:numPr>
          <w:ilvl w:val="0"/>
          <w:numId w:val="8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Participating Company Group</w:t>
      </w:r>
      <w:r>
        <w:rPr>
          <w:rFonts w:ascii="Arial" w:cs="Arial" w:eastAsia="Arial" w:hAnsi="Arial"/>
          <w:sz w:val="21"/>
          <w:szCs w:val="21"/>
          <w:color w:val="auto"/>
        </w:rPr>
        <w:t>” means, at any point in time, the Company and all other corporations collectively which are then Participating Companies.</w:t>
      </w:r>
    </w:p>
    <w:p>
      <w:pPr>
        <w:spacing w:after="0" w:line="139" w:lineRule="exact"/>
        <w:rPr>
          <w:rFonts w:ascii="Arial" w:cs="Arial" w:eastAsia="Arial" w:hAnsi="Arial"/>
          <w:sz w:val="21"/>
          <w:szCs w:val="21"/>
          <w:color w:val="auto"/>
        </w:rPr>
      </w:pPr>
    </w:p>
    <w:p>
      <w:pPr>
        <w:jc w:val="both"/>
        <w:ind w:left="200" w:right="219" w:firstLine="1953"/>
        <w:spacing w:after="0" w:line="256" w:lineRule="auto"/>
        <w:tabs>
          <w:tab w:leader="none" w:pos="2792" w:val="left"/>
        </w:tabs>
        <w:numPr>
          <w:ilvl w:val="0"/>
          <w:numId w:val="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Date</w:t>
      </w:r>
      <w:r>
        <w:rPr>
          <w:rFonts w:ascii="Arial" w:cs="Arial" w:eastAsia="Arial" w:hAnsi="Arial"/>
          <w:sz w:val="22"/>
          <w:szCs w:val="22"/>
          <w:color w:val="auto"/>
        </w:rPr>
        <w:t>” means, for any Offering Period, the last day of such Offering Period, or, if so determined by the Committee, the last day of each Purchase Period occurring within such Offering Period.</w:t>
      </w:r>
    </w:p>
    <w:p>
      <w:pPr>
        <w:spacing w:after="0" w:line="176" w:lineRule="exact"/>
        <w:rPr>
          <w:rFonts w:ascii="Arial" w:cs="Arial" w:eastAsia="Arial" w:hAnsi="Arial"/>
          <w:sz w:val="22"/>
          <w:szCs w:val="22"/>
          <w:color w:val="auto"/>
        </w:rPr>
      </w:pPr>
    </w:p>
    <w:p>
      <w:pPr>
        <w:jc w:val="both"/>
        <w:ind w:left="200" w:right="219" w:firstLine="1953"/>
        <w:spacing w:after="0" w:line="256" w:lineRule="auto"/>
        <w:tabs>
          <w:tab w:leader="none" w:pos="2792" w:val="left"/>
        </w:tabs>
        <w:numPr>
          <w:ilvl w:val="0"/>
          <w:numId w:val="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Period</w:t>
      </w:r>
      <w:r>
        <w:rPr>
          <w:rFonts w:ascii="Arial" w:cs="Arial" w:eastAsia="Arial" w:hAnsi="Arial"/>
          <w:sz w:val="22"/>
          <w:szCs w:val="22"/>
          <w:color w:val="auto"/>
        </w:rPr>
        <w:t>” means a period, established by the Committee in accordance with Section 6, included within an Offering Period and on the final date of which outstanding Purchase Rights are exercised.</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29" w:name="page130"/>
    <w:bookmarkEnd w:id="129"/>
    <w:p>
      <w:pPr>
        <w:ind w:left="2800" w:hanging="647"/>
        <w:spacing w:after="0"/>
        <w:tabs>
          <w:tab w:leader="none" w:pos="28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 Price</w:t>
      </w:r>
      <w:r>
        <w:rPr>
          <w:rFonts w:ascii="Arial" w:cs="Arial" w:eastAsia="Arial" w:hAnsi="Arial"/>
          <w:sz w:val="19"/>
          <w:szCs w:val="19"/>
          <w:color w:val="auto"/>
        </w:rPr>
        <w:t>” means the price at which a share of Stock may be</w:t>
      </w:r>
    </w:p>
    <w:p>
      <w:pPr>
        <w:spacing w:after="0" w:line="61"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purchased under the Plan, as determined in accordance with Section 9.</w:t>
      </w:r>
    </w:p>
    <w:p>
      <w:pPr>
        <w:spacing w:after="0" w:line="195" w:lineRule="exact"/>
        <w:rPr>
          <w:rFonts w:ascii="Arial" w:cs="Arial" w:eastAsia="Arial" w:hAnsi="Arial"/>
          <w:sz w:val="19"/>
          <w:szCs w:val="19"/>
          <w:color w:val="auto"/>
        </w:rPr>
      </w:pPr>
    </w:p>
    <w:p>
      <w:pPr>
        <w:jc w:val="both"/>
        <w:ind w:left="200" w:right="219" w:firstLine="1953"/>
        <w:spacing w:after="0" w:line="295" w:lineRule="auto"/>
        <w:tabs>
          <w:tab w:leader="none" w:pos="2792"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 Right</w:t>
      </w:r>
      <w:r>
        <w:rPr>
          <w:rFonts w:ascii="Arial" w:cs="Arial" w:eastAsia="Arial" w:hAnsi="Arial"/>
          <w:sz w:val="19"/>
          <w:szCs w:val="19"/>
          <w:color w:val="auto"/>
        </w:rPr>
        <w:t>” means an option granted to a Participant pursuant to the Plan to purchase such shares of Stock as provided in Section 8, which the Participant may or may not exercise during the Offering Period in which such option is outstanding. Such option arises from the right of a Participant to withdraw any payroll deductions or other funds accumulated on behalf of the Participant and not previously applied to the purchase of Stock under the Plan, and to terminate participation in the Plan at any time during an Offering Period.</w:t>
      </w:r>
    </w:p>
    <w:p>
      <w:pPr>
        <w:spacing w:after="0" w:line="143" w:lineRule="exact"/>
        <w:rPr>
          <w:rFonts w:ascii="Arial" w:cs="Arial" w:eastAsia="Arial" w:hAnsi="Arial"/>
          <w:sz w:val="19"/>
          <w:szCs w:val="19"/>
          <w:color w:val="auto"/>
        </w:rPr>
      </w:pPr>
    </w:p>
    <w:p>
      <w:pPr>
        <w:ind w:left="2800" w:hanging="647"/>
        <w:spacing w:after="0"/>
        <w:tabs>
          <w:tab w:leader="none" w:pos="28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Securities Act</w:t>
      </w:r>
      <w:r>
        <w:rPr>
          <w:rFonts w:ascii="Arial" w:cs="Arial" w:eastAsia="Arial" w:hAnsi="Arial"/>
          <w:sz w:val="19"/>
          <w:szCs w:val="19"/>
          <w:color w:val="auto"/>
        </w:rPr>
        <w:t>” means the Securities Act of 1933, as amended.</w:t>
      </w:r>
    </w:p>
    <w:p>
      <w:pPr>
        <w:spacing w:after="0" w:line="254" w:lineRule="exact"/>
        <w:rPr>
          <w:rFonts w:ascii="Arial" w:cs="Arial" w:eastAsia="Arial" w:hAnsi="Arial"/>
          <w:sz w:val="19"/>
          <w:szCs w:val="19"/>
          <w:color w:val="auto"/>
        </w:rPr>
      </w:pPr>
    </w:p>
    <w:p>
      <w:pPr>
        <w:ind w:left="200" w:right="239" w:firstLine="1953"/>
        <w:spacing w:after="0" w:line="269" w:lineRule="auto"/>
        <w:tabs>
          <w:tab w:leader="none" w:pos="2792"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w:t>
      </w:r>
      <w:r>
        <w:rPr>
          <w:rFonts w:ascii="Arial" w:cs="Arial" w:eastAsia="Arial" w:hAnsi="Arial"/>
          <w:sz w:val="22"/>
          <w:szCs w:val="22"/>
          <w:color w:val="auto"/>
        </w:rPr>
        <w:t>” means the common stock of the Company, as adjusted from time to time in accordance with Section 4.2.</w:t>
      </w:r>
    </w:p>
    <w:p>
      <w:pPr>
        <w:spacing w:after="0" w:line="162" w:lineRule="exact"/>
        <w:rPr>
          <w:sz w:val="20"/>
          <w:szCs w:val="20"/>
          <w:color w:val="auto"/>
        </w:rPr>
      </w:pPr>
    </w:p>
    <w:p>
      <w:pPr>
        <w:jc w:val="both"/>
        <w:ind w:left="200" w:right="219" w:firstLine="1953"/>
        <w:spacing w:after="0" w:line="304" w:lineRule="auto"/>
        <w:tabs>
          <w:tab w:leader="none" w:pos="2792" w:val="left"/>
        </w:tabs>
        <w:numPr>
          <w:ilvl w:val="0"/>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Subscription Agreement</w:t>
      </w:r>
      <w:r>
        <w:rPr>
          <w:rFonts w:ascii="Arial" w:cs="Arial" w:eastAsia="Arial" w:hAnsi="Arial"/>
          <w:sz w:val="19"/>
          <w:szCs w:val="19"/>
          <w:color w:val="auto"/>
        </w:rPr>
        <w:t>” means a written or electronic agreement, in such form as specified by the Company, stating an Employee’s election to participate in the Plan and authorizing payroll deductions under the Plan from the Employee’s Compensation or other method of payment authorized by the Committee pursuant to Section 11.1(b).</w:t>
      </w:r>
    </w:p>
    <w:p>
      <w:pPr>
        <w:spacing w:after="0" w:line="148" w:lineRule="exact"/>
        <w:rPr>
          <w:rFonts w:ascii="Arial" w:cs="Arial" w:eastAsia="Arial" w:hAnsi="Arial"/>
          <w:sz w:val="19"/>
          <w:szCs w:val="19"/>
          <w:color w:val="auto"/>
        </w:rPr>
      </w:pPr>
    </w:p>
    <w:p>
      <w:pPr>
        <w:ind w:left="200" w:right="239" w:firstLine="1953"/>
        <w:spacing w:after="0" w:line="269" w:lineRule="auto"/>
        <w:tabs>
          <w:tab w:leader="none" w:pos="2792" w:val="left"/>
        </w:tabs>
        <w:numPr>
          <w:ilvl w:val="0"/>
          <w:numId w:val="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Subscription Date</w:t>
      </w:r>
      <w:r>
        <w:rPr>
          <w:rFonts w:ascii="Arial" w:cs="Arial" w:eastAsia="Arial" w:hAnsi="Arial"/>
          <w:sz w:val="22"/>
          <w:szCs w:val="22"/>
          <w:color w:val="auto"/>
        </w:rPr>
        <w:t>” means the last business day prior to the Offering Date of an Offering Period or such earlier date as the Company shall establish.</w:t>
      </w:r>
    </w:p>
    <w:p>
      <w:pPr>
        <w:spacing w:after="0" w:line="161" w:lineRule="exact"/>
        <w:rPr>
          <w:rFonts w:ascii="Arial" w:cs="Arial" w:eastAsia="Arial" w:hAnsi="Arial"/>
          <w:sz w:val="22"/>
          <w:szCs w:val="22"/>
          <w:color w:val="auto"/>
        </w:rPr>
      </w:pPr>
    </w:p>
    <w:p>
      <w:pPr>
        <w:ind w:left="2800" w:hanging="647"/>
        <w:spacing w:after="0"/>
        <w:tabs>
          <w:tab w:leader="none" w:pos="2800" w:val="left"/>
        </w:tabs>
        <w:numPr>
          <w:ilvl w:val="0"/>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 Corporation</w:t>
      </w:r>
      <w:r>
        <w:rPr>
          <w:rFonts w:ascii="Arial" w:cs="Arial" w:eastAsia="Arial" w:hAnsi="Arial"/>
          <w:sz w:val="19"/>
          <w:szCs w:val="19"/>
          <w:color w:val="auto"/>
        </w:rPr>
        <w:t>” means any present or future “subsidiary</w:t>
      </w:r>
    </w:p>
    <w:p>
      <w:pPr>
        <w:spacing w:after="0" w:line="61"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corporation” of the Company, as defined in Section 424(f) of the Code.</w:t>
      </w:r>
    </w:p>
    <w:p>
      <w:pPr>
        <w:spacing w:after="0" w:line="202" w:lineRule="exact"/>
        <w:rPr>
          <w:sz w:val="20"/>
          <w:szCs w:val="20"/>
          <w:color w:val="auto"/>
        </w:rPr>
      </w:pPr>
    </w:p>
    <w:p>
      <w:pPr>
        <w:jc w:val="both"/>
        <w:ind w:left="200" w:right="219" w:firstLine="1296"/>
        <w:spacing w:after="0" w:line="248"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Construction</w:t>
      </w:r>
      <w:r>
        <w:rPr>
          <w:rFonts w:ascii="Arial" w:cs="Arial" w:eastAsia="Arial" w:hAnsi="Arial"/>
          <w:sz w:val="22"/>
          <w:szCs w:val="22"/>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92" w:lineRule="exact"/>
        <w:rPr>
          <w:sz w:val="20"/>
          <w:szCs w:val="20"/>
          <w:color w:val="auto"/>
        </w:rPr>
      </w:pPr>
    </w:p>
    <w:p>
      <w:pPr>
        <w:ind w:left="1500" w:hanging="643"/>
        <w:spacing w:after="0"/>
        <w:tabs>
          <w:tab w:leader="none" w:pos="150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1296"/>
        <w:spacing w:after="0" w:line="257"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Administration by the Committee</w:t>
      </w:r>
      <w:r>
        <w:rPr>
          <w:rFonts w:ascii="Arial" w:cs="Arial" w:eastAsia="Arial" w:hAnsi="Arial"/>
          <w:sz w:val="21"/>
          <w:szCs w:val="21"/>
          <w:color w:val="auto"/>
        </w:rPr>
        <w:t>. The Plan shall be administered by the Committee. All questions of interpretation of the Plan, of any form of agreement or other document employed by the Company in the administration of the Plan, or of any Purchase Right shall be determined by the Committee, and such determinations shall be final, binding and conclusive upon all persons having an interest in the Plan or the Purchase Right, unless fraudulent or made in bad faith. Subject to the provisions of the Plan, the Committee shall determine all of the relevant terms and conditions of Purchase Rights; provided, however, that all Participants granted Purchase Rights pursuant to an Offering shall have the same rights and privileges within the meaning of Section 423(b)(5) of the Code. Any and all actions, decisions and determinations taken or made by the Committee in the exercise of its discretion pursuant to the Plan or any agreement thereunder (other than determining questions of interpretation pursuant to the second sentence of this Section 3.1) shall be final, binding and conclusive upon all persons having an interest therein. All expenses incurred in connection with the administration of the Plan shall be paid by the Company.</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130" w:name="page131"/>
    <w:bookmarkEnd w:id="130"/>
    <w:p>
      <w:pPr>
        <w:jc w:val="both"/>
        <w:ind w:left="200" w:right="219" w:firstLine="1296"/>
        <w:spacing w:after="0" w:line="265"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Authority of Officers</w:t>
      </w:r>
      <w:r>
        <w:rPr>
          <w:rFonts w:ascii="Arial" w:cs="Arial" w:eastAsia="Arial" w:hAnsi="Arial"/>
          <w:sz w:val="21"/>
          <w:szCs w:val="21"/>
          <w:color w:val="auto"/>
        </w:rPr>
        <w:t>.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w:t>
      </w:r>
    </w:p>
    <w:p>
      <w:pPr>
        <w:spacing w:after="0" w:line="175" w:lineRule="exact"/>
        <w:rPr>
          <w:sz w:val="20"/>
          <w:szCs w:val="20"/>
          <w:color w:val="auto"/>
        </w:rPr>
      </w:pPr>
    </w:p>
    <w:p>
      <w:pPr>
        <w:jc w:val="both"/>
        <w:ind w:left="200" w:right="219" w:firstLine="1296"/>
        <w:spacing w:after="0" w:line="288"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Power to Adopt Sub-Plans or Varying Terms with Respect to Non-U.S.</w:t>
      </w:r>
      <w:r>
        <w:rPr>
          <w:rFonts w:ascii="Arial" w:cs="Arial" w:eastAsia="Arial" w:hAnsi="Arial"/>
          <w:sz w:val="19"/>
          <w:szCs w:val="19"/>
          <w:color w:val="auto"/>
        </w:rPr>
        <w:t xml:space="preserve"> </w:t>
      </w:r>
      <w:r>
        <w:rPr>
          <w:rFonts w:ascii="Arial" w:cs="Arial" w:eastAsia="Arial" w:hAnsi="Arial"/>
          <w:sz w:val="19"/>
          <w:szCs w:val="19"/>
          <w:u w:val="single" w:color="auto"/>
          <w:color w:val="auto"/>
        </w:rPr>
        <w:t>Employees</w:t>
      </w:r>
      <w:r>
        <w:rPr>
          <w:rFonts w:ascii="Arial" w:cs="Arial" w:eastAsia="Arial" w:hAnsi="Arial"/>
          <w:sz w:val="19"/>
          <w:szCs w:val="19"/>
          <w:color w:val="auto"/>
        </w:rPr>
        <w:t>. The Committee shall have the power, in its discretion, to adopt one or more sub-plans of the Plan as the Committee deems necessary or desirable to comply with the laws or regulations, tax policy, accounting principles or custom of foreign jurisdictions applicable to employees of a subsidiary business entity of the Company, provided that any such sub-plan shall not be within the scope of an “employee stock purchase plan” within the meaning of Section 423 of the Code. Any of the provisions of any such sub-plan may supersede the provisions of this Plan, other than Section 4. Except as superseded by the provisions of a sub-plan, the provisions of this Plan shall govern such sub-plan. Alternatively and in order to comply with the laws of a foreign jurisdiction, the Committee shall have the power, in its discretion, to grant Purchase Rights in an Offering to citizens or residents of a non-U.S. jurisdiction (without regard to whether they are also citizens of the United States or resident aliens) that provide terms which are less favorable than the terms of Purchase Rights granted under the same Offering to Employees resident in the United States.</w:t>
      </w:r>
    </w:p>
    <w:p>
      <w:pPr>
        <w:spacing w:after="0" w:line="156" w:lineRule="exact"/>
        <w:rPr>
          <w:sz w:val="20"/>
          <w:szCs w:val="20"/>
          <w:color w:val="auto"/>
        </w:rPr>
      </w:pPr>
    </w:p>
    <w:p>
      <w:pPr>
        <w:jc w:val="both"/>
        <w:ind w:left="200" w:right="219" w:firstLine="1296"/>
        <w:spacing w:after="0" w:line="260"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Power to Establish Separate Offerings with Varying Terms</w:t>
      </w:r>
      <w:r>
        <w:rPr>
          <w:rFonts w:ascii="Arial" w:cs="Arial" w:eastAsia="Arial" w:hAnsi="Arial"/>
          <w:sz w:val="21"/>
          <w:szCs w:val="21"/>
          <w:color w:val="auto"/>
        </w:rPr>
        <w:t>. The Committee shall have the power, in its discretion, to establish separate, simultaneous or overlapping Offerings having different terms and conditions and to designate the Participating Company or Companies that may participate in a particular Offering, provided that each Offering shall individually comply with the terms of the Plan and the requirements of Section 423(b)(5) of the Code that all Participants granted Purchase Rights pursuant to such Offering shall have the same rights and privileges within the meaning of such section.</w:t>
      </w:r>
    </w:p>
    <w:p>
      <w:pPr>
        <w:spacing w:after="0" w:line="180" w:lineRule="exact"/>
        <w:rPr>
          <w:sz w:val="20"/>
          <w:szCs w:val="20"/>
          <w:color w:val="auto"/>
        </w:rPr>
      </w:pPr>
    </w:p>
    <w:p>
      <w:pPr>
        <w:jc w:val="both"/>
        <w:ind w:left="200" w:right="219" w:firstLine="1296"/>
        <w:spacing w:after="0" w:line="285"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Policies and Procedures Established by the Company</w:t>
      </w:r>
      <w:r>
        <w:rPr>
          <w:rFonts w:ascii="Arial" w:cs="Arial" w:eastAsia="Arial" w:hAnsi="Arial"/>
          <w:sz w:val="19"/>
          <w:szCs w:val="19"/>
          <w:color w:val="auto"/>
        </w:rPr>
        <w:t>. Without regard to whether any Participant’s Purchase Right may be considered adversely affected, the Company may, from time to time, consistent with the Plan and the requirements of Section 423 of the Code, establish, change or terminate such rules, guidelines, policies, procedures, limitations, or adjustments as deemed advisable by the Company, in its discretion, for the proper administration of the Plan, including, without limitation, (a) a minimum payroll deduction amount required for participation in an Offering, (b) a limitation on the frequency or number of changes permitted in the rate of payroll deduction during an Offering, (c) an exchange ratio applicable to amounts withheld or paid in a currency other than United States dollars, (d) a payroll deduction greater than or less than the amount designated by a Participant in order to adjust for the Company’s delay or mistake in processing a Subscription Agreement or in otherwise effecting a Participant’s election under the Plan or as advisable to comply with the requirements of Section 423 of the Code, and (e) determination of the date and manner by which the Fair Market Value of a share of Stock is determined for purposes of administration of the Plan. All such actions by the Company shall be taken consistent with the requirements under Section 423(b)(5) of the Code that all Participants granted Purchase Rights pursuant to an Offering shall have the same rights and privileges within the meaning of such section, except as otherwise permitted by Section 3.3 and the regulations under Section 423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31" w:name="page132"/>
    <w:bookmarkEnd w:id="131"/>
    <w:p>
      <w:pPr>
        <w:jc w:val="both"/>
        <w:ind w:left="200" w:right="219" w:firstLine="1296"/>
        <w:spacing w:after="0" w:line="287"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Indemnification</w:t>
      </w:r>
      <w:r>
        <w:rPr>
          <w:rFonts w:ascii="Arial" w:cs="Arial" w:eastAsia="Arial" w:hAnsi="Arial"/>
          <w:sz w:val="19"/>
          <w:szCs w:val="19"/>
          <w:color w:val="auto"/>
        </w:rPr>
        <w:t>.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200" w:lineRule="exact"/>
        <w:rPr>
          <w:sz w:val="20"/>
          <w:szCs w:val="20"/>
          <w:color w:val="auto"/>
        </w:rPr>
      </w:pPr>
    </w:p>
    <w:p>
      <w:pPr>
        <w:spacing w:after="0" w:line="214" w:lineRule="exact"/>
        <w:rPr>
          <w:sz w:val="20"/>
          <w:szCs w:val="20"/>
          <w:color w:val="auto"/>
        </w:rPr>
      </w:pPr>
    </w:p>
    <w:p>
      <w:pPr>
        <w:ind w:left="1500" w:hanging="643"/>
        <w:spacing w:after="0"/>
        <w:tabs>
          <w:tab w:leader="none" w:pos="150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Shares Subject to Plan</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1296"/>
        <w:spacing w:after="0" w:line="294"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Maximum Number of Shares Issuable</w:t>
      </w:r>
      <w:r>
        <w:rPr>
          <w:rFonts w:ascii="Arial" w:cs="Arial" w:eastAsia="Arial" w:hAnsi="Arial"/>
          <w:sz w:val="19"/>
          <w:szCs w:val="19"/>
          <w:color w:val="auto"/>
        </w:rPr>
        <w:t>. Subject to adjustment as provided in Sections 4.2, the maximum aggregate number of shares of Stock that may be issued under the Plan shall be 1,400,000 and shall consist of authorized but unissued or reacquired shares of Stock, or any combination thereof. If an outstanding Purchase Right for any reason expires or is terminated or canceled, the shares of Stock allocable to the unexercised portion of that Purchase Right shall again be available for issuance under the Plan.</w:t>
      </w:r>
    </w:p>
    <w:p>
      <w:pPr>
        <w:spacing w:after="0" w:line="149" w:lineRule="exact"/>
        <w:rPr>
          <w:sz w:val="20"/>
          <w:szCs w:val="20"/>
          <w:color w:val="auto"/>
        </w:rPr>
      </w:pPr>
    </w:p>
    <w:p>
      <w:pPr>
        <w:jc w:val="both"/>
        <w:ind w:left="200" w:right="219" w:firstLine="1296"/>
        <w:spacing w:after="0" w:line="284"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Adjustments for Changes in Capital Structure</w:t>
      </w:r>
      <w:r>
        <w:rPr>
          <w:rFonts w:ascii="Arial" w:cs="Arial" w:eastAsia="Arial" w:hAnsi="Arial"/>
          <w:sz w:val="19"/>
          <w:szCs w:val="19"/>
          <w:color w:val="auto"/>
        </w:rPr>
        <w:t>. Subject to any required action by the stockholders of the Company and the requirements of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the Annual Increase, the limit on the shares which may be purchased by any Participant during an Offering (as described in Sections 8.1 and 8.2) and each Purchase Right, and in the Purchase Price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Purchase Rights are exchanged for, converted into, or otherwise become (whether or not pursuant to an Ownership Change Event) shares of another corporation (the “</w:t>
      </w:r>
      <w:r>
        <w:rPr>
          <w:rFonts w:ascii="Arial" w:cs="Arial" w:eastAsia="Arial" w:hAnsi="Arial"/>
          <w:sz w:val="19"/>
          <w:szCs w:val="19"/>
          <w:b w:val="1"/>
          <w:bCs w:val="1"/>
          <w:color w:val="auto"/>
        </w:rPr>
        <w:t>New Shares</w:t>
      </w:r>
      <w:r>
        <w:rPr>
          <w:rFonts w:ascii="Arial" w:cs="Arial" w:eastAsia="Arial" w:hAnsi="Arial"/>
          <w:sz w:val="19"/>
          <w:szCs w:val="19"/>
          <w:color w:val="auto"/>
        </w:rPr>
        <w:t>”), the Committee may unilaterally amend the outstanding Purchase Rights to provide that such Purchase Rights are for New Shares. In the event of any such amendment, the number of shares subject to, and the exercise price per share of, the outstanding Purchase Rights shall be adjusted in a fair and equitable manner as determined by the</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32" w:name="page133"/>
    <w:bookmarkEnd w:id="132"/>
    <w:p>
      <w:pPr>
        <w:jc w:val="both"/>
        <w:ind w:left="200" w:right="219"/>
        <w:spacing w:after="0" w:line="248" w:lineRule="auto"/>
        <w:rPr>
          <w:sz w:val="20"/>
          <w:szCs w:val="20"/>
          <w:color w:val="auto"/>
        </w:rPr>
      </w:pPr>
      <w:r>
        <w:rPr>
          <w:rFonts w:ascii="Arial" w:cs="Arial" w:eastAsia="Arial" w:hAnsi="Arial"/>
          <w:sz w:val="22"/>
          <w:szCs w:val="22"/>
          <w:color w:val="auto"/>
        </w:rPr>
        <w:t>Committee, in its discretion. Any fractional share resulting from an adjustment pursuant to this Section shall be rounded down to the nearest whole number, and in no event may the Purchase Price be decreased to an amount less than the par value, if any, of the stock subject to the Purchase Right. The adjustments determined by the Committee pursuant to this Section 4.2 shall be final, binding and conclusive.</w:t>
      </w:r>
    </w:p>
    <w:p>
      <w:pPr>
        <w:spacing w:after="0" w:line="192" w:lineRule="exact"/>
        <w:rPr>
          <w:sz w:val="20"/>
          <w:szCs w:val="20"/>
          <w:color w:val="auto"/>
        </w:rPr>
      </w:pPr>
    </w:p>
    <w:p>
      <w:pPr>
        <w:ind w:left="1500" w:hanging="643"/>
        <w:spacing w:after="0"/>
        <w:tabs>
          <w:tab w:leader="none" w:pos="150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1296"/>
        <w:spacing w:after="0" w:line="25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Employees Eligible to Participate</w:t>
      </w:r>
      <w:r>
        <w:rPr>
          <w:rFonts w:ascii="Arial" w:cs="Arial" w:eastAsia="Arial" w:hAnsi="Arial"/>
          <w:sz w:val="22"/>
          <w:szCs w:val="22"/>
          <w:color w:val="auto"/>
        </w:rPr>
        <w:t>. Each Employee of a Participating Company is eligible to participate in the Plan and shall be deemed an Eligible Employee, except the following:</w:t>
      </w:r>
    </w:p>
    <w:p>
      <w:pPr>
        <w:spacing w:after="0" w:line="185" w:lineRule="exact"/>
        <w:rPr>
          <w:sz w:val="20"/>
          <w:szCs w:val="20"/>
          <w:color w:val="auto"/>
        </w:rPr>
      </w:pPr>
    </w:p>
    <w:p>
      <w:pPr>
        <w:ind w:left="200" w:right="239" w:firstLine="1953"/>
        <w:spacing w:after="0" w:line="263" w:lineRule="auto"/>
        <w:tabs>
          <w:tab w:leader="none" w:pos="2792" w:val="left"/>
        </w:tabs>
        <w:numPr>
          <w:ilvl w:val="0"/>
          <w:numId w:val="95"/>
        </w:numPr>
        <w:rPr>
          <w:rFonts w:ascii="Arial" w:cs="Arial" w:eastAsia="Arial" w:hAnsi="Arial"/>
          <w:sz w:val="22"/>
          <w:szCs w:val="22"/>
          <w:color w:val="auto"/>
        </w:rPr>
      </w:pPr>
      <w:r>
        <w:rPr>
          <w:rFonts w:ascii="Arial" w:cs="Arial" w:eastAsia="Arial" w:hAnsi="Arial"/>
          <w:sz w:val="22"/>
          <w:szCs w:val="22"/>
          <w:color w:val="auto"/>
        </w:rPr>
        <w:t>Any Employee who is customarily employed by the Participating Company Group for twenty (20) hours or less per week; or</w:t>
      </w:r>
    </w:p>
    <w:p>
      <w:pPr>
        <w:spacing w:after="0" w:line="174" w:lineRule="exact"/>
        <w:rPr>
          <w:rFonts w:ascii="Arial" w:cs="Arial" w:eastAsia="Arial" w:hAnsi="Arial"/>
          <w:sz w:val="22"/>
          <w:szCs w:val="22"/>
          <w:color w:val="auto"/>
        </w:rPr>
      </w:pPr>
    </w:p>
    <w:p>
      <w:pPr>
        <w:ind w:left="2800" w:hanging="647"/>
        <w:spacing w:after="0"/>
        <w:tabs>
          <w:tab w:leader="none" w:pos="2800" w:val="left"/>
        </w:tabs>
        <w:numPr>
          <w:ilvl w:val="0"/>
          <w:numId w:val="95"/>
        </w:numPr>
        <w:rPr>
          <w:rFonts w:ascii="Arial" w:cs="Arial" w:eastAsia="Arial" w:hAnsi="Arial"/>
          <w:sz w:val="21"/>
          <w:szCs w:val="21"/>
          <w:color w:val="auto"/>
        </w:rPr>
      </w:pPr>
      <w:r>
        <w:rPr>
          <w:rFonts w:ascii="Arial" w:cs="Arial" w:eastAsia="Arial" w:hAnsi="Arial"/>
          <w:sz w:val="21"/>
          <w:szCs w:val="21"/>
          <w:color w:val="auto"/>
        </w:rPr>
        <w:t>Any Employee who is customarily employed by the Participating</w:t>
      </w:r>
    </w:p>
    <w:p>
      <w:pPr>
        <w:spacing w:after="0" w:line="32" w:lineRule="exact"/>
        <w:rPr>
          <w:rFonts w:ascii="Arial" w:cs="Arial" w:eastAsia="Arial" w:hAnsi="Arial"/>
          <w:sz w:val="21"/>
          <w:szCs w:val="21"/>
          <w:color w:val="auto"/>
        </w:rPr>
      </w:pPr>
    </w:p>
    <w:p>
      <w:pPr>
        <w:ind w:left="200"/>
        <w:spacing w:after="0"/>
        <w:rPr>
          <w:rFonts w:ascii="Arial" w:cs="Arial" w:eastAsia="Arial" w:hAnsi="Arial"/>
          <w:sz w:val="21"/>
          <w:szCs w:val="21"/>
          <w:color w:val="auto"/>
        </w:rPr>
      </w:pPr>
      <w:r>
        <w:rPr>
          <w:rFonts w:ascii="Arial" w:cs="Arial" w:eastAsia="Arial" w:hAnsi="Arial"/>
          <w:sz w:val="22"/>
          <w:szCs w:val="22"/>
          <w:color w:val="auto"/>
        </w:rPr>
        <w:t>Company Group for not more than five (5) months in any calendar year.</w:t>
      </w:r>
    </w:p>
    <w:p>
      <w:pPr>
        <w:spacing w:after="0" w:line="202" w:lineRule="exact"/>
        <w:rPr>
          <w:sz w:val="20"/>
          <w:szCs w:val="20"/>
          <w:color w:val="auto"/>
        </w:rPr>
      </w:pPr>
    </w:p>
    <w:p>
      <w:pPr>
        <w:jc w:val="both"/>
        <w:ind w:left="200" w:right="219" w:firstLine="1296"/>
        <w:spacing w:after="0" w:line="261"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Exclusion of Certain Stockholders</w:t>
      </w:r>
      <w:r>
        <w:rPr>
          <w:rFonts w:ascii="Arial" w:cs="Arial" w:eastAsia="Arial" w:hAnsi="Arial"/>
          <w:sz w:val="21"/>
          <w:szCs w:val="21"/>
          <w:color w:val="auto"/>
        </w:rPr>
        <w:t>. Notwithstanding any provision of the Plan to the contrary, no Employee shall be treated as an Eligible Employee and granted a Purchase Right under the Plan if, immediately after such grant, the Employee would own, or hold options to purchase, stock of the Company or of any Parent Corporation or Subsidiary Corporation possessing five percent (5%) or more of the total combined voting power or value of all classes of stock of such corporation, as determined in accordance with Section 423(b)(3) of the Code. For purposes of this Section 5.2, the attribution rules of Section 424(d) of the Code shall apply in determining the stock ownership of such Employee.</w:t>
      </w:r>
    </w:p>
    <w:p>
      <w:pPr>
        <w:spacing w:after="0" w:line="181" w:lineRule="exact"/>
        <w:rPr>
          <w:sz w:val="20"/>
          <w:szCs w:val="20"/>
          <w:color w:val="auto"/>
        </w:rPr>
      </w:pPr>
    </w:p>
    <w:p>
      <w:pPr>
        <w:jc w:val="both"/>
        <w:ind w:left="200" w:right="219" w:firstLine="1296"/>
        <w:spacing w:after="0" w:line="259"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Determination by Company</w:t>
      </w:r>
      <w:r>
        <w:rPr>
          <w:rFonts w:ascii="Arial" w:cs="Arial" w:eastAsia="Arial" w:hAnsi="Arial"/>
          <w:sz w:val="21"/>
          <w:szCs w:val="21"/>
          <w:color w:val="auto"/>
        </w:rPr>
        <w:t>. The Company shall determine in good faith and in the exercise of its discretion whether an individual has become or has ceased to be an Employee or an Eligible Employee and the effective date of such individual’s attainment or termination of such status, as the case may be. For purposes of an individual’s participation in or other rights, if any, under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179" w:lineRule="exact"/>
        <w:rPr>
          <w:sz w:val="20"/>
          <w:szCs w:val="20"/>
          <w:color w:val="auto"/>
        </w:rPr>
      </w:pPr>
    </w:p>
    <w:p>
      <w:pPr>
        <w:ind w:left="1500" w:hanging="643"/>
        <w:spacing w:after="0"/>
        <w:tabs>
          <w:tab w:leader="none" w:pos="150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Offerings</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1296"/>
        <w:spacing w:after="0" w:line="289" w:lineRule="auto"/>
        <w:rPr>
          <w:sz w:val="20"/>
          <w:szCs w:val="20"/>
          <w:color w:val="auto"/>
        </w:rPr>
      </w:pPr>
      <w:r>
        <w:rPr>
          <w:rFonts w:ascii="Arial" w:cs="Arial" w:eastAsia="Arial" w:hAnsi="Arial"/>
          <w:sz w:val="19"/>
          <w:szCs w:val="19"/>
          <w:color w:val="auto"/>
        </w:rPr>
        <w:t>The Plan shall be implemented by sequential Offerings of approximately six (6) months’ duration or such other duration as the Committee shall determine. Offering Periods shall commence on or about the fifteenth (15th) days of June and December each year and end on or about the fourteenth (14th) day of the next December and June, respectively, occurring thereafter. Notwithstanding the foregoing, the Committee may establish additional or alternative concurrent, sequential or overlapping Offering Periods, a different duration for one or more Offering Periods or different commencing or ending dates for such Offering Periods; provided, however, that no Offering Period may have a duration exceeding twenty-seven (27) months. If the Committee shall so determine in its discretion, each Offering Period may consist of two (2) or more consecutive</w:t>
      </w:r>
    </w:p>
    <w:p>
      <w:pPr>
        <w:sectPr>
          <w:pgSz w:w="11900" w:h="16838" w:orient="portrait"/>
          <w:cols w:equalWidth="0" w:num="1">
            <w:col w:w="9019"/>
          </w:cols>
          <w:pgMar w:left="1440" w:top="928" w:right="1440" w:bottom="1440"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33" w:name="page134"/>
    <w:bookmarkEnd w:id="133"/>
    <w:p>
      <w:pPr>
        <w:jc w:val="both"/>
        <w:ind w:left="200" w:right="219"/>
        <w:spacing w:after="0" w:line="297" w:lineRule="auto"/>
        <w:rPr>
          <w:sz w:val="20"/>
          <w:szCs w:val="20"/>
          <w:color w:val="auto"/>
        </w:rPr>
      </w:pPr>
      <w:r>
        <w:rPr>
          <w:rFonts w:ascii="Arial" w:cs="Arial" w:eastAsia="Arial" w:hAnsi="Arial"/>
          <w:sz w:val="19"/>
          <w:szCs w:val="19"/>
          <w:color w:val="auto"/>
        </w:rPr>
        <w:t>Purchase Periods having such duration as the Committee shall specify, and the last day of each such Purchase Period shall be a Purchase Date. If the first or last day of an Offering Period or a Purchase Period is not a day on which the principal stock exchange or quotation system on which the Stock is then listed is open for trading, the Company shall specify the trading day that will be deemed the first or last day, as the case may be, of the Offering Period or Purchase Period.</w:t>
      </w:r>
    </w:p>
    <w:p>
      <w:pPr>
        <w:spacing w:after="0" w:line="147" w:lineRule="exact"/>
        <w:rPr>
          <w:sz w:val="20"/>
          <w:szCs w:val="20"/>
          <w:color w:val="auto"/>
        </w:rPr>
      </w:pPr>
    </w:p>
    <w:p>
      <w:pPr>
        <w:ind w:left="1500" w:hanging="643"/>
        <w:spacing w:after="0"/>
        <w:tabs>
          <w:tab w:leader="none" w:pos="150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Participation in the Plan</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1296"/>
        <w:spacing w:after="0" w:line="258"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Initial Participation</w:t>
      </w:r>
      <w:r>
        <w:rPr>
          <w:rFonts w:ascii="Arial" w:cs="Arial" w:eastAsia="Arial" w:hAnsi="Arial"/>
          <w:sz w:val="21"/>
          <w:szCs w:val="21"/>
          <w:color w:val="auto"/>
        </w:rPr>
        <w:t>. An Eligible Employee may become a Participant in an Offering Period by delivering a properly completed written or electronic Subscription Agreement to the Company office or representative designated by the Company (including a third-party administrator designated by the Company) not later than the close of business on the Subscription Date established by the Company for that Offering Period. An Eligible Employee who does not deliver a properly completed Subscription Agreement in the manner permitted or required on or before the Subscription Date for an Offering Period shall not participate in the Plan for that Offering Period or for any subsequent Offering Period unless the Eligible Employee subsequently delivers a properly completed Subscription Agreement to the appropriate Company office or representative on or before the Subscription Date for such subsequent Offering Period. An Employee who becomes an Eligible Employee after the Offering Date of an Offering Period shall not be eligible to participate in that Offering Period but may participate in any subsequent Offering Period provided the Employee is still an Eligible Employee as of the Offering Date of such subsequent Offering Period.</w:t>
      </w:r>
    </w:p>
    <w:p>
      <w:pPr>
        <w:spacing w:after="0" w:line="186"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Continued Participation</w:t>
      </w:r>
      <w:r>
        <w:rPr>
          <w:rFonts w:ascii="Arial" w:cs="Arial" w:eastAsia="Arial" w:hAnsi="Arial"/>
          <w:sz w:val="19"/>
          <w:szCs w:val="19"/>
          <w:color w:val="auto"/>
        </w:rPr>
        <w:t>. A Participant shall automatically participate in the next Offering Period commencing immediately after the final Purchase Date of each Offering Period in which the Participant participates provided that the Participant remains an Eligible Employee on the Offering Date of the new Offering Period and has not either (a) withdrawn from the Plan pursuant to Section 12.1, or (b) terminated employment or otherwise ceased to be an Eligible Employee as provided in Section 13. A Participant who may automatically participate in a subsequent Offering Period, as provided in this Section, is not required to deliver any additional Subscription Agreement for the subsequent Offering Period in order to continue participation in the Plan. However, a Participant may deliver a new Subscription Agreement for a subsequent Offering Period in accordance with the procedures set forth in Section 7.1 if the Participant desires to change any of the elections contained in the Participant’s then effective Subscription Agreement.</w:t>
      </w:r>
    </w:p>
    <w:p>
      <w:pPr>
        <w:spacing w:after="0" w:line="163" w:lineRule="exact"/>
        <w:rPr>
          <w:sz w:val="20"/>
          <w:szCs w:val="20"/>
          <w:color w:val="auto"/>
        </w:rPr>
      </w:pPr>
    </w:p>
    <w:p>
      <w:pPr>
        <w:ind w:left="1500" w:hanging="643"/>
        <w:spacing w:after="0"/>
        <w:tabs>
          <w:tab w:leader="none" w:pos="150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Right to Purchase Shares</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1296"/>
        <w:spacing w:after="0" w:line="289"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Grant of Purchase Right</w:t>
      </w:r>
      <w:r>
        <w:rPr>
          <w:rFonts w:ascii="Arial" w:cs="Arial" w:eastAsia="Arial" w:hAnsi="Arial"/>
          <w:sz w:val="19"/>
          <w:szCs w:val="19"/>
          <w:color w:val="auto"/>
        </w:rPr>
        <w:t>. Except as otherwise provided below, on the Offering Date of each Offering Period, each Participant in such Offering Period shall be granted automatically a Purchase Right consisting of an option to purchase the lesser of (a) that number of whole shares of Stock determined by dividing the Dollar Limit (determined as provided below) by the Fair Market Value of a share of Stock on such Offering Date or (b) the Share Limit (determined as provided below). The Committee may, in its discretion and prior to the Offering Date of any Offering Period, (i) change the method of, or any of the foregoing factors in, determining the number of shares of Stock subject to Purchase Rights to be granted on such Offering Date, or (ii) specify a maximum aggregate number of shares that may be purchased by all Participants in an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34" w:name="page135"/>
    <w:bookmarkEnd w:id="134"/>
    <w:p>
      <w:pPr>
        <w:jc w:val="both"/>
        <w:ind w:left="200" w:right="219"/>
        <w:spacing w:after="0" w:line="246" w:lineRule="auto"/>
        <w:rPr>
          <w:sz w:val="20"/>
          <w:szCs w:val="20"/>
          <w:color w:val="auto"/>
        </w:rPr>
      </w:pPr>
      <w:r>
        <w:rPr>
          <w:rFonts w:ascii="Arial" w:cs="Arial" w:eastAsia="Arial" w:hAnsi="Arial"/>
          <w:sz w:val="22"/>
          <w:szCs w:val="22"/>
          <w:color w:val="auto"/>
        </w:rPr>
        <w:t>Offering or on any Purchase Date within an Offering Period. No Purchase Right shall be granted on an Offering Date to any person who is not, on such Offering Date, an Eligible Employee. For the purposes of this Section, the “</w:t>
      </w:r>
      <w:r>
        <w:rPr>
          <w:rFonts w:ascii="Arial" w:cs="Arial" w:eastAsia="Arial" w:hAnsi="Arial"/>
          <w:sz w:val="22"/>
          <w:szCs w:val="22"/>
          <w:b w:val="1"/>
          <w:bCs w:val="1"/>
          <w:i w:val="1"/>
          <w:iCs w:val="1"/>
          <w:color w:val="auto"/>
        </w:rPr>
        <w:t>Dollar Limit</w:t>
      </w:r>
      <w:r>
        <w:rPr>
          <w:rFonts w:ascii="Arial" w:cs="Arial" w:eastAsia="Arial" w:hAnsi="Arial"/>
          <w:sz w:val="22"/>
          <w:szCs w:val="22"/>
          <w:color w:val="auto"/>
        </w:rPr>
        <w:t>” shall be determined by multiplying $2,083.33 by the number of months (rounded to the nearest whole month) in the Offering Period and rounding to the nearest whole dollar, and the “</w:t>
      </w:r>
      <w:r>
        <w:rPr>
          <w:rFonts w:ascii="Arial" w:cs="Arial" w:eastAsia="Arial" w:hAnsi="Arial"/>
          <w:sz w:val="22"/>
          <w:szCs w:val="22"/>
          <w:b w:val="1"/>
          <w:bCs w:val="1"/>
          <w:i w:val="1"/>
          <w:iCs w:val="1"/>
          <w:color w:val="auto"/>
        </w:rPr>
        <w:t>Share Limit</w:t>
      </w:r>
      <w:r>
        <w:rPr>
          <w:rFonts w:ascii="Arial" w:cs="Arial" w:eastAsia="Arial" w:hAnsi="Arial"/>
          <w:sz w:val="22"/>
          <w:szCs w:val="22"/>
          <w:color w:val="auto"/>
        </w:rPr>
        <w:t>” shall be determined by multiplying 420 shares by the number of months (rounded to the nearest whole month) in the Offering Period and rounding to the nearest whole share.</w:t>
      </w:r>
    </w:p>
    <w:p>
      <w:pPr>
        <w:spacing w:after="0" w:line="196" w:lineRule="exact"/>
        <w:rPr>
          <w:sz w:val="20"/>
          <w:szCs w:val="20"/>
          <w:color w:val="auto"/>
        </w:rPr>
      </w:pPr>
    </w:p>
    <w:p>
      <w:pPr>
        <w:jc w:val="both"/>
        <w:ind w:left="200" w:right="219" w:firstLine="1296"/>
        <w:spacing w:after="0" w:line="289"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Calendar Year Purchase Limitation</w:t>
      </w:r>
      <w:r>
        <w:rPr>
          <w:rFonts w:ascii="Arial" w:cs="Arial" w:eastAsia="Arial" w:hAnsi="Arial"/>
          <w:sz w:val="19"/>
          <w:szCs w:val="19"/>
          <w:color w:val="auto"/>
        </w:rPr>
        <w:t>. Notwithstanding any provision of the Plan to the contrary, no Participant shall be granted a Purchase Right which permits his or her right to purchase shares of Stock under the Plan to accrue at a rate which, when aggregated with such Participant’s rights to purchase shares under all other employee stock purchase plans of a Participating Company intended to meet the requirements of Section 423 of the Code, exceeds Twenty-Five Thousand Dollars ($25,000) in Fair Market Value (or such other limit, if any, as may be imposed by the Code) for each calendar year in which such Purchase Right is outstanding at any time. For purposes of the preceding sentence, the Fair Market Value of shares purchased during a given Offering Period shall be determined as of the Offering Date for such Offering Period. The limitation described in this Section shall be applied in conformance with Section 423(b)(8) of the Code and the regulations thereunder.</w:t>
      </w:r>
    </w:p>
    <w:p>
      <w:pPr>
        <w:spacing w:after="0" w:line="157" w:lineRule="exact"/>
        <w:rPr>
          <w:sz w:val="20"/>
          <w:szCs w:val="20"/>
          <w:color w:val="auto"/>
        </w:rPr>
      </w:pPr>
    </w:p>
    <w:p>
      <w:pPr>
        <w:ind w:left="1500" w:hanging="643"/>
        <w:spacing w:after="0"/>
        <w:tabs>
          <w:tab w:leader="none" w:pos="150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Purchase Price</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1296"/>
        <w:spacing w:after="0" w:line="289" w:lineRule="auto"/>
        <w:rPr>
          <w:sz w:val="20"/>
          <w:szCs w:val="20"/>
          <w:color w:val="auto"/>
        </w:rPr>
      </w:pPr>
      <w:r>
        <w:rPr>
          <w:rFonts w:ascii="Arial" w:cs="Arial" w:eastAsia="Arial" w:hAnsi="Arial"/>
          <w:sz w:val="19"/>
          <w:szCs w:val="19"/>
          <w:color w:val="auto"/>
        </w:rPr>
        <w:t>The Purchase Price at which each share of Stock may be acquired in an Offering Period upon the exercise of all or any portion of a Purchase Right shall be established by the Committee; provided, however, that the Purchase Price on each Purchase Date shall not be less than eighty-five percent (85%) of the lesser of (a) the Fair Market Value of a share of Stock on the Offering Date of the Offering Period or (b) the Fair Market Value of a share of Stock on the Purchase Date. Subject to adjustment as provided by the Plan and unless otherwise provided by the Committee, the Purchase Price for each Offering Period shall be eighty-five percent (85%) of the lesser of (a) the Fair Market Value of a share of Stock on the Offering Date of the Offering Period or (b) the Fair Market Value of a share of Stock on the Purchase Date.</w:t>
      </w:r>
    </w:p>
    <w:p>
      <w:pPr>
        <w:spacing w:after="0" w:line="157" w:lineRule="exact"/>
        <w:rPr>
          <w:sz w:val="20"/>
          <w:szCs w:val="20"/>
          <w:color w:val="auto"/>
        </w:rPr>
      </w:pPr>
    </w:p>
    <w:p>
      <w:pPr>
        <w:ind w:left="1500" w:hanging="643"/>
        <w:spacing w:after="0"/>
        <w:tabs>
          <w:tab w:leader="none" w:pos="150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Accumulation of Purchase Price through Payroll Deduction</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1296"/>
        <w:spacing w:after="0" w:line="302" w:lineRule="auto"/>
        <w:rPr>
          <w:sz w:val="20"/>
          <w:szCs w:val="20"/>
          <w:color w:val="auto"/>
        </w:rPr>
      </w:pPr>
      <w:r>
        <w:rPr>
          <w:rFonts w:ascii="Arial" w:cs="Arial" w:eastAsia="Arial" w:hAnsi="Arial"/>
          <w:sz w:val="19"/>
          <w:szCs w:val="19"/>
          <w:color w:val="auto"/>
        </w:rPr>
        <w:t>Except as provided in Section 11.1(b) with respect to a Non-United States Offering, shares of Stock acquired pursuant to the exercise of all or any portion of a Purchase Right may be paid for only by means of payroll deductions from the Participant’s Compensation accumulated during the Offering Period for which such Purchase Right was granted, subject to the following:</w:t>
      </w:r>
    </w:p>
    <w:p>
      <w:pPr>
        <w:spacing w:after="0" w:line="142" w:lineRule="exact"/>
        <w:rPr>
          <w:sz w:val="20"/>
          <w:szCs w:val="20"/>
          <w:color w:val="auto"/>
        </w:rPr>
      </w:pPr>
    </w:p>
    <w:p>
      <w:pPr>
        <w:jc w:val="both"/>
        <w:ind w:left="200" w:right="219" w:firstLine="1296"/>
        <w:spacing w:after="0" w:line="292"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Amount of Payroll Deductions</w:t>
      </w:r>
      <w:r>
        <w:rPr>
          <w:rFonts w:ascii="Arial" w:cs="Arial" w:eastAsia="Arial" w:hAnsi="Arial"/>
          <w:sz w:val="19"/>
          <w:szCs w:val="19"/>
          <w:color w:val="auto"/>
        </w:rPr>
        <w:t>. Except as otherwise provided herein, the amount to be deducted under the Plan from a Participant’s Compensation on each pay day during an Offering Period shall be determined by the Participant’s Subscription Agreement. The Subscription Agreement shall set forth the percentage of the Participant’s Compensation to be deducted on each pay day during an Offering Period in whole percentages of not less than one percent (1%) (except as a result of an election pursuant to Section 10.3 to stop payroll deductions effective following the first pay day during an Offering) or more than twenty percent (20%). The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35" w:name="page136"/>
    <w:bookmarkEnd w:id="135"/>
    <w:p>
      <w:pPr>
        <w:jc w:val="both"/>
        <w:ind w:left="200" w:right="219"/>
        <w:spacing w:after="0" w:line="263" w:lineRule="auto"/>
        <w:rPr>
          <w:sz w:val="20"/>
          <w:szCs w:val="20"/>
          <w:color w:val="auto"/>
        </w:rPr>
      </w:pPr>
      <w:r>
        <w:rPr>
          <w:rFonts w:ascii="Arial" w:cs="Arial" w:eastAsia="Arial" w:hAnsi="Arial"/>
          <w:sz w:val="22"/>
          <w:szCs w:val="22"/>
          <w:color w:val="auto"/>
        </w:rPr>
        <w:t>Committee may change the foregoing limits on payroll deductions effective as of any Offering Date.</w:t>
      </w:r>
    </w:p>
    <w:p>
      <w:pPr>
        <w:spacing w:after="0" w:line="175" w:lineRule="exact"/>
        <w:rPr>
          <w:sz w:val="20"/>
          <w:szCs w:val="20"/>
          <w:color w:val="auto"/>
        </w:rPr>
      </w:pPr>
    </w:p>
    <w:p>
      <w:pPr>
        <w:jc w:val="both"/>
        <w:ind w:left="200" w:right="219" w:firstLine="1296"/>
        <w:spacing w:after="0" w:line="253"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Commencement of Payroll Deductions</w:t>
      </w:r>
      <w:r>
        <w:rPr>
          <w:rFonts w:ascii="Arial" w:cs="Arial" w:eastAsia="Arial" w:hAnsi="Arial"/>
          <w:sz w:val="22"/>
          <w:szCs w:val="22"/>
          <w:color w:val="auto"/>
        </w:rPr>
        <w:t>. Payroll deductions shall commence on the first pay day following the Offering Date and shall continue to the end of the Offering Period unless sooner altered or terminated as provided herein.</w:t>
      </w:r>
    </w:p>
    <w:p>
      <w:pPr>
        <w:spacing w:after="0" w:line="185" w:lineRule="exact"/>
        <w:rPr>
          <w:sz w:val="20"/>
          <w:szCs w:val="20"/>
          <w:color w:val="auto"/>
        </w:rPr>
      </w:pPr>
    </w:p>
    <w:p>
      <w:pPr>
        <w:jc w:val="both"/>
        <w:ind w:left="200" w:right="219" w:firstLine="1296"/>
        <w:spacing w:after="0" w:line="288"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Election to Decrease or Stop Payroll Deductions</w:t>
      </w:r>
      <w:r>
        <w:rPr>
          <w:rFonts w:ascii="Arial" w:cs="Arial" w:eastAsia="Arial" w:hAnsi="Arial"/>
          <w:sz w:val="19"/>
          <w:szCs w:val="19"/>
          <w:color w:val="auto"/>
        </w:rPr>
        <w:t>. During an Offering Period, a Participant may elect to decrease the rate of or to stop deductions from his or her Compensation by delivering to the Company office or representative designated by the Company (including a third-party administrator designated by the Company) an amended Subscription Agreement authorizing such change on or before the “Change Notice Date.” The “</w:t>
      </w:r>
      <w:r>
        <w:rPr>
          <w:rFonts w:ascii="Arial" w:cs="Arial" w:eastAsia="Arial" w:hAnsi="Arial"/>
          <w:sz w:val="19"/>
          <w:szCs w:val="19"/>
          <w:b w:val="1"/>
          <w:bCs w:val="1"/>
          <w:color w:val="auto"/>
        </w:rPr>
        <w:t>Change Notice Date</w:t>
      </w:r>
      <w:r>
        <w:rPr>
          <w:rFonts w:ascii="Arial" w:cs="Arial" w:eastAsia="Arial" w:hAnsi="Arial"/>
          <w:sz w:val="19"/>
          <w:szCs w:val="19"/>
          <w:color w:val="auto"/>
        </w:rPr>
        <w:t>” shall be a date prior to the beginning of the first pay period for which such election is to be effective as established by the Company from time to time and announced to the Participants. A Participant who elects, effective following the first pay day of an Offering Period, to decrease the rate of his or her payroll deductions to zero percent (0%) shall nevertheless remain a Participant in such Offering Period unless the Participant withdraws from the Plan as provided in Section 12.1.</w:t>
      </w:r>
    </w:p>
    <w:p>
      <w:pPr>
        <w:spacing w:after="0" w:line="173" w:lineRule="exact"/>
        <w:rPr>
          <w:sz w:val="20"/>
          <w:szCs w:val="20"/>
          <w:color w:val="auto"/>
        </w:rPr>
      </w:pPr>
    </w:p>
    <w:p>
      <w:pPr>
        <w:jc w:val="both"/>
        <w:ind w:left="200" w:right="219" w:firstLine="1296"/>
        <w:spacing w:after="0" w:line="283"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Administrative Suspension of Payroll Deductions</w:t>
      </w:r>
      <w:r>
        <w:rPr>
          <w:rFonts w:ascii="Arial" w:cs="Arial" w:eastAsia="Arial" w:hAnsi="Arial"/>
          <w:sz w:val="19"/>
          <w:szCs w:val="19"/>
          <w:color w:val="auto"/>
        </w:rPr>
        <w:t>. The Company may, in its discretion, suspend a Participant’s payroll deductions under the Plan as the Company deems advisable to avoid accumulating payroll deductions in excess of the amount that could reasonably be anticipated to purchase the maximum number of shares of Stock permitted (a) under the Participant’s Purchase Right or (b) during a calendar year under the limit set forth in Section 8.2. Unless the Participant has either withdrawn from the Plan as provided in Section 12.1 or has ceased to be an Eligible Employee, suspended payroll deductions shall be resumed at the rate specified in the Participant’s then effective Subscription Agreement either (i) at the beginning of the next Offering Period if the reason for suspension was clause (a) in the preceding sentence, or</w:t>
      </w:r>
    </w:p>
    <w:p>
      <w:pPr>
        <w:spacing w:after="0" w:line="8" w:lineRule="exact"/>
        <w:rPr>
          <w:sz w:val="20"/>
          <w:szCs w:val="20"/>
          <w:color w:val="auto"/>
        </w:rPr>
      </w:pPr>
    </w:p>
    <w:p>
      <w:pPr>
        <w:ind w:left="200" w:right="219" w:firstLine="9"/>
        <w:spacing w:after="0" w:line="323" w:lineRule="auto"/>
        <w:tabs>
          <w:tab w:leader="none" w:pos="53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at the beginning of the next Offering Period having a first Purchase Date that falls within the subsequent calendar year if the reason for suspension was clause (b) in the preceding sentence.</w:t>
      </w:r>
    </w:p>
    <w:p>
      <w:pPr>
        <w:spacing w:after="0" w:line="123" w:lineRule="exact"/>
        <w:rPr>
          <w:sz w:val="20"/>
          <w:szCs w:val="20"/>
          <w:color w:val="auto"/>
        </w:rPr>
      </w:pPr>
    </w:p>
    <w:p>
      <w:pPr>
        <w:jc w:val="both"/>
        <w:ind w:left="200" w:right="219" w:firstLine="1296"/>
        <w:spacing w:after="0" w:line="247"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Participant Accounts</w:t>
      </w:r>
      <w:r>
        <w:rPr>
          <w:rFonts w:ascii="Arial" w:cs="Arial" w:eastAsia="Arial" w:hAnsi="Arial"/>
          <w:sz w:val="22"/>
          <w:szCs w:val="22"/>
          <w:color w:val="auto"/>
        </w:rPr>
        <w:t>. Individual bookkeeping accounts shall be maintained for each Participant. All payroll deductions from a Participant’s Compensation (and other amounts received from a non-United States Participant pursuant to Section 11.1(b)) shall be credited to such Participant’s Plan account and shall be deposited with the general funds of the Company. All such amounts received or held by the Company may be used by the Company for any corporate purpose.</w:t>
      </w:r>
    </w:p>
    <w:p>
      <w:pPr>
        <w:spacing w:after="0" w:line="193" w:lineRule="exact"/>
        <w:rPr>
          <w:sz w:val="20"/>
          <w:szCs w:val="20"/>
          <w:color w:val="auto"/>
        </w:rPr>
      </w:pPr>
    </w:p>
    <w:p>
      <w:pPr>
        <w:jc w:val="both"/>
        <w:ind w:left="200" w:right="219" w:firstLine="1296"/>
        <w:spacing w:after="0" w:line="253"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No Interest Paid</w:t>
      </w:r>
      <w:r>
        <w:rPr>
          <w:rFonts w:ascii="Arial" w:cs="Arial" w:eastAsia="Arial" w:hAnsi="Arial"/>
          <w:sz w:val="22"/>
          <w:szCs w:val="22"/>
          <w:color w:val="auto"/>
        </w:rPr>
        <w:t>. Interest shall not be paid on sums deducted from a Participant’s Compensation pursuant to the Plan or otherwise credited to the Participant’s Plan account.</w:t>
      </w:r>
    </w:p>
    <w:p>
      <w:pPr>
        <w:spacing w:after="0" w:line="185" w:lineRule="exact"/>
        <w:rPr>
          <w:sz w:val="20"/>
          <w:szCs w:val="20"/>
          <w:color w:val="auto"/>
        </w:rPr>
      </w:pPr>
    </w:p>
    <w:p>
      <w:pPr>
        <w:ind w:left="1500" w:hanging="643"/>
        <w:spacing w:after="0"/>
        <w:tabs>
          <w:tab w:leader="none" w:pos="150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Purchase of Shares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Exercise of Purchase Right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200" w:right="219" w:firstLine="1953"/>
        <w:spacing w:after="0" w:line="302" w:lineRule="auto"/>
        <w:tabs>
          <w:tab w:leader="none" w:pos="2792" w:val="left"/>
        </w:tabs>
        <w:numPr>
          <w:ilvl w:val="1"/>
          <w:numId w:val="102"/>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Except as provided in Section 11.1(b), on each Purchase Date of an Offering Period, each Participant who has not withdrawn from the Plan and whose participation in the Offering has not otherwise terminated before such Purchase Date shall automatically acquire pursuant to the exercise of the Participant’s Purchase Right the number of</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386715</wp:posOffset>
            </wp:positionV>
            <wp:extent cx="545211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36" w:name="page137"/>
    <w:bookmarkEnd w:id="136"/>
    <w:p>
      <w:pPr>
        <w:jc w:val="both"/>
        <w:ind w:left="200" w:right="219"/>
        <w:spacing w:after="0" w:line="260" w:lineRule="auto"/>
        <w:rPr>
          <w:sz w:val="20"/>
          <w:szCs w:val="20"/>
          <w:color w:val="auto"/>
        </w:rPr>
      </w:pPr>
      <w:r>
        <w:rPr>
          <w:rFonts w:ascii="Arial" w:cs="Arial" w:eastAsia="Arial" w:hAnsi="Arial"/>
          <w:sz w:val="21"/>
          <w:szCs w:val="21"/>
          <w:color w:val="auto"/>
        </w:rPr>
        <w:t>whole shares of Stock determined by dividing (a) the total amount of the Participant’s payroll deductions accumulated in the Participant’s Plan account during the Offering Period and not previously applied toward the purchase of Stock by (b) the Purchase Price. However, in no event shall the number of shares purchased by the Participant during an Offering Period exceed the number of shares subject to the Participant’s Purchase Right. No shares of Stock shall be purchased on a Purchase Date on behalf of a Participant whose participation in the Offering or the Plan has terminated before such Purchase Date.</w:t>
      </w:r>
    </w:p>
    <w:p>
      <w:pPr>
        <w:spacing w:after="0" w:line="180" w:lineRule="exact"/>
        <w:rPr>
          <w:sz w:val="20"/>
          <w:szCs w:val="20"/>
          <w:color w:val="auto"/>
        </w:rPr>
      </w:pPr>
    </w:p>
    <w:p>
      <w:pPr>
        <w:jc w:val="both"/>
        <w:ind w:left="200" w:right="219" w:firstLine="1953"/>
        <w:spacing w:after="0" w:line="285" w:lineRule="auto"/>
        <w:tabs>
          <w:tab w:leader="none" w:pos="2792"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Purchase by Non-United States Participants for Whom Payroll Deductions Are Prohibited by Applicable Law</w:t>
      </w:r>
      <w:r>
        <w:rPr>
          <w:rFonts w:ascii="Arial" w:cs="Arial" w:eastAsia="Arial" w:hAnsi="Arial"/>
          <w:sz w:val="19"/>
          <w:szCs w:val="19"/>
          <w:color w:val="auto"/>
        </w:rPr>
        <w:t>. Notwithstanding Section 11.1(a), where payroll deductions on behalf of Participants who are citizens or residents of countries other than the United States (without regard to whether they are also citizens of the United States or resident aliens) are prohibited by applicable law, the Committee may establish a separate Offering (a “</w:t>
      </w:r>
      <w:r>
        <w:rPr>
          <w:rFonts w:ascii="Arial" w:cs="Arial" w:eastAsia="Arial" w:hAnsi="Arial"/>
          <w:sz w:val="19"/>
          <w:szCs w:val="19"/>
          <w:b w:val="1"/>
          <w:bCs w:val="1"/>
          <w:color w:val="auto"/>
        </w:rPr>
        <w:t>Non-United</w:t>
      </w:r>
      <w:r>
        <w:rPr>
          <w:rFonts w:ascii="Arial" w:cs="Arial" w:eastAsia="Arial" w:hAnsi="Arial"/>
          <w:sz w:val="19"/>
          <w:szCs w:val="19"/>
          <w:color w:val="auto"/>
        </w:rPr>
        <w:t xml:space="preserve"> </w:t>
      </w:r>
      <w:r>
        <w:rPr>
          <w:rFonts w:ascii="Arial" w:cs="Arial" w:eastAsia="Arial" w:hAnsi="Arial"/>
          <w:sz w:val="19"/>
          <w:szCs w:val="19"/>
          <w:b w:val="1"/>
          <w:bCs w:val="1"/>
          <w:color w:val="auto"/>
        </w:rPr>
        <w:t>States Offering</w:t>
      </w:r>
      <w:r>
        <w:rPr>
          <w:rFonts w:ascii="Arial" w:cs="Arial" w:eastAsia="Arial" w:hAnsi="Arial"/>
          <w:sz w:val="19"/>
          <w:szCs w:val="19"/>
          <w:color w:val="auto"/>
        </w:rPr>
        <w:t>”) covering all Eligible Employees of one or more Participating Companies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to such prohibition on payroll deductions. The Non-United States Offering shall provide another method for payment of the Purchase Price with such terms and conditions as shall be administratively convenient and comply with applicable law. On each Purchase Date of the Offering Period applicable to a Non-United States Offering, each Participant who has not withdrawn from the Plan and whose participation in such Offering Period has not otherwise terminated before such Purchase Date shall automatically acquire pursuant to the exercise of the Participant’s Purchase Right a number of whole shares of Stock determined in accordance with Section 11.1(a) to the extent of the total amount of the Participant’s Plan account balance accumulated during the Offering Period in accordance with the method established by the Committee and not previously applied toward the purchase of Stock. However, in no event shall the number of shares purchased by a Participant during such Offering Period exceed the number of shares subject to the Participant’s Purchase Right. The Company shall refund to a Participant in a Non-United States Offering in accordance with Section 11.4 any excess Purchase Price payment received from such Participant.</w:t>
      </w:r>
    </w:p>
    <w:p>
      <w:pPr>
        <w:spacing w:after="0" w:line="200" w:lineRule="exact"/>
        <w:rPr>
          <w:sz w:val="20"/>
          <w:szCs w:val="20"/>
          <w:color w:val="auto"/>
        </w:rPr>
      </w:pPr>
    </w:p>
    <w:p>
      <w:pPr>
        <w:spacing w:after="0" w:line="230" w:lineRule="exact"/>
        <w:rPr>
          <w:sz w:val="20"/>
          <w:szCs w:val="20"/>
          <w:color w:val="auto"/>
        </w:rPr>
      </w:pPr>
    </w:p>
    <w:p>
      <w:pPr>
        <w:jc w:val="both"/>
        <w:ind w:left="200" w:right="219" w:firstLine="1296"/>
        <w:spacing w:after="0" w:line="292"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Pro Rata Allocation of Shares</w:t>
      </w:r>
      <w:r>
        <w:rPr>
          <w:rFonts w:ascii="Arial" w:cs="Arial" w:eastAsia="Arial" w:hAnsi="Arial"/>
          <w:sz w:val="19"/>
          <w:szCs w:val="19"/>
          <w:color w:val="auto"/>
        </w:rPr>
        <w:t>. If the number of shares of Stock which might be purchased by all Participants on a Purchase Date exceeds the number of shares of Stock remaining available for issuance under the Plan or the maximum aggregate number of shares of Stock that may be purchased on such Purchase Date pursuant to a limit established by the Committee pursuant to Section 8.1, the Company shall make a pro rata allocation of the shares available in as uniform a manner as practicable and as the Company determines to be equitable. Any fractional share resulting from such pro rata allocation to any Participant shall be disregarded.</w:t>
      </w:r>
    </w:p>
    <w:p>
      <w:pPr>
        <w:spacing w:after="0" w:line="151" w:lineRule="exact"/>
        <w:rPr>
          <w:sz w:val="20"/>
          <w:szCs w:val="20"/>
          <w:color w:val="auto"/>
        </w:rPr>
      </w:pPr>
    </w:p>
    <w:p>
      <w:pPr>
        <w:jc w:val="both"/>
        <w:ind w:left="200" w:right="219" w:firstLine="1296"/>
        <w:spacing w:after="0" w:line="292"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Delivery of Title to Shares</w:t>
      </w:r>
      <w:r>
        <w:rPr>
          <w:rFonts w:ascii="Arial" w:cs="Arial" w:eastAsia="Arial" w:hAnsi="Arial"/>
          <w:sz w:val="19"/>
          <w:szCs w:val="19"/>
          <w:color w:val="auto"/>
        </w:rPr>
        <w:t>. Subject to any governing rules or regulations, as soon as practicable after each Purchase Date, the Company shall issue or cause to be issued to or for the benefit of each Participant the shares of Stock acquired by the Participant on such Purchase Date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37" w:name="page138"/>
    <w:bookmarkEnd w:id="137"/>
    <w:p>
      <w:pPr>
        <w:jc w:val="both"/>
        <w:ind w:left="200" w:right="219" w:firstLine="1296"/>
        <w:spacing w:after="0" w:line="292"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Return of Plan Account Balance</w:t>
      </w:r>
      <w:r>
        <w:rPr>
          <w:rFonts w:ascii="Arial" w:cs="Arial" w:eastAsia="Arial" w:hAnsi="Arial"/>
          <w:sz w:val="19"/>
          <w:szCs w:val="19"/>
          <w:color w:val="auto"/>
        </w:rPr>
        <w:t>. Any cash balance remaining in a Participant’s Plan account following any Purchase Date shall be refunded to the Participant as soon as practicable after such Purchase Date. However, if the cash balance to be returned to a Participant pursuant to the preceding sentence is less than the amount that would have been necessary to purchase an additional whole share of Stock on such Purchase Date, the Company may retain the cash balance in the Participant’s Plan account to be applied toward the purchase of shares of Stock in the subsequent Purchase Period or Offering Period.</w:t>
      </w:r>
    </w:p>
    <w:p>
      <w:pPr>
        <w:spacing w:after="0" w:line="151" w:lineRule="exact"/>
        <w:rPr>
          <w:sz w:val="20"/>
          <w:szCs w:val="20"/>
          <w:color w:val="auto"/>
        </w:rPr>
      </w:pPr>
    </w:p>
    <w:p>
      <w:pPr>
        <w:jc w:val="both"/>
        <w:ind w:left="200" w:right="219" w:firstLine="1296"/>
        <w:spacing w:after="0" w:line="292"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Tax Withholding</w:t>
      </w:r>
      <w:r>
        <w:rPr>
          <w:rFonts w:ascii="Arial" w:cs="Arial" w:eastAsia="Arial" w:hAnsi="Arial"/>
          <w:sz w:val="19"/>
          <w:szCs w:val="19"/>
          <w:color w:val="auto"/>
        </w:rPr>
        <w:t>. At the time a Participant’s Purchase Right is exercised, in whole or in part, or at the time a Participant disposes of some or all of the shares of Stock he or she acquires under the Plan, the Participant shall make adequate provision for the federal, state, local and foreign taxes (including social insurance), if any, required to be withheld by any Participating Company upon exercise of the Purchase Right or upon such disposition of shares, respectively. A Participating Company may, but shall not be obligated to, withhold from the Participant’s compensation the amount necessary to meet such withholding obligations.</w:t>
      </w:r>
    </w:p>
    <w:p>
      <w:pPr>
        <w:spacing w:after="0" w:line="151" w:lineRule="exact"/>
        <w:rPr>
          <w:sz w:val="20"/>
          <w:szCs w:val="20"/>
          <w:color w:val="auto"/>
        </w:rPr>
      </w:pPr>
    </w:p>
    <w:p>
      <w:pPr>
        <w:jc w:val="both"/>
        <w:ind w:left="200" w:right="219" w:firstLine="1296"/>
        <w:spacing w:after="0" w:line="259"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u w:val="single" w:color="auto"/>
          <w:color w:val="auto"/>
        </w:rPr>
        <w:t>Expiration of Purchase Right</w:t>
      </w:r>
      <w:r>
        <w:rPr>
          <w:rFonts w:ascii="Arial" w:cs="Arial" w:eastAsia="Arial" w:hAnsi="Arial"/>
          <w:sz w:val="22"/>
          <w:szCs w:val="22"/>
          <w:color w:val="auto"/>
        </w:rPr>
        <w:t>. Any portion of a Participant’s Purchase Right remaining unexercised after the end of the Offering Period to which the Purchase Right relates shall expire immediately upon the end of the Offering Period.</w:t>
      </w:r>
    </w:p>
    <w:p>
      <w:pPr>
        <w:spacing w:after="0" w:line="180" w:lineRule="exact"/>
        <w:rPr>
          <w:sz w:val="20"/>
          <w:szCs w:val="20"/>
          <w:color w:val="auto"/>
        </w:rPr>
      </w:pPr>
    </w:p>
    <w:p>
      <w:pPr>
        <w:jc w:val="both"/>
        <w:ind w:left="200" w:right="219" w:firstLine="1296"/>
        <w:spacing w:after="0" w:line="258" w:lineRule="auto"/>
        <w:rPr>
          <w:sz w:val="20"/>
          <w:szCs w:val="20"/>
          <w:color w:val="auto"/>
        </w:rPr>
      </w:pPr>
      <w:r>
        <w:rPr>
          <w:rFonts w:ascii="Arial" w:cs="Arial" w:eastAsia="Arial" w:hAnsi="Arial"/>
          <w:sz w:val="21"/>
          <w:szCs w:val="21"/>
          <w:color w:val="auto"/>
        </w:rPr>
        <w:t xml:space="preserve">11.7. </w:t>
      </w:r>
      <w:r>
        <w:rPr>
          <w:rFonts w:ascii="Arial" w:cs="Arial" w:eastAsia="Arial" w:hAnsi="Arial"/>
          <w:sz w:val="21"/>
          <w:szCs w:val="21"/>
          <w:u w:val="single" w:color="auto"/>
          <w:color w:val="auto"/>
        </w:rPr>
        <w:t>Provision of Reports and Stockholder Information to Participants</w:t>
      </w:r>
      <w:r>
        <w:rPr>
          <w:rFonts w:ascii="Arial" w:cs="Arial" w:eastAsia="Arial" w:hAnsi="Arial"/>
          <w:sz w:val="21"/>
          <w:szCs w:val="21"/>
          <w:color w:val="auto"/>
        </w:rPr>
        <w:t>. Each Participant who has exercised all or part of his or her Purchase Right shall receive, as soon as practicable after the Purchase Date, a report of such Participant’s Plan account setting forth the total amount credited to his or her Plan account prior to such exercise, the number of shares of Stock purchased, the Purchase Price for such shares, the date of purchase and the cash balance, if any, remaining immediately after such purchase that is to be refunded or retained in the Participant’s Plan account pursuant to Section 11.4. The report required by this Section may be delivered in such form and by such means, including by electronic transmission, as the Company may determine. In addition, each Participant shall be provided information concerning the Company equivalent to that information provided generally to the Company’s common stockholders.</w:t>
      </w:r>
    </w:p>
    <w:p>
      <w:pPr>
        <w:spacing w:after="0" w:line="182" w:lineRule="exact"/>
        <w:rPr>
          <w:sz w:val="20"/>
          <w:szCs w:val="20"/>
          <w:color w:val="auto"/>
        </w:rPr>
      </w:pPr>
    </w:p>
    <w:p>
      <w:pPr>
        <w:ind w:left="1500" w:hanging="643"/>
        <w:spacing w:after="0"/>
        <w:tabs>
          <w:tab w:leader="none" w:pos="150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Withdrawal from Plan</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1296"/>
        <w:spacing w:after="0" w:line="257"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u w:val="single" w:color="auto"/>
          <w:color w:val="auto"/>
        </w:rPr>
        <w:t>Voluntary Withdrawal from the Plan</w:t>
      </w:r>
      <w:r>
        <w:rPr>
          <w:rFonts w:ascii="Arial" w:cs="Arial" w:eastAsia="Arial" w:hAnsi="Arial"/>
          <w:sz w:val="21"/>
          <w:szCs w:val="21"/>
          <w:color w:val="auto"/>
        </w:rPr>
        <w:t>. A Participant may withdraw from the Plan by signing and delivering to the Company office or representative designated by the Company (including a third-party administrator designated by the Company) a written or electronic notice of withdrawal on a form provided by the Company for this purpose. Such withdrawal may be elected at any time prior to the end of an Offering Period; provided, however, that if a Participant withdraws from the Plan after a Purchase Date, the withdrawal shall not affect shares of Stock acquired by the Participant on such Purchase Date. A Participant who voluntarily withdraws from the Plan is prohibited from resuming participation in the Plan in the same Offering from which he or she withdrew, but may participate in any subsequent Offering by again satisfying the requirements of Sections 5 and 7.1. The Company may impose, from time to time, a requirement that the notice of withdrawal from the Plan be on file with the Company office or representative designated by the Company for a reasonable period prior to the effectiveness of the Participant’s withdrawal.</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386715</wp:posOffset>
            </wp:positionV>
            <wp:extent cx="545211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38" w:name="page139"/>
    <w:bookmarkEnd w:id="138"/>
    <w:p>
      <w:pPr>
        <w:jc w:val="both"/>
        <w:ind w:left="200" w:right="219" w:firstLine="1296"/>
        <w:spacing w:after="0" w:line="294"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u w:val="single" w:color="auto"/>
          <w:color w:val="auto"/>
        </w:rPr>
        <w:t>Return of Plan Account Balance</w:t>
      </w:r>
      <w:r>
        <w:rPr>
          <w:rFonts w:ascii="Arial" w:cs="Arial" w:eastAsia="Arial" w:hAnsi="Arial"/>
          <w:sz w:val="19"/>
          <w:szCs w:val="19"/>
          <w:color w:val="auto"/>
        </w:rPr>
        <w:t>. Upon a Participant’s voluntary withdrawal from the Plan pursuant to Section 12.1, the Participant’s accumulated Plan account balance which has not been applied toward the purchase of shares of Stock shall be refunded to the Participant as soon as practicable after the withdrawal, without the payment of any interest, and the Participant’s interest in the Plan and the Offering shall terminate. Such amounts to be refunded in accordance with this Section may not be applied to any other Offering under the Plan.</w:t>
      </w:r>
    </w:p>
    <w:p>
      <w:pPr>
        <w:spacing w:after="0" w:line="149" w:lineRule="exact"/>
        <w:rPr>
          <w:sz w:val="20"/>
          <w:szCs w:val="20"/>
          <w:color w:val="auto"/>
        </w:rPr>
      </w:pPr>
    </w:p>
    <w:p>
      <w:pPr>
        <w:ind w:left="1500" w:hanging="643"/>
        <w:spacing w:after="0"/>
        <w:tabs>
          <w:tab w:leader="none" w:pos="150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or Eligibility</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1296"/>
        <w:spacing w:after="0" w:line="290" w:lineRule="auto"/>
        <w:rPr>
          <w:sz w:val="20"/>
          <w:szCs w:val="20"/>
          <w:color w:val="auto"/>
        </w:rPr>
      </w:pPr>
      <w:r>
        <w:rPr>
          <w:rFonts w:ascii="Arial" w:cs="Arial" w:eastAsia="Arial" w:hAnsi="Arial"/>
          <w:sz w:val="19"/>
          <w:szCs w:val="19"/>
          <w:color w:val="auto"/>
        </w:rPr>
        <w:t>Upon a Participant’s ceasing, prior to a Purchase Date, to be an Employee of the Participating Company Group for any reason, including retirement, disability or death, or upon the failure of a Participant to remain an Eligible Employee, the Participant’s participation in the Plan shall terminate immediately. In such event, the Participant’s Plan account balance which has not been applied toward the purchase of shares of Stock shall, as soon as practicable, be returned to the Participant or, in the case of the Participant’s death, to the Participant’s beneficiary designated in accordance with Section 20, if any, or legal representative, and all of the Participant’s rights under the Plan shall terminate. Interest shall not be paid on sums returned pursuant to this Section 13. A Participant whose participation has been so terminated may again become eligible to participate in the Plan by satisfying the requirements of Sections 5 and 7.1.</w:t>
      </w:r>
    </w:p>
    <w:p>
      <w:pPr>
        <w:spacing w:after="0" w:line="154" w:lineRule="exact"/>
        <w:rPr>
          <w:sz w:val="20"/>
          <w:szCs w:val="20"/>
          <w:color w:val="auto"/>
        </w:rPr>
      </w:pPr>
    </w:p>
    <w:p>
      <w:pPr>
        <w:ind w:left="1500" w:hanging="643"/>
        <w:spacing w:after="0"/>
        <w:tabs>
          <w:tab w:leader="none" w:pos="150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Effect of Change in Control on Purchase Rights</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9"/>
          <w:szCs w:val="19"/>
          <w:color w:val="auto"/>
        </w:rPr>
        <w:t>In the event of a Change in Control, the surviving, continuing, successor, or purchasing corporation or parent thereof, as the case may be (the “</w:t>
      </w:r>
      <w:r>
        <w:rPr>
          <w:rFonts w:ascii="Arial" w:cs="Arial" w:eastAsia="Arial" w:hAnsi="Arial"/>
          <w:sz w:val="19"/>
          <w:szCs w:val="19"/>
          <w:b w:val="1"/>
          <w:bCs w:val="1"/>
          <w:color w:val="auto"/>
        </w:rPr>
        <w:t>Acquiring Corporation</w:t>
      </w:r>
      <w:r>
        <w:rPr>
          <w:rFonts w:ascii="Arial" w:cs="Arial" w:eastAsia="Arial" w:hAnsi="Arial"/>
          <w:sz w:val="19"/>
          <w:szCs w:val="19"/>
          <w:color w:val="auto"/>
        </w:rPr>
        <w:t>”), may, without the consent of any Participant, assume or continue the Company’s rights and obligations under outstanding Purchase Rights or substitute substantially equivalent purchase rights for the Acquiring Corporation’s stock. If the Acquiring Corporation elects not to assume, continue or substitute for the outstanding Purchase Rights, the Purchase Date of the then current Offering Period shall be accelerated to a date before the date of the Change in Control specified by the Committee, but the number of shares of Stock subject to outstanding Purchase Rights shall not be adjusted. All Purchase Rights which are neither assumed or continued by the Acquiring Corporation in connection with the Change in Control nor exercised as of the date of the Change in Control shall terminate and cease to be outstanding effective as of the date of the Change in Control.</w:t>
      </w:r>
    </w:p>
    <w:p>
      <w:pPr>
        <w:spacing w:after="0" w:line="200" w:lineRule="exact"/>
        <w:rPr>
          <w:sz w:val="20"/>
          <w:szCs w:val="20"/>
          <w:color w:val="auto"/>
        </w:rPr>
      </w:pPr>
    </w:p>
    <w:p>
      <w:pPr>
        <w:spacing w:after="0" w:line="220" w:lineRule="exact"/>
        <w:rPr>
          <w:sz w:val="20"/>
          <w:szCs w:val="20"/>
          <w:color w:val="auto"/>
        </w:rPr>
      </w:pPr>
    </w:p>
    <w:p>
      <w:pPr>
        <w:ind w:left="1500" w:hanging="643"/>
        <w:spacing w:after="0"/>
        <w:tabs>
          <w:tab w:leader="none" w:pos="150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Nontransferability of Purchase Rights</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1296"/>
        <w:spacing w:after="0" w:line="259" w:lineRule="auto"/>
        <w:rPr>
          <w:sz w:val="20"/>
          <w:szCs w:val="20"/>
          <w:color w:val="auto"/>
        </w:rPr>
      </w:pPr>
      <w:r>
        <w:rPr>
          <w:rFonts w:ascii="Arial" w:cs="Arial" w:eastAsia="Arial" w:hAnsi="Arial"/>
          <w:sz w:val="21"/>
          <w:szCs w:val="21"/>
          <w:color w:val="auto"/>
        </w:rPr>
        <w:t>Neither payroll deductions or other amounts credited to a Participant’s Plan account nor a Participant’s Purchase Right may be assigned, transferred, pledged or otherwise disposed of in any manner other than as provided by the Plan or by will or the laws of descent and distribution. (A beneficiary designation pursuant to Section 20 shall not be treated as a disposition for this purpose.) Any such attempted assignment, transfer, pledge or other disposition shall be without effect, except that the Company may treat such act as an election to withdraw from the Plan as provided in Section 12.1. A Purchase Right shall be exercisable during the lifetime of the Participant only by the Participant.</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39" w:name="page140"/>
    <w:bookmarkEnd w:id="139"/>
    <w:p>
      <w:pPr>
        <w:ind w:left="1500" w:hanging="643"/>
        <w:spacing w:after="0"/>
        <w:tabs>
          <w:tab w:leader="none" w:pos="150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Compliance with Securities Law</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1296"/>
        <w:spacing w:after="0" w:line="286" w:lineRule="auto"/>
        <w:rPr>
          <w:sz w:val="20"/>
          <w:szCs w:val="20"/>
          <w:color w:val="auto"/>
        </w:rPr>
      </w:pPr>
      <w:r>
        <w:rPr>
          <w:rFonts w:ascii="Arial" w:cs="Arial" w:eastAsia="Arial" w:hAnsi="Arial"/>
          <w:sz w:val="19"/>
          <w:szCs w:val="19"/>
          <w:color w:val="auto"/>
        </w:rPr>
        <w:t>The issuance of shares under the Plan shall be subject to compliance with all applicable requirements of federal, state and foreign law with respect to such securities. A Purchase Right may not be exercised if the issuance of shares upon such exercise would constitute a violation of any applicable federal, state or foreign securities laws or other law or regulations or the requirements of any securities exchange or market system upon which the Stock may then be listed. In addition, no Purchase Right may be exercised unless (a) a registration statement under the Securities Act shall at the time of exercise of the Purchase Right be in effect with respect to the shares issuable upon exercise of the Purchase Right, or (b) in the opinion of legal counsel to the Company, the shares issuable upon exercise of the Purchase Right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the exercise of a Purchase Right,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200" w:lineRule="exact"/>
        <w:rPr>
          <w:sz w:val="20"/>
          <w:szCs w:val="20"/>
          <w:color w:val="auto"/>
        </w:rPr>
      </w:pPr>
    </w:p>
    <w:p>
      <w:pPr>
        <w:spacing w:after="0" w:line="220" w:lineRule="exact"/>
        <w:rPr>
          <w:sz w:val="20"/>
          <w:szCs w:val="20"/>
          <w:color w:val="auto"/>
        </w:rPr>
      </w:pPr>
    </w:p>
    <w:p>
      <w:pPr>
        <w:ind w:left="1500" w:hanging="643"/>
        <w:spacing w:after="0"/>
        <w:tabs>
          <w:tab w:leader="none" w:pos="150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Rights as a Stockholder and Employee</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1296"/>
        <w:spacing w:after="0" w:line="259" w:lineRule="auto"/>
        <w:rPr>
          <w:sz w:val="20"/>
          <w:szCs w:val="20"/>
          <w:color w:val="auto"/>
        </w:rPr>
      </w:pPr>
      <w:r>
        <w:rPr>
          <w:rFonts w:ascii="Arial" w:cs="Arial" w:eastAsia="Arial" w:hAnsi="Arial"/>
          <w:sz w:val="21"/>
          <w:szCs w:val="21"/>
          <w:color w:val="auto"/>
        </w:rPr>
        <w:t>A Participant shall have no rights as a stockholder by virtue of the Participant’s participation in the Plan until the date of the issuance of the shares of Stock purchased pursuant to the exercise of the Participant’s Purchase Right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4.2. Nothing herein shall confer upon a Participant any right to continue in the employ of the Participating Company Group or interfere in any way with any right of the Participating Company Group to terminate the Participant’s employment at any time.</w:t>
      </w:r>
    </w:p>
    <w:p>
      <w:pPr>
        <w:spacing w:after="0" w:line="179" w:lineRule="exact"/>
        <w:rPr>
          <w:sz w:val="20"/>
          <w:szCs w:val="20"/>
          <w:color w:val="auto"/>
        </w:rPr>
      </w:pPr>
    </w:p>
    <w:p>
      <w:pPr>
        <w:ind w:left="1500" w:hanging="643"/>
        <w:spacing w:after="0"/>
        <w:tabs>
          <w:tab w:leader="none" w:pos="1500"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Notification of Disposition of Shares</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1296"/>
        <w:spacing w:after="0" w:line="259" w:lineRule="auto"/>
        <w:rPr>
          <w:sz w:val="20"/>
          <w:szCs w:val="20"/>
          <w:color w:val="auto"/>
        </w:rPr>
      </w:pPr>
      <w:r>
        <w:rPr>
          <w:rFonts w:ascii="Arial" w:cs="Arial" w:eastAsia="Arial" w:hAnsi="Arial"/>
          <w:sz w:val="21"/>
          <w:szCs w:val="21"/>
          <w:color w:val="auto"/>
        </w:rPr>
        <w:t>The Company may require the Participant to give the Company prompt notice of any disposition of shares of Stock acquired by exercise of a Purchase Right. The Company may require that until such time as a Participant disposes of shares of Stock acquired upon exercise of a Purchase Right, the Participant shall hold all such shares in the Participant’s name until the later of two years after the date of grant of such Purchase Right or one year after the date of exercise of such Purchase Right. The Company may direct that the certificates evidencing shares of Stock acquired by exercise of a Purchase Right refer to such requirement to give prompt notice of disposition.</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40" w:name="page141"/>
    <w:bookmarkEnd w:id="140"/>
    <w:p>
      <w:pPr>
        <w:ind w:left="1500" w:hanging="643"/>
        <w:spacing w:after="0"/>
        <w:tabs>
          <w:tab w:leader="none" w:pos="150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1296"/>
        <w:spacing w:after="0" w:line="259" w:lineRule="auto"/>
        <w:rPr>
          <w:sz w:val="20"/>
          <w:szCs w:val="20"/>
          <w:color w:val="auto"/>
        </w:rPr>
      </w:pPr>
      <w:r>
        <w:rPr>
          <w:rFonts w:ascii="Arial" w:cs="Arial" w:eastAsia="Arial" w:hAnsi="Arial"/>
          <w:sz w:val="21"/>
          <w:szCs w:val="21"/>
          <w:color w:val="auto"/>
        </w:rPr>
        <w:t>The Company may at any time place legends or other identifying symbols referencing any applicable federal, state or foreign securities law restrictions or any provision convenient in the administration of the Plan on some or all of the certificates representing shares of Stock issued under the Plan. The Participant shall, at the request of the Company, promptly present to the Company any and all certificates representing shares acquired pursuant to a Purchase Right in the possession of the Participant in order to carry out the provisions of this Section. Unless otherwise specified by the Company, legends placed on such certificates may include but shall not be limited to the following:</w:t>
      </w:r>
    </w:p>
    <w:p>
      <w:pPr>
        <w:spacing w:after="0" w:line="183" w:lineRule="exact"/>
        <w:rPr>
          <w:sz w:val="20"/>
          <w:szCs w:val="20"/>
          <w:color w:val="auto"/>
        </w:rPr>
      </w:pPr>
    </w:p>
    <w:p>
      <w:pPr>
        <w:jc w:val="both"/>
        <w:ind w:left="200" w:right="219"/>
        <w:spacing w:after="0" w:line="247" w:lineRule="auto"/>
        <w:rPr>
          <w:sz w:val="20"/>
          <w:szCs w:val="20"/>
          <w:color w:val="auto"/>
        </w:rPr>
      </w:pPr>
      <w:r>
        <w:rPr>
          <w:rFonts w:ascii="Arial" w:cs="Arial" w:eastAsia="Arial" w:hAnsi="Arial"/>
          <w:sz w:val="22"/>
          <w:szCs w:val="22"/>
          <w:color w:val="auto"/>
        </w:rPr>
        <w:t>“THE SHARES EVIDENCED BY THIS CERTIFICATE WERE ISSUED BY THE CORPORATION TO THE REGISTERED HOLDER UPON THE PURCHASE OF SHARES UNDER AN EMPLOYEE STOCK PURCHASE PLAN AS DEFINED IN SECTION 423 OF THE INTERNAL REVENUE CODE OF 1986, AS AMENDED. THE TRANSFER AGENT FOR THE SHARES EVIDENCED HEREBY SHALL NOTIFY THE CORPORATION IMMEDIATELY OF ANY TRANSFER OF THE SHARES BY THE REGISTERED HOLDER HEREOF. THE REGISTERED HOLDER SHALL HOLD ALL SHARES PURCHASED UNDER THE PLAN IN THE REGISTERED HOLDER’S NAME (AND NOT IN THE NAME OF ANY NOMINEE).”</w:t>
      </w:r>
    </w:p>
    <w:p>
      <w:pPr>
        <w:spacing w:after="0" w:line="195" w:lineRule="exact"/>
        <w:rPr>
          <w:sz w:val="20"/>
          <w:szCs w:val="20"/>
          <w:color w:val="auto"/>
        </w:rPr>
      </w:pPr>
    </w:p>
    <w:p>
      <w:pPr>
        <w:ind w:left="1500" w:hanging="643"/>
        <w:spacing w:after="0"/>
        <w:tabs>
          <w:tab w:leader="none" w:pos="150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Designation of Beneficiary</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1296"/>
        <w:spacing w:after="0" w:line="290" w:lineRule="auto"/>
        <w:rPr>
          <w:sz w:val="20"/>
          <w:szCs w:val="20"/>
          <w:color w:val="auto"/>
        </w:rPr>
      </w:pPr>
      <w:r>
        <w:rPr>
          <w:rFonts w:ascii="Arial" w:cs="Arial" w:eastAsia="Arial" w:hAnsi="Arial"/>
          <w:sz w:val="19"/>
          <w:szCs w:val="19"/>
          <w:color w:val="auto"/>
        </w:rPr>
        <w:t xml:space="preserve">20.1. </w:t>
      </w:r>
      <w:r>
        <w:rPr>
          <w:rFonts w:ascii="Arial" w:cs="Arial" w:eastAsia="Arial" w:hAnsi="Arial"/>
          <w:sz w:val="19"/>
          <w:szCs w:val="19"/>
          <w:u w:val="single" w:color="auto"/>
          <w:color w:val="auto"/>
        </w:rPr>
        <w:t>Designation Procedure</w:t>
      </w:r>
      <w:r>
        <w:rPr>
          <w:rFonts w:ascii="Arial" w:cs="Arial" w:eastAsia="Arial" w:hAnsi="Arial"/>
          <w:sz w:val="19"/>
          <w:szCs w:val="19"/>
          <w:color w:val="auto"/>
        </w:rPr>
        <w:t>. Subject to local laws and procedures, a Participant may file a written designation of a beneficiary who is to receive (a) shares and cash, if any, from the Participant’s Plan account if the Participant dies subsequent to a Purchase Date but prior to delivery to the Participant of such shares and cash, or (b) cash, if any, from the Participant’s Plan account if the Participant dies prior to the exercise of the Participant’s Purchase Right. If a married Participant designates a beneficiary other than the Participant’s spouse, the effectiveness of such designation may be subject to the consent of the Participant’s spouse. A Participant may change his or her beneficiary designation at any time by written notice to the Company.</w:t>
      </w:r>
    </w:p>
    <w:p>
      <w:pPr>
        <w:spacing w:after="0" w:line="156" w:lineRule="exact"/>
        <w:rPr>
          <w:sz w:val="20"/>
          <w:szCs w:val="20"/>
          <w:color w:val="auto"/>
        </w:rPr>
      </w:pPr>
    </w:p>
    <w:p>
      <w:pPr>
        <w:jc w:val="both"/>
        <w:ind w:left="200" w:right="219" w:firstLine="1296"/>
        <w:spacing w:after="0" w:line="302" w:lineRule="auto"/>
        <w:rPr>
          <w:sz w:val="20"/>
          <w:szCs w:val="20"/>
          <w:color w:val="auto"/>
        </w:rPr>
      </w:pPr>
      <w:r>
        <w:rPr>
          <w:rFonts w:ascii="Arial" w:cs="Arial" w:eastAsia="Arial" w:hAnsi="Arial"/>
          <w:sz w:val="19"/>
          <w:szCs w:val="19"/>
          <w:color w:val="auto"/>
        </w:rPr>
        <w:t xml:space="preserve">20.2. </w:t>
      </w:r>
      <w:r>
        <w:rPr>
          <w:rFonts w:ascii="Arial" w:cs="Arial" w:eastAsia="Arial" w:hAnsi="Arial"/>
          <w:sz w:val="19"/>
          <w:szCs w:val="19"/>
          <w:u w:val="single" w:color="auto"/>
          <w:color w:val="auto"/>
        </w:rPr>
        <w:t>Absence of Beneficiary Designation</w:t>
      </w:r>
      <w:r>
        <w:rPr>
          <w:rFonts w:ascii="Arial" w:cs="Arial" w:eastAsia="Arial" w:hAnsi="Arial"/>
          <w:sz w:val="19"/>
          <w:szCs w:val="19"/>
          <w:color w:val="auto"/>
        </w:rPr>
        <w:t>. If a Participant dies without an effective designation pursuant to Section 20.1 of a beneficiary who is living at the time of the Participant’s death, the Company shall deliver any shares or cash credited to the Participant’s Plan account to the Participant’s legal representative or as otherwise required by applicable law.</w:t>
      </w:r>
    </w:p>
    <w:p>
      <w:pPr>
        <w:spacing w:after="0" w:line="142" w:lineRule="exact"/>
        <w:rPr>
          <w:sz w:val="20"/>
          <w:szCs w:val="20"/>
          <w:color w:val="auto"/>
        </w:rPr>
      </w:pPr>
    </w:p>
    <w:p>
      <w:pPr>
        <w:ind w:left="1500" w:hanging="643"/>
        <w:spacing w:after="0"/>
        <w:tabs>
          <w:tab w:leader="none" w:pos="150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w:t>
      </w:r>
    </w:p>
    <w:p>
      <w:pPr>
        <w:spacing w:after="0" w:line="220" w:lineRule="exact"/>
        <w:rPr>
          <w:sz w:val="20"/>
          <w:szCs w:val="20"/>
          <w:color w:val="auto"/>
        </w:rPr>
      </w:pPr>
    </w:p>
    <w:p>
      <w:pPr>
        <w:jc w:val="both"/>
        <w:ind w:left="200" w:right="219"/>
        <w:spacing w:after="0" w:line="312" w:lineRule="auto"/>
        <w:rPr>
          <w:sz w:val="20"/>
          <w:szCs w:val="20"/>
          <w:color w:val="auto"/>
        </w:rPr>
      </w:pPr>
      <w:r>
        <w:rPr>
          <w:rFonts w:ascii="Arial" w:cs="Arial" w:eastAsia="Arial" w:hAnsi="Arial"/>
          <w:sz w:val="19"/>
          <w:szCs w:val="19"/>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33" w:lineRule="exact"/>
        <w:rPr>
          <w:sz w:val="20"/>
          <w:szCs w:val="20"/>
          <w:color w:val="auto"/>
        </w:rPr>
      </w:pPr>
    </w:p>
    <w:p>
      <w:pPr>
        <w:ind w:left="1500" w:hanging="643"/>
        <w:spacing w:after="0"/>
        <w:tabs>
          <w:tab w:leader="none" w:pos="1500" w:val="left"/>
        </w:tabs>
        <w:numPr>
          <w:ilvl w:val="1"/>
          <w:numId w:val="114"/>
        </w:numPr>
        <w:rPr>
          <w:rFonts w:ascii="Arial" w:cs="Arial" w:eastAsia="Arial" w:hAnsi="Arial"/>
          <w:sz w:val="22"/>
          <w:szCs w:val="22"/>
          <w:color w:val="auto"/>
        </w:rPr>
      </w:pPr>
      <w:r>
        <w:rPr>
          <w:rFonts w:ascii="Arial" w:cs="Arial" w:eastAsia="Arial" w:hAnsi="Arial"/>
          <w:sz w:val="22"/>
          <w:szCs w:val="22"/>
          <w:u w:val="single" w:color="auto"/>
          <w:color w:val="auto"/>
        </w:rPr>
        <w:t>Amendment or Termination of the Plan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19"/>
          <w:szCs w:val="19"/>
          <w:color w:val="auto"/>
        </w:rPr>
        <w:t>The Committee may at any time amend, suspend or terminate the Plan, except that</w:t>
      </w:r>
    </w:p>
    <w:p>
      <w:pPr>
        <w:spacing w:after="0" w:line="55" w:lineRule="exact"/>
        <w:rPr>
          <w:rFonts w:ascii="Arial" w:cs="Arial" w:eastAsia="Arial" w:hAnsi="Arial"/>
          <w:sz w:val="22"/>
          <w:szCs w:val="22"/>
          <w:color w:val="auto"/>
        </w:rPr>
      </w:pPr>
    </w:p>
    <w:p>
      <w:pPr>
        <w:ind w:left="200" w:right="239" w:firstLine="9"/>
        <w:spacing w:after="0" w:line="323" w:lineRule="auto"/>
        <w:tabs>
          <w:tab w:leader="none" w:pos="50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no such amendment, suspension or termination shall affect Purchase Rights previously granted under the Plan unless expressly provided by the Committee, and (b) no such amendment,</w:t>
      </w:r>
    </w:p>
    <w:p>
      <w:pPr>
        <w:sectPr>
          <w:pgSz w:w="11900" w:h="16838" w:orient="portrait"/>
          <w:cols w:equalWidth="0" w:num="1">
            <w:col w:w="9019"/>
          </w:cols>
          <w:pgMar w:left="1440" w:top="928" w:right="1440" w:bottom="1440" w:gutter="0" w:footer="0" w:header="0"/>
        </w:sect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386715</wp:posOffset>
            </wp:positionV>
            <wp:extent cx="545211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41" w:name="page142"/>
    <w:bookmarkEnd w:id="141"/>
    <w:p>
      <w:pPr>
        <w:jc w:val="both"/>
        <w:ind w:left="200" w:right="219"/>
        <w:spacing w:after="0" w:line="286" w:lineRule="auto"/>
        <w:rPr>
          <w:sz w:val="20"/>
          <w:szCs w:val="20"/>
          <w:color w:val="auto"/>
        </w:rPr>
      </w:pPr>
      <w:r>
        <w:rPr>
          <w:rFonts w:ascii="Arial" w:cs="Arial" w:eastAsia="Arial" w:hAnsi="Arial"/>
          <w:sz w:val="19"/>
          <w:szCs w:val="19"/>
          <w:color w:val="auto"/>
        </w:rPr>
        <w:t>suspension or termination may adversely affect a Purchase Right previously granted under the Plan without the consent of the Participant, except to the extent permitted by the Plan or as may be necessary to qualify the Plan as an employee stock purchase plan pursuant to Section 423 of the Code or to comply with any applicable law, regulation or rule. In addition, an amendment to the Plan must be approved by the stockholders of the Company within twelve (12) months of the adoption of such amendment if such amendment would authorize the sale of more shares than are then authorized for issuance under the Plan or would change the definition of the corporations that may be designated by the Committee as Participating Companies. Notwithstanding the foregoing, in the event that the Committee determines that continuation of the Plan or an Offering would result in unfavorable financial accounting consequences to the Company, the Committee may, in its discretion and without the consent of any Participant, including with respect to an Offering Period then in progress: (i) terminate the Plan or any Offering Period, (ii) accelerate the Purchase Date of any Offering Period, (iii) reduce the discount or the method of determining the Purchase Price in any Offering Period (e.g., by determining the Purchase Price solely on the basis of the Fair Market Value on the Purchase Date), (iv) reduce the maximum number of shares of Stock that may be purchased in any Offering Period, or (v) take any combination of the foregoing actions.</w:t>
      </w:r>
    </w:p>
    <w:p>
      <w:pPr>
        <w:spacing w:after="0" w:line="16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 * *</w:t>
      </w:r>
    </w:p>
    <w:p>
      <w:pPr>
        <w:spacing w:after="0" w:line="220" w:lineRule="exact"/>
        <w:rPr>
          <w:sz w:val="20"/>
          <w:szCs w:val="20"/>
          <w:color w:val="auto"/>
        </w:rPr>
      </w:pPr>
    </w:p>
    <w:p>
      <w:pPr>
        <w:jc w:val="both"/>
        <w:ind w:left="200" w:right="219" w:firstLine="1296"/>
        <w:spacing w:after="0" w:line="250" w:lineRule="auto"/>
        <w:rPr>
          <w:sz w:val="20"/>
          <w:szCs w:val="20"/>
          <w:color w:val="auto"/>
        </w:rPr>
      </w:pPr>
      <w:r>
        <w:rPr>
          <w:rFonts w:ascii="Arial" w:cs="Arial" w:eastAsia="Arial" w:hAnsi="Arial"/>
          <w:sz w:val="22"/>
          <w:szCs w:val="22"/>
          <w:color w:val="auto"/>
        </w:rPr>
        <w:t>As adopted by the Board of Directors of the Company on March 24, 2020 and as adopted by the stockholders of the Company on June 8, 2020, and as amended by the Board of Directors of the Company on April 18, 2023 and adopted by the stockholders of the Company on June 6, 2023.</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 Frederick G. Vogt, PhD., J.D, Interim Chief Executive Officer and President, and General Counsel of Iovance Biotherapeutics, Inc., certify that:</w:t>
      </w:r>
    </w:p>
    <w:p>
      <w:pPr>
        <w:spacing w:after="0" w:line="170" w:lineRule="exact"/>
        <w:rPr>
          <w:sz w:val="20"/>
          <w:szCs w:val="20"/>
          <w:color w:val="auto"/>
        </w:rPr>
      </w:pPr>
    </w:p>
    <w:p>
      <w:pPr>
        <w:ind w:left="680" w:hanging="672"/>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8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60" w:hanging="652"/>
        <w:spacing w:after="0" w:line="263" w:lineRule="auto"/>
        <w:tabs>
          <w:tab w:leader="none" w:pos="68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0" w:hanging="652"/>
        <w:spacing w:after="0" w:line="263" w:lineRule="auto"/>
        <w:tabs>
          <w:tab w:leader="none" w:pos="68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28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1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28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40" w:hanging="652"/>
        <w:spacing w:after="0" w:line="308" w:lineRule="auto"/>
        <w:tabs>
          <w:tab w:leader="none" w:pos="68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40" w:hanging="644"/>
        <w:spacing w:after="0" w:line="263" w:lineRule="auto"/>
        <w:tabs>
          <w:tab w:leader="none" w:pos="128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60" w:hanging="644"/>
        <w:spacing w:after="0" w:line="277" w:lineRule="auto"/>
        <w:tabs>
          <w:tab w:leader="none" w:pos="129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Dated: November 7, 2023</w:t>
            </w:r>
          </w:p>
        </w:tc>
        <w:tc>
          <w:tcPr>
            <w:tcW w:w="6480" w:type="dxa"/>
            <w:vAlign w:val="bottom"/>
            <w:gridSpan w:val="2"/>
          </w:tcPr>
          <w:p>
            <w:pPr>
              <w:ind w:left="1540"/>
              <w:spacing w:after="0"/>
              <w:rPr>
                <w:sz w:val="20"/>
                <w:szCs w:val="20"/>
                <w:color w:val="auto"/>
              </w:rPr>
            </w:pPr>
            <w:r>
              <w:rPr>
                <w:rFonts w:ascii="Arial" w:cs="Arial" w:eastAsia="Arial" w:hAnsi="Arial"/>
                <w:sz w:val="18"/>
                <w:szCs w:val="18"/>
                <w:color w:val="auto"/>
              </w:rPr>
              <w:t>By: /s/ Frederick G. Vogt, PhD., J.D.</w:t>
            </w:r>
          </w:p>
        </w:tc>
      </w:tr>
      <w:tr>
        <w:trPr>
          <w:trHeight w:val="195"/>
        </w:trPr>
        <w:tc>
          <w:tcPr>
            <w:tcW w:w="34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Frederick G. Vogt, PhD., J.D.</w:t>
            </w:r>
          </w:p>
        </w:tc>
      </w:tr>
      <w:tr>
        <w:trPr>
          <w:trHeight w:val="216"/>
        </w:trPr>
        <w:tc>
          <w:tcPr>
            <w:tcW w:w="3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8"/>
              </w:rPr>
              <w:t>Interim Chief Executive Officer and President, and General</w:t>
            </w:r>
          </w:p>
        </w:tc>
      </w:tr>
      <w:tr>
        <w:trPr>
          <w:trHeight w:val="230"/>
        </w:trPr>
        <w:tc>
          <w:tcPr>
            <w:tcW w:w="34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Counsel (Principal Executive Officer)</w:t>
            </w:r>
          </w:p>
        </w:tc>
      </w:tr>
      <w:tr>
        <w:trPr>
          <w:trHeight w:val="776"/>
        </w:trPr>
        <w:tc>
          <w:tcPr>
            <w:tcW w:w="34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Jean-Marc Bellemin, Chief Financial Officer of Iovance Biotherapeutics, Inc., certify that:</w:t>
      </w:r>
    </w:p>
    <w:p>
      <w:pPr>
        <w:spacing w:after="0" w:line="225" w:lineRule="exact"/>
        <w:rPr>
          <w:sz w:val="20"/>
          <w:szCs w:val="20"/>
          <w:color w:val="auto"/>
        </w:rPr>
      </w:pPr>
    </w:p>
    <w:p>
      <w:pPr>
        <w:ind w:left="680" w:hanging="672"/>
        <w:spacing w:after="0"/>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8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60" w:hanging="652"/>
        <w:spacing w:after="0" w:line="263" w:lineRule="auto"/>
        <w:tabs>
          <w:tab w:leader="none" w:pos="68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0" w:hanging="652"/>
        <w:spacing w:after="0" w:line="263" w:lineRule="auto"/>
        <w:tabs>
          <w:tab w:leader="none" w:pos="68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28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28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40" w:hanging="652"/>
        <w:spacing w:after="0" w:line="308" w:lineRule="auto"/>
        <w:tabs>
          <w:tab w:leader="none" w:pos="68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40" w:hanging="644"/>
        <w:spacing w:after="0" w:line="263" w:lineRule="auto"/>
        <w:tabs>
          <w:tab w:leader="none" w:pos="128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60" w:hanging="644"/>
        <w:spacing w:after="0" w:line="277" w:lineRule="auto"/>
        <w:tabs>
          <w:tab w:leader="none" w:pos="129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Dated: November 7, 2023</w:t>
            </w:r>
          </w:p>
        </w:tc>
        <w:tc>
          <w:tcPr>
            <w:tcW w:w="6500" w:type="dxa"/>
            <w:vAlign w:val="bottom"/>
            <w:gridSpan w:val="2"/>
          </w:tcPr>
          <w:p>
            <w:pPr>
              <w:ind w:left="1560"/>
              <w:spacing w:after="0"/>
              <w:rPr>
                <w:sz w:val="20"/>
                <w:szCs w:val="20"/>
                <w:color w:val="auto"/>
              </w:rPr>
            </w:pPr>
            <w:r>
              <w:rPr>
                <w:rFonts w:ascii="Arial" w:cs="Arial" w:eastAsia="Arial" w:hAnsi="Arial"/>
                <w:sz w:val="18"/>
                <w:szCs w:val="18"/>
                <w:color w:val="auto"/>
              </w:rPr>
              <w:t>By: /s/ Jean-Marc Bellemin</w:t>
            </w:r>
          </w:p>
        </w:tc>
      </w:tr>
      <w:tr>
        <w:trPr>
          <w:trHeight w:val="195"/>
        </w:trPr>
        <w:tc>
          <w:tcPr>
            <w:tcW w:w="3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Jean-Marc Bellemin</w:t>
            </w:r>
          </w:p>
        </w:tc>
      </w:tr>
      <w:tr>
        <w:trPr>
          <w:trHeight w:val="216"/>
        </w:trPr>
        <w:tc>
          <w:tcPr>
            <w:tcW w:w="3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(Principal Financial Officer &amp; Principal Accounting Officer)</w:t>
            </w:r>
          </w:p>
        </w:tc>
      </w:tr>
      <w:tr>
        <w:trPr>
          <w:trHeight w:val="776"/>
        </w:trPr>
        <w:tc>
          <w:tcPr>
            <w:tcW w:w="34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September 30, 2023, as filed with the Securities and Exchange Commission on the date hereof (the “Report”), Frederick G. Vogt, PhD., J.D., Interim Chief Executive Officer and President, and General Counsel, hereby certifies, pursuant to 18 U.S.C. §1350, as adopted pursuant to §906 of the Sarbanes-Oxley Act of 2002, that:</w:t>
      </w:r>
    </w:p>
    <w:p>
      <w:pPr>
        <w:spacing w:after="0" w:line="187" w:lineRule="exact"/>
        <w:rPr>
          <w:sz w:val="20"/>
          <w:szCs w:val="20"/>
          <w:color w:val="auto"/>
        </w:rPr>
      </w:pPr>
    </w:p>
    <w:p>
      <w:pPr>
        <w:ind w:left="260" w:hanging="252"/>
        <w:spacing w:after="0"/>
        <w:tabs>
          <w:tab w:leader="none" w:pos="2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Dated: November 7, 2023</w:t>
            </w:r>
          </w:p>
        </w:tc>
        <w:tc>
          <w:tcPr>
            <w:tcW w:w="6500" w:type="dxa"/>
            <w:vAlign w:val="bottom"/>
            <w:gridSpan w:val="2"/>
          </w:tcPr>
          <w:p>
            <w:pPr>
              <w:ind w:left="1540"/>
              <w:spacing w:after="0"/>
              <w:rPr>
                <w:sz w:val="20"/>
                <w:szCs w:val="20"/>
                <w:color w:val="auto"/>
              </w:rPr>
            </w:pPr>
            <w:r>
              <w:rPr>
                <w:rFonts w:ascii="Arial" w:cs="Arial" w:eastAsia="Arial" w:hAnsi="Arial"/>
                <w:sz w:val="18"/>
                <w:szCs w:val="18"/>
                <w:color w:val="auto"/>
              </w:rPr>
              <w:t>By: /s/ Frederick G. Vogt, PhD., J.D.</w:t>
            </w:r>
          </w:p>
        </w:tc>
      </w:tr>
      <w:tr>
        <w:trPr>
          <w:trHeight w:val="195"/>
        </w:trPr>
        <w:tc>
          <w:tcPr>
            <w:tcW w:w="3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Frederick G. Vogt, PhD., J.D.</w:t>
            </w:r>
          </w:p>
        </w:tc>
      </w:tr>
      <w:tr>
        <w:trPr>
          <w:trHeight w:val="216"/>
        </w:trPr>
        <w:tc>
          <w:tcPr>
            <w:tcW w:w="3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8"/>
              </w:rPr>
              <w:t>Interim Chief Executive Officer and President, and General</w:t>
            </w:r>
          </w:p>
        </w:tc>
      </w:tr>
      <w:tr>
        <w:trPr>
          <w:trHeight w:val="230"/>
        </w:trPr>
        <w:tc>
          <w:tcPr>
            <w:tcW w:w="3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Counsel (Principal Executive Officer)</w:t>
            </w: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20" w:right="120" w:firstLine="648"/>
        <w:spacing w:after="0" w:line="259"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September 30, 2023, as filed with the Securities and Exchange Commission on the date hereof (the “Report”), Jean-Marc Bellemin, Chief Financial Officer, hereby certifies, pursuant to 18 U.S.C. §1350, as adopted pursuant to §906 of the Sarbanes-Oxley Act of 2002, that:</w:t>
      </w:r>
    </w:p>
    <w:p>
      <w:pPr>
        <w:spacing w:after="0" w:line="187" w:lineRule="exact"/>
        <w:rPr>
          <w:sz w:val="20"/>
          <w:szCs w:val="20"/>
          <w:color w:val="auto"/>
        </w:rPr>
      </w:pPr>
    </w:p>
    <w:p>
      <w:pPr>
        <w:ind w:left="280" w:hanging="252"/>
        <w:spacing w:after="0"/>
        <w:tabs>
          <w:tab w:leader="none" w:pos="2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0" w:firstLine="8"/>
        <w:spacing w:after="0" w:line="277" w:lineRule="auto"/>
        <w:tabs>
          <w:tab w:leader="none" w:pos="28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4880" w:val="left"/>
          <w:tab w:leader="none" w:pos="5280" w:val="left"/>
        </w:tabs>
        <w:rPr>
          <w:sz w:val="20"/>
          <w:szCs w:val="20"/>
          <w:color w:val="auto"/>
        </w:rPr>
      </w:pPr>
      <w:r>
        <w:rPr>
          <w:rFonts w:ascii="Arial" w:cs="Arial" w:eastAsia="Arial" w:hAnsi="Arial"/>
          <w:sz w:val="18"/>
          <w:szCs w:val="18"/>
          <w:color w:val="auto"/>
        </w:rPr>
        <w:t>Dated: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Jean-Marc Bellemin</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Jean-Marc Bellemin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-130175</wp:posOffset>
            </wp:positionV>
            <wp:extent cx="29578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295783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200" w:lineRule="exact"/>
        <w:rPr>
          <w:sz w:val="20"/>
          <w:szCs w:val="20"/>
          <w:color w:val="auto"/>
        </w:rPr>
      </w:pPr>
    </w:p>
    <w:p>
      <w:pPr>
        <w:spacing w:after="0" w:line="238"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323215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40"/>
      </w:cols>
      <w:pgMar w:left="96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1)"/>
      <w:numFmt w:val="lowerRoman"/>
      <w:start w:val="2"/>
    </w:lvl>
  </w:abstractNum>
  <w:abstractNum w:abstractNumId="4">
    <w:nsid w:val="61574095"/>
    <w:multiLevelType w:val="hybridMultilevel"/>
    <w:lvl w:ilvl="0">
      <w:lvlJc w:val="left"/>
      <w:lvlText w:val="&amp;"/>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1."/>
      <w:numFmt w:val="decimal"/>
      <w:start w:val="1"/>
    </w:lvl>
    <w:lvl w:ilvl="1">
      <w:lvlJc w:val="left"/>
      <w:lvlText w:val="●"/>
      <w:numFmt w:val="bullet"/>
      <w:start w:val="1"/>
    </w:lvl>
  </w:abstractNum>
  <w:abstractNum w:abstractNumId="13">
    <w:nsid w:val="4AD084E9"/>
    <w:multiLevelType w:val="hybridMultilevel"/>
    <w:lvl w:ilvl="0">
      <w:lvlJc w:val="left"/>
      <w:lvlText w:val="●"/>
      <w:numFmt w:val="bullet"/>
      <w:start w:val="1"/>
    </w:lvl>
    <w:lvl w:ilvl="1">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lvl w:ilvl="1">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lvl w:ilvl="1">
      <w:lvlJc w:val="left"/>
      <w:lvlText w:val="%2"/>
      <w:numFmt w:val="decimal"/>
      <w:start w:val="104"/>
    </w:lvl>
  </w:abstractNum>
  <w:abstractNum w:abstractNumId="37">
    <w:nsid w:val="8F2B15E"/>
    <w:multiLevelType w:val="hybridMultilevel"/>
    <w:lvl w:ilvl="0">
      <w:lvlJc w:val="left"/>
      <w:lvlText w:val="%1."/>
      <w:numFmt w:val="decimal"/>
      <w:start w:val="1"/>
    </w:lvl>
    <w:lvl w:ilvl="1">
      <w:lvlJc w:val="left"/>
      <w:lvlText w:val="(%2)"/>
      <w:numFmt w:val="lowerLetter"/>
      <w:start w:val="1"/>
    </w:lvl>
  </w:abstractNum>
  <w:abstractNum w:abstractNumId="38">
    <w:nsid w:val="1A32234B"/>
    <w:multiLevelType w:val="hybridMultilevel"/>
    <w:lvl w:ilvl="0">
      <w:lvlJc w:val="left"/>
      <w:lvlText w:val="(%1)"/>
      <w:numFmt w:val="lowerLetter"/>
      <w:start w:val="7"/>
    </w:lvl>
    <w:lvl w:ilvl="1">
      <w:lvlJc w:val="left"/>
      <w:lvlText w:val="(%2)"/>
      <w:numFmt w:val="lowerLetter"/>
      <w:start w:val="9"/>
    </w:lvl>
  </w:abstractNum>
  <w:abstractNum w:abstractNumId="39">
    <w:nsid w:val="3B0FD379"/>
    <w:multiLevelType w:val="hybridMultilevel"/>
    <w:lvl w:ilvl="0">
      <w:lvlJc w:val="left"/>
      <w:lvlText w:val="%1"/>
      <w:numFmt w:val="upperLetter"/>
      <w:start w:val="1"/>
    </w:lvl>
    <w:lvl w:ilvl="1">
      <w:lvlJc w:val="left"/>
      <w:lvlText w:val="(%2)"/>
      <w:numFmt w:val="lowerRoman"/>
      <w:start w:val="2"/>
    </w:lvl>
  </w:abstractNum>
  <w:abstractNum w:abstractNumId="40">
    <w:nsid w:val="68EB2F63"/>
    <w:multiLevelType w:val="hybridMultilevel"/>
    <w:lvl w:ilvl="0">
      <w:lvlJc w:val="left"/>
      <w:lvlText w:val="(%1)"/>
      <w:numFmt w:val="upperLetter"/>
      <w:start w:val="2"/>
    </w:lvl>
    <w:lvl w:ilvl="1">
      <w:lvlJc w:val="left"/>
      <w:lvlText w:val="%2"/>
      <w:numFmt w:val="lowerRoman"/>
      <w:start w:val="1"/>
    </w:lvl>
  </w:abstractNum>
  <w:abstractNum w:abstractNumId="41">
    <w:nsid w:val="4962813B"/>
    <w:multiLevelType w:val="hybridMultilevel"/>
    <w:lvl w:ilvl="0">
      <w:lvlJc w:val="left"/>
      <w:lvlText w:val="(%1)"/>
      <w:numFmt w:val="upperLetter"/>
      <w:start w:val="3"/>
    </w:lvl>
  </w:abstractNum>
  <w:abstractNum w:abstractNumId="42">
    <w:nsid w:val="60B6DF70"/>
    <w:multiLevelType w:val="hybridMultilevel"/>
    <w:lvl w:ilvl="0">
      <w:lvlJc w:val="left"/>
      <w:lvlText w:val="(%1)"/>
      <w:numFmt w:val="lowerLetter"/>
      <w:start w:val="8"/>
    </w:lvl>
  </w:abstractNum>
  <w:abstractNum w:abstractNumId="43">
    <w:nsid w:val="6A5EE64"/>
    <w:multiLevelType w:val="hybridMultilevel"/>
    <w:lvl w:ilvl="0">
      <w:lvlJc w:val="left"/>
      <w:lvlText w:val="%1"/>
      <w:numFmt w:val="lowerLetter"/>
      <w:start w:val="1"/>
    </w:lvl>
    <w:lvl w:ilvl="1">
      <w:lvlJc w:val="left"/>
      <w:lvlText w:val="(%2)"/>
      <w:numFmt w:val="lowerLetter"/>
      <w:start w:val="11"/>
    </w:lvl>
  </w:abstractNum>
  <w:abstractNum w:abstractNumId="44">
    <w:nsid w:val="14330624"/>
    <w:multiLevelType w:val="hybridMultilevel"/>
    <w:lvl w:ilvl="0">
      <w:lvlJc w:val="left"/>
      <w:lvlText w:val="(%1)"/>
      <w:numFmt w:val="lowerLetter"/>
      <w:start w:val="61"/>
    </w:lvl>
    <w:lvl w:ilvl="1">
      <w:lvlJc w:val="left"/>
      <w:lvlText w:val="(%2)"/>
      <w:numFmt w:val="lowerLetter"/>
      <w:start w:val="15"/>
    </w:lvl>
  </w:abstractNum>
  <w:abstractNum w:abstractNumId="45">
    <w:nsid w:val="7FFFCA11"/>
    <w:multiLevelType w:val="hybridMultilevel"/>
    <w:lvl w:ilvl="0">
      <w:lvlJc w:val="left"/>
      <w:lvlText w:val="%1"/>
      <w:numFmt w:val="lowerLetter"/>
      <w:start w:val="1"/>
    </w:lvl>
    <w:lvl w:ilvl="1">
      <w:lvlJc w:val="left"/>
      <w:lvlText w:val="(%2)"/>
      <w:numFmt w:val="lowerLetter"/>
      <w:start w:val="16"/>
    </w:lvl>
  </w:abstractNum>
  <w:abstractNum w:abstractNumId="46">
    <w:nsid w:val="1A27709E"/>
    <w:multiLevelType w:val="hybridMultilevel"/>
    <w:lvl w:ilvl="0">
      <w:lvlJc w:val="left"/>
      <w:lvlText w:val="(%1)"/>
      <w:numFmt w:val="lowerLetter"/>
      <w:start w:val="25"/>
    </w:lvl>
    <w:lvl w:ilvl="1">
      <w:lvlJc w:val="left"/>
      <w:lvlText w:val="(%2)"/>
      <w:numFmt w:val="lowerLetter"/>
      <w:start w:val="18"/>
    </w:lvl>
  </w:abstractNum>
  <w:abstractNum w:abstractNumId="47">
    <w:nsid w:val="71EA1109"/>
    <w:multiLevelType w:val="hybridMultilevel"/>
    <w:lvl w:ilvl="0">
      <w:lvlJc w:val="left"/>
      <w:lvlText w:val="(%1)"/>
      <w:numFmt w:val="lowerLetter"/>
      <w:start w:val="35"/>
    </w:lvl>
    <w:lvl w:ilvl="1">
      <w:lvlJc w:val="left"/>
      <w:lvlText w:val="(%2)"/>
      <w:numFmt w:val="lowerLetter"/>
      <w:start w:val="20"/>
    </w:lvl>
  </w:abstractNum>
  <w:abstractNum w:abstractNumId="48">
    <w:nsid w:val="100F59DC"/>
    <w:multiLevelType w:val="hybridMultilevel"/>
    <w:lvl w:ilvl="0">
      <w:lvlJc w:val="left"/>
      <w:lvlText w:val="(%1)"/>
      <w:numFmt w:val="lowerLetter"/>
      <w:start w:val="27"/>
    </w:lvl>
  </w:abstractNum>
  <w:abstractNum w:abstractNumId="49">
    <w:nsid w:val="7FB7E0AA"/>
    <w:multiLevelType w:val="hybridMultilevel"/>
    <w:lvl w:ilvl="0">
      <w:lvlJc w:val="left"/>
      <w:lvlText w:val="(%1)"/>
      <w:numFmt w:val="lowerLetter"/>
      <w:start w:val="28"/>
    </w:lvl>
  </w:abstractNum>
  <w:abstractNum w:abstractNumId="50">
    <w:nsid w:val="6EB5BD4"/>
    <w:multiLevelType w:val="hybridMultilevel"/>
    <w:lvl w:ilvl="0">
      <w:lvlJc w:val="left"/>
      <w:lvlText w:val="(%1)"/>
      <w:numFmt w:val="lowerRoman"/>
      <w:start w:val="4"/>
    </w:lvl>
    <w:lvl w:ilvl="1">
      <w:lvlJc w:val="left"/>
      <w:lvlText w:val="(%2)"/>
      <w:numFmt w:val="lowerLetter"/>
      <w:start w:val="29"/>
    </w:lvl>
  </w:abstractNum>
  <w:abstractNum w:abstractNumId="51">
    <w:nsid w:val="6F6DD9AC"/>
    <w:multiLevelType w:val="hybridMultilevel"/>
    <w:lvl w:ilvl="0">
      <w:lvlJc w:val="left"/>
      <w:lvlText w:val="%1."/>
      <w:numFmt w:val="decimal"/>
      <w:start w:val="4"/>
    </w:lvl>
    <w:lvl w:ilvl="1">
      <w:lvlJc w:val="left"/>
      <w:lvlText w:val="(%2)"/>
      <w:numFmt w:val="lowerLetter"/>
      <w:start w:val="1"/>
    </w:lvl>
  </w:abstractNum>
  <w:abstractNum w:abstractNumId="52">
    <w:nsid w:val="94211F2"/>
    <w:multiLevelType w:val="hybridMultilevel"/>
    <w:lvl w:ilvl="0">
      <w:lvlJc w:val="left"/>
      <w:lvlText w:val="(%1)"/>
      <w:numFmt w:val="decimal"/>
      <w:start w:val="1"/>
    </w:lvl>
    <w:lvl w:ilvl="1">
      <w:lvlJc w:val="left"/>
      <w:lvlText w:val="(%2)"/>
      <w:numFmt w:val="lowerLetter"/>
      <w:start w:val="2"/>
    </w:lvl>
  </w:abstractNum>
  <w:abstractNum w:abstractNumId="53">
    <w:nsid w:val="885E1B"/>
    <w:multiLevelType w:val="hybridMultilevel"/>
    <w:lvl w:ilvl="0">
      <w:lvlJc w:val="left"/>
      <w:lvlText w:val="%1"/>
      <w:numFmt w:val="decimal"/>
      <w:start w:val="1"/>
    </w:lvl>
    <w:lvl w:ilvl="1">
      <w:lvlJc w:val="left"/>
      <w:lvlText w:val="(%2)"/>
      <w:numFmt w:val="lowerLetter"/>
      <w:start w:val="6"/>
    </w:lvl>
  </w:abstractNum>
  <w:abstractNum w:abstractNumId="54">
    <w:nsid w:val="76272110"/>
    <w:multiLevelType w:val="hybridMultilevel"/>
    <w:lvl w:ilvl="0">
      <w:lvlJc w:val="left"/>
      <w:lvlText w:val="%1."/>
      <w:numFmt w:val="decimal"/>
      <w:start w:val="5"/>
    </w:lvl>
    <w:lvl w:ilvl="1">
      <w:lvlJc w:val="left"/>
      <w:lvlText w:val="(%2)"/>
      <w:numFmt w:val="lowerLetter"/>
      <w:start w:val="1"/>
    </w:lvl>
  </w:abstractNum>
  <w:abstractNum w:abstractNumId="55">
    <w:nsid w:val="4C04A8AF"/>
    <w:multiLevelType w:val="hybridMultilevel"/>
    <w:lvl w:ilvl="0">
      <w:lvlJc w:val="left"/>
      <w:lvlText w:val="%1"/>
      <w:numFmt w:val="decimal"/>
      <w:start w:val="1"/>
    </w:lvl>
    <w:lvl w:ilvl="1">
      <w:lvlJc w:val="left"/>
      <w:lvlText w:val="(%2)"/>
      <w:numFmt w:val="lowerLetter"/>
      <w:start w:val="3"/>
    </w:lvl>
  </w:abstractNum>
  <w:abstractNum w:abstractNumId="56">
    <w:nsid w:val="1716703B"/>
    <w:multiLevelType w:val="hybridMultilevel"/>
    <w:lvl w:ilvl="0">
      <w:lvlJc w:val="left"/>
      <w:lvlText w:val="%1."/>
      <w:numFmt w:val="decimal"/>
      <w:start w:val="6"/>
    </w:lvl>
    <w:lvl w:ilvl="1">
      <w:lvlJc w:val="left"/>
      <w:lvlText w:val="%2"/>
      <w:numFmt w:val="lowerLetter"/>
      <w:start w:val="1"/>
    </w:lvl>
  </w:abstractNum>
  <w:abstractNum w:abstractNumId="57">
    <w:nsid w:val="14E17E33"/>
    <w:multiLevelType w:val="hybridMultilevel"/>
    <w:lvl w:ilvl="0">
      <w:lvlJc w:val="left"/>
      <w:lvlText w:val="%1."/>
      <w:numFmt w:val="decimal"/>
      <w:start w:val="7"/>
    </w:lvl>
    <w:lvl w:ilvl="1">
      <w:lvlJc w:val="left"/>
      <w:lvlText w:val="(%2)"/>
      <w:numFmt w:val="lowerLetter"/>
      <w:start w:val="1"/>
    </w:lvl>
  </w:abstractNum>
  <w:abstractNum w:abstractNumId="58">
    <w:nsid w:val="3222E7CD"/>
    <w:multiLevelType w:val="hybridMultilevel"/>
    <w:lvl w:ilvl="0">
      <w:lvlJc w:val="left"/>
      <w:lvlText w:val="%1"/>
      <w:numFmt w:val="decimal"/>
      <w:start w:val="422"/>
    </w:lvl>
    <w:lvl w:ilvl="1">
      <w:lvlJc w:val="left"/>
      <w:lvlText w:val="(%2)"/>
      <w:numFmt w:val="lowerLetter"/>
      <w:start w:val="2"/>
    </w:lvl>
  </w:abstractNum>
  <w:abstractNum w:abstractNumId="59">
    <w:nsid w:val="74DE0EE3"/>
    <w:multiLevelType w:val="hybridMultilevel"/>
    <w:lvl w:ilvl="0">
      <w:lvlJc w:val="left"/>
      <w:lvlText w:val="(%1)"/>
      <w:numFmt w:val="lowerLetter"/>
      <w:start w:val="5"/>
    </w:lvl>
  </w:abstractNum>
  <w:abstractNum w:abstractNumId="60">
    <w:nsid w:val="68EBC550"/>
    <w:multiLevelType w:val="hybridMultilevel"/>
    <w:lvl w:ilvl="0">
      <w:lvlJc w:val="left"/>
      <w:lvlText w:val="%1."/>
      <w:numFmt w:val="decimal"/>
      <w:start w:val="8"/>
    </w:lvl>
    <w:lvl w:ilvl="1">
      <w:lvlJc w:val="left"/>
      <w:lvlText w:val="(%2)"/>
      <w:numFmt w:val="lowerLetter"/>
      <w:start w:val="1"/>
    </w:lvl>
  </w:abstractNum>
  <w:abstractNum w:abstractNumId="61">
    <w:nsid w:val="2DF6D648"/>
    <w:multiLevelType w:val="hybridMultilevel"/>
    <w:lvl w:ilvl="0">
      <w:lvlJc w:val="left"/>
      <w:lvlText w:val="%1."/>
      <w:numFmt w:val="decimal"/>
      <w:start w:val="9"/>
    </w:lvl>
    <w:lvl w:ilvl="1">
      <w:lvlJc w:val="left"/>
      <w:lvlText w:val="(%2)"/>
      <w:numFmt w:val="lowerLetter"/>
      <w:start w:val="1"/>
    </w:lvl>
  </w:abstractNum>
  <w:abstractNum w:abstractNumId="62">
    <w:nsid w:val="46B7D447"/>
    <w:multiLevelType w:val="hybridMultilevel"/>
    <w:lvl w:ilvl="0">
      <w:lvlJc w:val="left"/>
      <w:lvlText w:val="(%1)"/>
      <w:numFmt w:val="lowerLetter"/>
      <w:start w:val="4"/>
    </w:lvl>
    <w:lvl w:ilvl="1">
      <w:lvlJc w:val="left"/>
      <w:lvlText w:val="(%2)"/>
      <w:numFmt w:val="lowerRoman"/>
      <w:start w:val="1"/>
    </w:lvl>
  </w:abstractNum>
  <w:abstractNum w:abstractNumId="63">
    <w:nsid w:val="4A2AC315"/>
    <w:multiLevelType w:val="hybridMultilevel"/>
    <w:lvl w:ilvl="0">
      <w:lvlJc w:val="left"/>
      <w:lvlText w:val="(%1)"/>
      <w:numFmt w:val="lowerLetter"/>
      <w:start w:val="5"/>
    </w:lvl>
  </w:abstractNum>
  <w:abstractNum w:abstractNumId="64">
    <w:nsid w:val="39EE015C"/>
    <w:multiLevelType w:val="hybridMultilevel"/>
    <w:lvl w:ilvl="0">
      <w:lvlJc w:val="left"/>
      <w:lvlText w:val="%1."/>
      <w:numFmt w:val="decimal"/>
      <w:start w:val="10"/>
    </w:lvl>
  </w:abstractNum>
  <w:abstractNum w:abstractNumId="65">
    <w:nsid w:val="57FC4FBB"/>
    <w:multiLevelType w:val="hybridMultilevel"/>
    <w:lvl w:ilvl="0">
      <w:lvlJc w:val="left"/>
      <w:lvlText w:val="(%1)"/>
      <w:numFmt w:val="lowerRoman"/>
      <w:start w:val="1"/>
    </w:lvl>
  </w:abstractNum>
  <w:abstractNum w:abstractNumId="66">
    <w:nsid w:val="CC1016F"/>
    <w:multiLevelType w:val="hybridMultilevel"/>
    <w:lvl w:ilvl="0">
      <w:lvlJc w:val="left"/>
      <w:lvlText w:val="%1."/>
      <w:numFmt w:val="decimal"/>
      <w:start w:val="12"/>
    </w:lvl>
    <w:lvl w:ilvl="1">
      <w:lvlJc w:val="left"/>
      <w:lvlText w:val="(%2)"/>
      <w:numFmt w:val="lowerLetter"/>
      <w:start w:val="1"/>
    </w:lvl>
  </w:abstractNum>
  <w:abstractNum w:abstractNumId="67">
    <w:nsid w:val="43F18422"/>
    <w:multiLevelType w:val="hybridMultilevel"/>
    <w:lvl w:ilvl="0">
      <w:lvlJc w:val="left"/>
      <w:lvlText w:val="%1."/>
      <w:numFmt w:val="decimal"/>
      <w:start w:val="13"/>
    </w:lvl>
    <w:lvl w:ilvl="1">
      <w:lvlJc w:val="left"/>
      <w:lvlText w:val="(%2)"/>
      <w:numFmt w:val="lowerLetter"/>
      <w:start w:val="1"/>
    </w:lvl>
  </w:abstractNum>
  <w:abstractNum w:abstractNumId="68">
    <w:nsid w:val="60EF0119"/>
    <w:multiLevelType w:val="hybridMultilevel"/>
    <w:lvl w:ilvl="0">
      <w:lvlJc w:val="left"/>
      <w:lvlText w:val="%1"/>
      <w:numFmt w:val="decimal"/>
      <w:start w:val="1"/>
    </w:lvl>
    <w:lvl w:ilvl="1">
      <w:lvlJc w:val="left"/>
      <w:lvlText w:val="(%2)"/>
      <w:numFmt w:val="lowerLetter"/>
      <w:start w:val="2"/>
    </w:lvl>
  </w:abstractNum>
  <w:abstractNum w:abstractNumId="69">
    <w:nsid w:val="26F324BA"/>
    <w:multiLevelType w:val="hybridMultilevel"/>
    <w:lvl w:ilvl="0">
      <w:lvlJc w:val="left"/>
      <w:lvlText w:val="%1."/>
      <w:numFmt w:val="decimal"/>
      <w:start w:val="14"/>
    </w:lvl>
    <w:lvl w:ilvl="1">
      <w:lvlJc w:val="left"/>
      <w:lvlText w:val="(%2)"/>
      <w:numFmt w:val="lowerLetter"/>
      <w:start w:val="1"/>
    </w:lvl>
  </w:abstractNum>
  <w:abstractNum w:abstractNumId="70">
    <w:nsid w:val="7F01579B"/>
    <w:multiLevelType w:val="hybridMultilevel"/>
    <w:lvl w:ilvl="0">
      <w:lvlJc w:val="left"/>
      <w:lvlText w:val="(%1)"/>
      <w:numFmt w:val="lowerLetter"/>
      <w:start w:val="2"/>
    </w:lvl>
    <w:lvl w:ilvl="1">
      <w:lvlJc w:val="left"/>
      <w:lvlText w:val="(%2)"/>
      <w:numFmt w:val="lowerRoman"/>
      <w:start w:val="1"/>
    </w:lvl>
  </w:abstractNum>
  <w:abstractNum w:abstractNumId="71">
    <w:nsid w:val="49DA307D"/>
    <w:multiLevelType w:val="hybridMultilevel"/>
    <w:lvl w:ilvl="0">
      <w:lvlJc w:val="left"/>
      <w:lvlText w:val="(%1)"/>
      <w:numFmt w:val="lowerLetter"/>
      <w:start w:val="3"/>
    </w:lvl>
    <w:lvl w:ilvl="1">
      <w:lvlJc w:val="left"/>
      <w:lvlText w:val="(%2)"/>
      <w:numFmt w:val="lowerRoman"/>
      <w:start w:val="1"/>
    </w:lvl>
  </w:abstractNum>
  <w:abstractNum w:abstractNumId="72">
    <w:nsid w:val="7055A5F5"/>
    <w:multiLevelType w:val="hybridMultilevel"/>
    <w:lvl w:ilvl="0">
      <w:lvlJc w:val="left"/>
      <w:lvlText w:val="(%1)"/>
      <w:numFmt w:val="lowerLetter"/>
      <w:start w:val="5"/>
    </w:lvl>
  </w:abstractNum>
  <w:abstractNum w:abstractNumId="73">
    <w:nsid w:val="5FB8370B"/>
    <w:multiLevelType w:val="hybridMultilevel"/>
    <w:lvl w:ilvl="0">
      <w:lvlJc w:val="left"/>
      <w:lvlText w:val="(%1)"/>
      <w:numFmt w:val="lowerLetter"/>
      <w:start w:val="8"/>
    </w:lvl>
    <w:lvl w:ilvl="1">
      <w:lvlJc w:val="left"/>
      <w:lvlText w:val="(%2)"/>
      <w:numFmt w:val="lowerRoman"/>
      <w:start w:val="1"/>
    </w:lvl>
  </w:abstractNum>
  <w:abstractNum w:abstractNumId="74">
    <w:nsid w:val="50801EE1"/>
    <w:multiLevelType w:val="hybridMultilevel"/>
    <w:lvl w:ilvl="0">
      <w:lvlJc w:val="left"/>
      <w:lvlText w:val="%1"/>
      <w:numFmt w:val="lowerLetter"/>
      <w:start w:val="1"/>
    </w:lvl>
    <w:lvl w:ilvl="1">
      <w:lvlJc w:val="left"/>
      <w:lvlText w:val="(%2)"/>
      <w:numFmt w:val="lowerLetter"/>
      <w:start w:val="61"/>
    </w:lvl>
  </w:abstractNum>
  <w:abstractNum w:abstractNumId="75">
    <w:nsid w:val="488AC1A"/>
    <w:multiLevelType w:val="hybridMultilevel"/>
    <w:lvl w:ilvl="0">
      <w:lvlJc w:val="left"/>
      <w:lvlText w:val="(%1)"/>
      <w:numFmt w:val="lowerLetter"/>
      <w:start w:val="11"/>
    </w:lvl>
    <w:lvl w:ilvl="1">
      <w:lvlJc w:val="left"/>
      <w:lvlText w:val="%2"/>
      <w:numFmt w:val="lowerLetter"/>
      <w:start w:val="1"/>
    </w:lvl>
  </w:abstractNum>
  <w:abstractNum w:abstractNumId="76">
    <w:nsid w:val="5FB8011C"/>
    <w:multiLevelType w:val="hybridMultilevel"/>
    <w:lvl w:ilvl="0">
      <w:lvlJc w:val="left"/>
      <w:lvlText w:val="(%1)"/>
      <w:numFmt w:val="lowerLetter"/>
      <w:start w:val="13"/>
    </w:lvl>
  </w:abstractNum>
  <w:abstractNum w:abstractNumId="77">
    <w:nsid w:val="6AA78F7F"/>
    <w:multiLevelType w:val="hybridMultilevel"/>
    <w:lvl w:ilvl="0">
      <w:lvlJc w:val="left"/>
      <w:lvlText w:val="(%1)"/>
      <w:numFmt w:val="lowerLetter"/>
      <w:start w:val="18"/>
    </w:lvl>
  </w:abstractNum>
  <w:abstractNum w:abstractNumId="78">
    <w:nsid w:val="7672BD23"/>
    <w:multiLevelType w:val="hybridMultilevel"/>
    <w:lvl w:ilvl="0">
      <w:lvlJc w:val="left"/>
      <w:lvlText w:val="(%1)"/>
      <w:numFmt w:val="lowerRoman"/>
      <w:start w:val="1"/>
    </w:lvl>
  </w:abstractNum>
  <w:abstractNum w:abstractNumId="79">
    <w:nsid w:val="6FC75AF8"/>
    <w:multiLevelType w:val="hybridMultilevel"/>
    <w:lvl w:ilvl="0">
      <w:lvlJc w:val="left"/>
      <w:lvlText w:val="%1"/>
      <w:numFmt w:val="lowerLetter"/>
      <w:start w:val="1"/>
    </w:lvl>
    <w:lvl w:ilvl="1">
      <w:lvlJc w:val="left"/>
      <w:lvlText w:val="(%2)"/>
      <w:numFmt w:val="lowerRoman"/>
      <w:start w:val="3"/>
    </w:lvl>
  </w:abstractNum>
  <w:abstractNum w:abstractNumId="80">
    <w:nsid w:val="6A5F7029"/>
    <w:multiLevelType w:val="hybridMultilevel"/>
    <w:lvl w:ilvl="0">
      <w:lvlJc w:val="left"/>
      <w:lvlText w:val="(%1)"/>
      <w:numFmt w:val="lowerLetter"/>
      <w:start w:val="23"/>
    </w:lvl>
    <w:lvl w:ilvl="1">
      <w:lvlJc w:val="left"/>
      <w:lvlText w:val="%2"/>
      <w:numFmt w:val="lowerRoman"/>
      <w:start w:val="1"/>
    </w:lvl>
  </w:abstractNum>
  <w:abstractNum w:abstractNumId="81">
    <w:nsid w:val="7D5E18F8"/>
    <w:multiLevelType w:val="hybridMultilevel"/>
    <w:lvl w:ilvl="0">
      <w:lvlJc w:val="left"/>
      <w:lvlText w:val="(%1)"/>
      <w:numFmt w:val="lowerLetter"/>
      <w:start w:val="25"/>
    </w:lvl>
  </w:abstractNum>
  <w:abstractNum w:abstractNumId="82">
    <w:nsid w:val="5F3534A4"/>
    <w:multiLevelType w:val="hybridMultilevel"/>
    <w:lvl w:ilvl="0">
      <w:lvlJc w:val="left"/>
      <w:lvlText w:val="%1."/>
      <w:numFmt w:val="decimal"/>
      <w:start w:val="1"/>
    </w:lvl>
  </w:abstractNum>
  <w:abstractNum w:abstractNumId="83">
    <w:nsid w:val="73A1821B"/>
    <w:multiLevelType w:val="hybridMultilevel"/>
    <w:lvl w:ilvl="0">
      <w:lvlJc w:val="left"/>
      <w:lvlText w:val="%1."/>
      <w:numFmt w:val="decimal"/>
      <w:start w:val="2"/>
    </w:lvl>
  </w:abstractNum>
  <w:abstractNum w:abstractNumId="84">
    <w:nsid w:val="7DE67713"/>
    <w:multiLevelType w:val="hybridMultilevel"/>
    <w:lvl w:ilvl="0">
      <w:lvlJc w:val="left"/>
      <w:lvlText w:val="(%1)"/>
      <w:numFmt w:val="lowerLetter"/>
      <w:start w:val="1"/>
    </w:lvl>
    <w:lvl w:ilvl="1">
      <w:lvlJc w:val="left"/>
      <w:lvlText w:val="(%2)"/>
      <w:numFmt w:val="lowerLetter"/>
      <w:start w:val="9"/>
    </w:lvl>
  </w:abstractNum>
  <w:abstractNum w:abstractNumId="85">
    <w:nsid w:val="555C55B5"/>
    <w:multiLevelType w:val="hybridMultilevel"/>
    <w:lvl w:ilvl="0">
      <w:lvlJc w:val="left"/>
      <w:lvlText w:val="(%1)"/>
      <w:numFmt w:val="lowerRoman"/>
      <w:start w:val="2"/>
    </w:lvl>
  </w:abstractNum>
  <w:abstractNum w:abstractNumId="86">
    <w:nsid w:val="3FA62ACA"/>
    <w:multiLevelType w:val="hybridMultilevel"/>
    <w:lvl w:ilvl="0">
      <w:lvlJc w:val="left"/>
      <w:lvlText w:val="(%1)"/>
      <w:numFmt w:val="lowerLetter"/>
      <w:start w:val="3"/>
    </w:lvl>
  </w:abstractNum>
  <w:abstractNum w:abstractNumId="87">
    <w:nsid w:val="14FCE74E"/>
    <w:multiLevelType w:val="hybridMultilevel"/>
    <w:lvl w:ilvl="0">
      <w:lvlJc w:val="left"/>
      <w:lvlText w:val="(%1)"/>
      <w:numFmt w:val="lowerLetter"/>
      <w:start w:val="61"/>
    </w:lvl>
    <w:lvl w:ilvl="1">
      <w:lvlJc w:val="left"/>
      <w:lvlText w:val="(%2)"/>
      <w:numFmt w:val="lowerLetter"/>
      <w:start w:val="7"/>
    </w:lvl>
    <w:lvl w:ilvl="2">
      <w:lvlJc w:val="left"/>
      <w:lvlText w:val="(%3)"/>
      <w:numFmt w:val="lowerRoman"/>
      <w:start w:val="1"/>
    </w:lvl>
  </w:abstractNum>
  <w:abstractNum w:abstractNumId="88">
    <w:nsid w:val="6A3DD3E8"/>
    <w:multiLevelType w:val="hybridMultilevel"/>
    <w:lvl w:ilvl="0">
      <w:lvlJc w:val="left"/>
      <w:lvlText w:val="(%1)"/>
      <w:numFmt w:val="lowerLetter"/>
      <w:start w:val="14"/>
    </w:lvl>
  </w:abstractNum>
  <w:abstractNum w:abstractNumId="89">
    <w:nsid w:val="71C91298"/>
    <w:multiLevelType w:val="hybridMultilevel"/>
    <w:lvl w:ilvl="0">
      <w:lvlJc w:val="left"/>
      <w:lvlText w:val="(%1)"/>
      <w:numFmt w:val="lowerLetter"/>
      <w:start w:val="23"/>
    </w:lvl>
  </w:abstractNum>
  <w:abstractNum w:abstractNumId="90">
    <w:nsid w:val="9DAF632"/>
    <w:multiLevelType w:val="hybridMultilevel"/>
    <w:lvl w:ilvl="0">
      <w:lvlJc w:val="left"/>
      <w:lvlText w:val="(%1)"/>
      <w:numFmt w:val="lowerLetter"/>
      <w:start w:val="27"/>
    </w:lvl>
  </w:abstractNum>
  <w:abstractNum w:abstractNumId="91">
    <w:nsid w:val="53299938"/>
    <w:multiLevelType w:val="hybridMultilevel"/>
    <w:lvl w:ilvl="0">
      <w:lvlJc w:val="left"/>
      <w:lvlText w:val="%1."/>
      <w:numFmt w:val="decimal"/>
      <w:start w:val="3"/>
    </w:lvl>
  </w:abstractNum>
  <w:abstractNum w:abstractNumId="92">
    <w:nsid w:val="1FBFE8E0"/>
    <w:multiLevelType w:val="hybridMultilevel"/>
    <w:lvl w:ilvl="0">
      <w:lvlJc w:val="left"/>
      <w:lvlText w:val="%1."/>
      <w:numFmt w:val="decimal"/>
      <w:start w:val="4"/>
    </w:lvl>
  </w:abstractNum>
  <w:abstractNum w:abstractNumId="93">
    <w:nsid w:val="5092CA79"/>
    <w:multiLevelType w:val="hybridMultilevel"/>
    <w:lvl w:ilvl="0">
      <w:lvlJc w:val="left"/>
      <w:lvlText w:val="%1."/>
      <w:numFmt w:val="decimal"/>
      <w:start w:val="5"/>
    </w:lvl>
  </w:abstractNum>
  <w:abstractNum w:abstractNumId="94">
    <w:nsid w:val="1D545C4D"/>
    <w:multiLevelType w:val="hybridMultilevel"/>
    <w:lvl w:ilvl="0">
      <w:lvlJc w:val="left"/>
      <w:lvlText w:val="(%1)"/>
      <w:numFmt w:val="lowerLetter"/>
      <w:start w:val="1"/>
    </w:lvl>
  </w:abstractNum>
  <w:abstractNum w:abstractNumId="95">
    <w:nsid w:val="59ADEA3D"/>
    <w:multiLevelType w:val="hybridMultilevel"/>
    <w:lvl w:ilvl="0">
      <w:lvlJc w:val="left"/>
      <w:lvlText w:val="%1."/>
      <w:numFmt w:val="decimal"/>
      <w:start w:val="6"/>
    </w:lvl>
  </w:abstractNum>
  <w:abstractNum w:abstractNumId="96">
    <w:nsid w:val="288F1A34"/>
    <w:multiLevelType w:val="hybridMultilevel"/>
    <w:lvl w:ilvl="0">
      <w:lvlJc w:val="left"/>
      <w:lvlText w:val="%1."/>
      <w:numFmt w:val="decimal"/>
      <w:start w:val="7"/>
    </w:lvl>
  </w:abstractNum>
  <w:abstractNum w:abstractNumId="97">
    <w:nsid w:val="2A155DBC"/>
    <w:multiLevelType w:val="hybridMultilevel"/>
    <w:lvl w:ilvl="0">
      <w:lvlJc w:val="left"/>
      <w:lvlText w:val="%1."/>
      <w:numFmt w:val="decimal"/>
      <w:start w:val="8"/>
    </w:lvl>
  </w:abstractNum>
  <w:abstractNum w:abstractNumId="98">
    <w:nsid w:val="1D9F6E5F"/>
    <w:multiLevelType w:val="hybridMultilevel"/>
    <w:lvl w:ilvl="0">
      <w:lvlJc w:val="left"/>
      <w:lvlText w:val="%1."/>
      <w:numFmt w:val="decimal"/>
      <w:start w:val="9"/>
    </w:lvl>
  </w:abstractNum>
  <w:abstractNum w:abstractNumId="99">
    <w:nsid w:val="97E1B4E"/>
    <w:multiLevelType w:val="hybridMultilevel"/>
    <w:lvl w:ilvl="0">
      <w:lvlJc w:val="left"/>
      <w:lvlText w:val="%1."/>
      <w:numFmt w:val="decimal"/>
      <w:start w:val="10"/>
    </w:lvl>
  </w:abstractNum>
  <w:abstractNum w:abstractNumId="100">
    <w:nsid w:val="51088277"/>
    <w:multiLevelType w:val="hybridMultilevel"/>
    <w:lvl w:ilvl="0">
      <w:lvlJc w:val="left"/>
      <w:lvlText w:val="(%1)"/>
      <w:numFmt w:val="lowerRoman"/>
      <w:start w:val="2"/>
    </w:lvl>
  </w:abstractNum>
  <w:abstractNum w:abstractNumId="101">
    <w:nsid w:val="1CA0C5FA"/>
    <w:multiLevelType w:val="hybridMultilevel"/>
    <w:lvl w:ilvl="0">
      <w:lvlJc w:val="left"/>
      <w:lvlText w:val="%1."/>
      <w:numFmt w:val="decimal"/>
      <w:start w:val="11"/>
    </w:lvl>
    <w:lvl w:ilvl="1">
      <w:lvlJc w:val="left"/>
      <w:lvlText w:val="(%2)"/>
      <w:numFmt w:val="lowerLetter"/>
      <w:start w:val="1"/>
    </w:lvl>
  </w:abstractNum>
  <w:abstractNum w:abstractNumId="102">
    <w:nsid w:val="53584BCB"/>
    <w:multiLevelType w:val="hybridMultilevel"/>
    <w:lvl w:ilvl="0">
      <w:lvlJc w:val="left"/>
      <w:lvlText w:val="(%1)"/>
      <w:numFmt w:val="lowerLetter"/>
      <w:start w:val="2"/>
    </w:lvl>
  </w:abstractNum>
  <w:abstractNum w:abstractNumId="103">
    <w:nsid w:val="415E286C"/>
    <w:multiLevelType w:val="hybridMultilevel"/>
    <w:lvl w:ilvl="0">
      <w:lvlJc w:val="left"/>
      <w:lvlText w:val="%1."/>
      <w:numFmt w:val="decimal"/>
      <w:start w:val="12"/>
    </w:lvl>
  </w:abstractNum>
  <w:abstractNum w:abstractNumId="104">
    <w:nsid w:val="7C58FD05"/>
    <w:multiLevelType w:val="hybridMultilevel"/>
    <w:lvl w:ilvl="0">
      <w:lvlJc w:val="left"/>
      <w:lvlText w:val="%1."/>
      <w:numFmt w:val="decimal"/>
      <w:start w:val="13"/>
    </w:lvl>
  </w:abstractNum>
  <w:abstractNum w:abstractNumId="105">
    <w:nsid w:val="23D86AAC"/>
    <w:multiLevelType w:val="hybridMultilevel"/>
    <w:lvl w:ilvl="0">
      <w:lvlJc w:val="left"/>
      <w:lvlText w:val="%1."/>
      <w:numFmt w:val="decimal"/>
      <w:start w:val="14"/>
    </w:lvl>
  </w:abstractNum>
  <w:abstractNum w:abstractNumId="106">
    <w:nsid w:val="45E6D486"/>
    <w:multiLevelType w:val="hybridMultilevel"/>
    <w:lvl w:ilvl="0">
      <w:lvlJc w:val="left"/>
      <w:lvlText w:val="%1."/>
      <w:numFmt w:val="decimal"/>
      <w:start w:val="15"/>
    </w:lvl>
  </w:abstractNum>
  <w:abstractNum w:abstractNumId="107">
    <w:nsid w:val="5C10FE21"/>
    <w:multiLevelType w:val="hybridMultilevel"/>
    <w:lvl w:ilvl="0">
      <w:lvlJc w:val="left"/>
      <w:lvlText w:val="%1."/>
      <w:numFmt w:val="decimal"/>
      <w:start w:val="16"/>
    </w:lvl>
  </w:abstractNum>
  <w:abstractNum w:abstractNumId="108">
    <w:nsid w:val="E7FFA2B"/>
    <w:multiLevelType w:val="hybridMultilevel"/>
    <w:lvl w:ilvl="0">
      <w:lvlJc w:val="left"/>
      <w:lvlText w:val="%1."/>
      <w:numFmt w:val="decimal"/>
      <w:start w:val="17"/>
    </w:lvl>
  </w:abstractNum>
  <w:abstractNum w:abstractNumId="109">
    <w:nsid w:val="3C5991AA"/>
    <w:multiLevelType w:val="hybridMultilevel"/>
    <w:lvl w:ilvl="0">
      <w:lvlJc w:val="left"/>
      <w:lvlText w:val="%1."/>
      <w:numFmt w:val="decimal"/>
      <w:start w:val="18"/>
    </w:lvl>
  </w:abstractNum>
  <w:abstractNum w:abstractNumId="110">
    <w:nsid w:val="4BD8591A"/>
    <w:multiLevelType w:val="hybridMultilevel"/>
    <w:lvl w:ilvl="0">
      <w:lvlJc w:val="left"/>
      <w:lvlText w:val="%1."/>
      <w:numFmt w:val="decimal"/>
      <w:start w:val="19"/>
    </w:lvl>
  </w:abstractNum>
  <w:abstractNum w:abstractNumId="111">
    <w:nsid w:val="78DF6A55"/>
    <w:multiLevelType w:val="hybridMultilevel"/>
    <w:lvl w:ilvl="0">
      <w:lvlJc w:val="left"/>
      <w:lvlText w:val="%1."/>
      <w:numFmt w:val="decimal"/>
      <w:start w:val="20"/>
    </w:lvl>
  </w:abstractNum>
  <w:abstractNum w:abstractNumId="112">
    <w:nsid w:val="39B7AAA2"/>
    <w:multiLevelType w:val="hybridMultilevel"/>
    <w:lvl w:ilvl="0">
      <w:lvlJc w:val="left"/>
      <w:lvlText w:val="%1."/>
      <w:numFmt w:val="decimal"/>
      <w:start w:val="21"/>
    </w:lvl>
  </w:abstractNum>
  <w:abstractNum w:abstractNumId="113">
    <w:nsid w:val="2B0D8DBE"/>
    <w:multiLevelType w:val="hybridMultilevel"/>
    <w:lvl w:ilvl="0">
      <w:lvlJc w:val="left"/>
      <w:lvlText w:val="%1"/>
      <w:numFmt w:val="lowerLetter"/>
      <w:start w:val="1"/>
    </w:lvl>
    <w:lvl w:ilvl="1">
      <w:lvlJc w:val="left"/>
      <w:lvlText w:val="%2."/>
      <w:numFmt w:val="decimal"/>
      <w:start w:val="22"/>
    </w:lvl>
  </w:abstractNum>
  <w:abstractNum w:abstractNumId="114">
    <w:nsid w:val="6C80EC70"/>
    <w:multiLevelType w:val="hybridMultilevel"/>
    <w:lvl w:ilvl="0">
      <w:lvlJc w:val="left"/>
      <w:lvlText w:val="(%1)"/>
      <w:numFmt w:val="lowerLetter"/>
      <w:start w:val="1"/>
    </w:lvl>
    <w:lvl w:ilvl="1">
      <w:lvlJc w:val="left"/>
      <w:lvlText w:val="%2"/>
      <w:numFmt w:val="decimal"/>
      <w:start w:val="1"/>
    </w:lvl>
  </w:abstractNum>
  <w:abstractNum w:abstractNumId="115">
    <w:nsid w:val="379E21B5"/>
    <w:multiLevelType w:val="hybridMultilevel"/>
    <w:lvl w:ilvl="0">
      <w:lvlJc w:val="left"/>
      <w:lvlText w:val="%1."/>
      <w:numFmt w:val="decimal"/>
      <w:start w:val="1"/>
    </w:lvl>
    <w:lvl w:ilvl="1">
      <w:lvlJc w:val="left"/>
      <w:lvlText w:val="%2)"/>
      <w:numFmt w:val="lowerLetter"/>
      <w:start w:val="1"/>
    </w:lvl>
  </w:abstractNum>
  <w:abstractNum w:abstractNumId="116">
    <w:nsid w:val="69E373"/>
    <w:multiLevelType w:val="hybridMultilevel"/>
    <w:lvl w:ilvl="0">
      <w:lvlJc w:val="left"/>
      <w:lvlText w:val="%1."/>
      <w:numFmt w:val="decimal"/>
      <w:start w:val="1"/>
    </w:lvl>
    <w:lvl w:ilvl="1">
      <w:lvlJc w:val="left"/>
      <w:lvlText w:val="%2)"/>
      <w:numFmt w:val="lowerLetter"/>
      <w:start w:val="1"/>
    </w:lvl>
  </w:abstractNum>
  <w:abstractNum w:abstractNumId="117">
    <w:nsid w:val="2C27173B"/>
    <w:multiLevelType w:val="hybridMultilevel"/>
    <w:lvl w:ilvl="0">
      <w:lvlJc w:val="left"/>
      <w:lvlText w:val="(%1)"/>
      <w:numFmt w:val="decimal"/>
      <w:start w:val="1"/>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11" Type="http://schemas.openxmlformats.org/officeDocument/2006/relationships/hyperlink" Target="https://www.sec.gov/ix?doc=/Archives/edgar/data/0001425205/000110465923079684/tm2320915d2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2023-11-08T23:51:42Z</dcterms:created>
  <dcterms:modified xsi:type="dcterms:W3CDTF">2023-11-08T23:51:42Z</dcterms:modified>
</cp:coreProperties>
</file>