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5111-2_4seq1.xml.htm"/>
      <w:bookmarkStart w:id="1" w:name="kstm2625111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BILINSKY IGOR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IOVANCE BIOTHERAPEUTICS,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825 INDUSTRIAL ROAD,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CARLOS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IOVANCE BIOTHERAPEUTICS,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IOVA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4"/>
        <w:gridCol w:w="902"/>
        <w:gridCol w:w="771"/>
        <w:gridCol w:w="599"/>
        <w:gridCol w:w="352"/>
        <w:gridCol w:w="858"/>
        <w:gridCol w:w="465"/>
        <w:gridCol w:w="626"/>
        <w:gridCol w:w="1210"/>
        <w:gridCol w:w="1010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7,813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146,050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3,976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8.7</w:t>
            </w:r>
          </w:p>
        </w:tc>
        <w:tc>
          <w:tcPr>
            <w:tcW w:w="12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142,074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7,813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7,813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46,878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such shares underlying the restricted stock units ("RSUs") which vested on the transaction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by the Issuer to satisfy the mandatory tax withholding requirements upon vesting of the RSUs. This is not an open market sale of securities.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common stock remaining after deducting the common stock withheld for taxes.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Each RSU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remaining RSUs will vest in equal quarterly installments.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Such aggregate number reflects the remainder of such RSUs granted on March 5, 2025, but does not include any other RSUs held by such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Igor Bilinsky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4604" TargetMode="External"/><Relationship Id="rId5" Type="http://schemas.openxmlformats.org/officeDocument/2006/relationships/hyperlink" Target="http://www.sec.gov/cgi-bin/browse-edgar?action=getcompany&amp;CIK=00014252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701</Words>
  <Characters>3795</Characters>
  <CharactersWithSpaces>4403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